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18C9" w14:textId="77777777" w:rsidR="0044380E" w:rsidRDefault="0044380E" w:rsidP="009A15A4">
      <w:pPr>
        <w:keepNext/>
        <w:keepLines/>
        <w:spacing w:after="120" w:line="240" w:lineRule="auto"/>
        <w:ind w:right="80"/>
        <w:jc w:val="center"/>
        <w:rPr>
          <w:rStyle w:val="Nadpis20"/>
          <w:rFonts w:ascii="Times New Roman" w:hAnsi="Times New Roman" w:cs="Times New Roman"/>
        </w:rPr>
      </w:pPr>
      <w:bookmarkStart w:id="0" w:name="bookmark0"/>
      <w:r w:rsidRPr="006B58E9">
        <w:rPr>
          <w:rStyle w:val="Nadpis20"/>
          <w:rFonts w:ascii="Times New Roman" w:hAnsi="Times New Roman" w:cs="Times New Roman"/>
        </w:rPr>
        <w:t>Smlouva o vypořádání závazků</w:t>
      </w:r>
      <w:bookmarkEnd w:id="0"/>
    </w:p>
    <w:p w14:paraId="28969357" w14:textId="77777777" w:rsidR="00C83E53" w:rsidRPr="006B58E9" w:rsidRDefault="00C83E53" w:rsidP="009A15A4">
      <w:pPr>
        <w:keepNext/>
        <w:keepLines/>
        <w:spacing w:after="120" w:line="240" w:lineRule="auto"/>
        <w:ind w:right="80"/>
        <w:jc w:val="center"/>
        <w:rPr>
          <w:rFonts w:cs="Times New Roman"/>
        </w:rPr>
      </w:pPr>
      <w:r w:rsidRPr="00CA34C4">
        <w:rPr>
          <w:rFonts w:cs="Times New Roman"/>
        </w:rPr>
        <w:t>(dále jen „</w:t>
      </w:r>
      <w:r>
        <w:rPr>
          <w:rFonts w:cs="Times New Roman"/>
          <w:b/>
        </w:rPr>
        <w:t>sm</w:t>
      </w:r>
      <w:r w:rsidRPr="000B1616">
        <w:rPr>
          <w:rFonts w:cs="Times New Roman"/>
          <w:b/>
        </w:rPr>
        <w:t>l</w:t>
      </w:r>
      <w:r>
        <w:rPr>
          <w:rFonts w:cs="Times New Roman"/>
          <w:b/>
        </w:rPr>
        <w:t>ouva</w:t>
      </w:r>
      <w:r w:rsidRPr="00CA34C4">
        <w:rPr>
          <w:rFonts w:cs="Times New Roman"/>
        </w:rPr>
        <w:t>")</w:t>
      </w:r>
    </w:p>
    <w:p w14:paraId="339F2C8D" w14:textId="77777777" w:rsidR="0044380E" w:rsidRPr="006B58E9" w:rsidRDefault="0044380E" w:rsidP="009A15A4">
      <w:pPr>
        <w:pStyle w:val="Zkladntext20"/>
        <w:shd w:val="clear" w:color="auto" w:fill="auto"/>
        <w:spacing w:before="0" w:after="120" w:line="240" w:lineRule="auto"/>
        <w:ind w:left="260" w:firstLine="0"/>
        <w:rPr>
          <w:rFonts w:ascii="Times New Roman" w:hAnsi="Times New Roman" w:cs="Times New Roman"/>
        </w:rPr>
      </w:pPr>
      <w:r w:rsidRPr="006B58E9">
        <w:rPr>
          <w:rFonts w:ascii="Times New Roman" w:hAnsi="Times New Roman" w:cs="Times New Roman"/>
        </w:rPr>
        <w:t>uzavřená dle § 1746 odst. 2 zákona č. 89/2012 Sb., občanský zákoník, ve znění pozdějších</w:t>
      </w:r>
      <w:r w:rsidR="00C83E53">
        <w:rPr>
          <w:rFonts w:ascii="Times New Roman" w:hAnsi="Times New Roman" w:cs="Times New Roman"/>
        </w:rPr>
        <w:t xml:space="preserve"> </w:t>
      </w:r>
      <w:r w:rsidRPr="006B58E9">
        <w:rPr>
          <w:rFonts w:ascii="Times New Roman" w:hAnsi="Times New Roman" w:cs="Times New Roman"/>
        </w:rPr>
        <w:t>předpisů</w:t>
      </w:r>
      <w:r w:rsidR="00964EF6">
        <w:rPr>
          <w:rFonts w:ascii="Times New Roman" w:hAnsi="Times New Roman" w:cs="Times New Roman"/>
        </w:rPr>
        <w:t xml:space="preserve"> (dále jen „</w:t>
      </w:r>
      <w:r w:rsidR="00964EF6" w:rsidRPr="000B1616">
        <w:rPr>
          <w:rFonts w:ascii="Times New Roman" w:hAnsi="Times New Roman" w:cs="Times New Roman"/>
          <w:b/>
        </w:rPr>
        <w:t>občanský zákoník</w:t>
      </w:r>
      <w:r w:rsidR="00964EF6">
        <w:rPr>
          <w:rFonts w:ascii="Times New Roman" w:hAnsi="Times New Roman" w:cs="Times New Roman"/>
        </w:rPr>
        <w:t>“)</w:t>
      </w:r>
    </w:p>
    <w:p w14:paraId="7C7CDCAF" w14:textId="77777777" w:rsidR="0044380E" w:rsidRPr="006B58E9" w:rsidRDefault="0044380E" w:rsidP="009A15A4">
      <w:pPr>
        <w:pStyle w:val="Nadpis10"/>
        <w:keepNext/>
        <w:keepLines/>
        <w:numPr>
          <w:ilvl w:val="0"/>
          <w:numId w:val="5"/>
        </w:numPr>
        <w:shd w:val="clear" w:color="auto" w:fill="auto"/>
        <w:spacing w:before="0" w:after="120" w:line="240" w:lineRule="auto"/>
        <w:ind w:left="5262"/>
        <w:rPr>
          <w:rFonts w:ascii="Times New Roman" w:hAnsi="Times New Roman" w:cs="Times New Roman"/>
        </w:rPr>
      </w:pPr>
    </w:p>
    <w:p w14:paraId="5D2B2001" w14:textId="77777777" w:rsidR="0044380E" w:rsidRPr="006B58E9" w:rsidRDefault="0044380E" w:rsidP="009A15A4">
      <w:pPr>
        <w:pStyle w:val="Zkladntext30"/>
        <w:shd w:val="clear" w:color="auto" w:fill="auto"/>
        <w:spacing w:before="0" w:after="120" w:line="240" w:lineRule="auto"/>
        <w:ind w:right="79" w:firstLine="0"/>
        <w:rPr>
          <w:rFonts w:ascii="Times New Roman" w:hAnsi="Times New Roman" w:cs="Times New Roman"/>
        </w:rPr>
      </w:pPr>
      <w:r w:rsidRPr="006B58E9">
        <w:rPr>
          <w:rFonts w:ascii="Times New Roman" w:hAnsi="Times New Roman" w:cs="Times New Roman"/>
        </w:rPr>
        <w:t>Smluvní strany</w:t>
      </w:r>
    </w:p>
    <w:p w14:paraId="5A77BF12" w14:textId="77777777" w:rsidR="0044380E" w:rsidRPr="00CA34C4" w:rsidRDefault="0044380E" w:rsidP="009A15A4">
      <w:pPr>
        <w:pStyle w:val="Zkladntext30"/>
        <w:numPr>
          <w:ilvl w:val="0"/>
          <w:numId w:val="1"/>
        </w:numPr>
        <w:shd w:val="clear" w:color="auto" w:fill="auto"/>
        <w:spacing w:before="0" w:after="0" w:line="240" w:lineRule="auto"/>
        <w:ind w:left="556" w:hanging="278"/>
        <w:jc w:val="both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Zoologická zahrada Ústí nad Labem, příspěvková organizace</w:t>
      </w:r>
    </w:p>
    <w:p w14:paraId="3EEA0748" w14:textId="77777777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556" w:right="1146" w:firstLine="0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se sídlem: Drážďanská 23, 400 07 Ústí nad Labem</w:t>
      </w:r>
    </w:p>
    <w:p w14:paraId="332624A8" w14:textId="77777777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834" w:right="1146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zastoupen: Ing. Roman Končel, ředitel</w:t>
      </w:r>
    </w:p>
    <w:p w14:paraId="59591028" w14:textId="77777777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834" w:right="1146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IČO: 00081582 DIČ: CZ00081582</w:t>
      </w:r>
    </w:p>
    <w:p w14:paraId="48CDA12D" w14:textId="77777777" w:rsidR="0044380E" w:rsidRPr="00CA34C4" w:rsidRDefault="0044380E" w:rsidP="009A15A4">
      <w:pPr>
        <w:pStyle w:val="Zkladntext20"/>
        <w:shd w:val="clear" w:color="auto" w:fill="auto"/>
        <w:spacing w:before="0" w:after="120" w:line="240" w:lineRule="auto"/>
        <w:ind w:left="834" w:right="1146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(dále jen „</w:t>
      </w:r>
      <w:r w:rsidRPr="000B1616">
        <w:rPr>
          <w:rFonts w:ascii="Times New Roman" w:hAnsi="Times New Roman" w:cs="Times New Roman"/>
          <w:b/>
        </w:rPr>
        <w:t>objednatel</w:t>
      </w:r>
      <w:r w:rsidRPr="00CA34C4">
        <w:rPr>
          <w:rFonts w:ascii="Times New Roman" w:hAnsi="Times New Roman" w:cs="Times New Roman"/>
        </w:rPr>
        <w:t>")</w:t>
      </w:r>
    </w:p>
    <w:p w14:paraId="74152CF5" w14:textId="289637DF" w:rsidR="0044380E" w:rsidRPr="009A15A4" w:rsidRDefault="009A15A4" w:rsidP="009A15A4">
      <w:pPr>
        <w:pStyle w:val="Zkladntext20"/>
        <w:shd w:val="clear" w:color="auto" w:fill="auto"/>
        <w:spacing w:before="0" w:after="120" w:line="240" w:lineRule="auto"/>
        <w:ind w:left="556" w:right="1146" w:hanging="278"/>
        <w:jc w:val="center"/>
        <w:rPr>
          <w:rFonts w:ascii="Times New Roman" w:hAnsi="Times New Roman" w:cs="Times New Roman"/>
          <w:b/>
          <w:bCs/>
        </w:rPr>
      </w:pPr>
      <w:r w:rsidRPr="009A15A4">
        <w:rPr>
          <w:rFonts w:ascii="Times New Roman" w:hAnsi="Times New Roman" w:cs="Times New Roman"/>
          <w:b/>
          <w:bCs/>
        </w:rPr>
        <w:t>a</w:t>
      </w:r>
    </w:p>
    <w:p w14:paraId="6B6AA9FD" w14:textId="4A295462" w:rsidR="0044380E" w:rsidRPr="00CA34C4" w:rsidRDefault="00004CB0" w:rsidP="009A15A4">
      <w:pPr>
        <w:pStyle w:val="Zkladntext30"/>
        <w:numPr>
          <w:ilvl w:val="0"/>
          <w:numId w:val="1"/>
        </w:numPr>
        <w:shd w:val="clear" w:color="auto" w:fill="auto"/>
        <w:spacing w:before="0" w:after="0" w:line="240" w:lineRule="auto"/>
        <w:ind w:left="556" w:hanging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a.s.</w:t>
      </w:r>
    </w:p>
    <w:p w14:paraId="760839D4" w14:textId="0B00A5DA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834" w:right="1146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 xml:space="preserve">se sídlem: </w:t>
      </w:r>
      <w:r w:rsidR="00004CB0">
        <w:rPr>
          <w:rFonts w:ascii="Times New Roman" w:hAnsi="Times New Roman" w:cs="Times New Roman"/>
        </w:rPr>
        <w:t>Špitálské náměstí. 10, 400 01 Ústí nad Labem</w:t>
      </w:r>
      <w:r w:rsidRPr="00CA34C4">
        <w:rPr>
          <w:rFonts w:ascii="Times New Roman" w:hAnsi="Times New Roman" w:cs="Times New Roman"/>
        </w:rPr>
        <w:t xml:space="preserve"> </w:t>
      </w:r>
    </w:p>
    <w:p w14:paraId="349F8203" w14:textId="1C5A8E4A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834" w:right="4340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 xml:space="preserve">IČO: </w:t>
      </w:r>
      <w:r w:rsidR="00004CB0">
        <w:rPr>
          <w:rFonts w:ascii="Times New Roman" w:hAnsi="Times New Roman" w:cs="Times New Roman"/>
        </w:rPr>
        <w:t>47784547</w:t>
      </w:r>
      <w:r w:rsidRPr="00CA34C4">
        <w:rPr>
          <w:rFonts w:ascii="Times New Roman" w:hAnsi="Times New Roman" w:cs="Times New Roman"/>
        </w:rPr>
        <w:t xml:space="preserve"> </w:t>
      </w:r>
    </w:p>
    <w:p w14:paraId="664B7AA3" w14:textId="097F024A" w:rsidR="0044380E" w:rsidRPr="00CA34C4" w:rsidRDefault="0044380E" w:rsidP="009A15A4">
      <w:pPr>
        <w:pStyle w:val="Zkladntext20"/>
        <w:shd w:val="clear" w:color="auto" w:fill="auto"/>
        <w:spacing w:before="0" w:after="0" w:line="240" w:lineRule="auto"/>
        <w:ind w:left="834" w:right="4340" w:hanging="278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DIČ: CZ</w:t>
      </w:r>
      <w:r w:rsidR="00004CB0">
        <w:rPr>
          <w:rFonts w:ascii="Times New Roman" w:hAnsi="Times New Roman" w:cs="Times New Roman"/>
        </w:rPr>
        <w:t>47784547</w:t>
      </w:r>
    </w:p>
    <w:p w14:paraId="78ACBF57" w14:textId="77777777" w:rsidR="00C83E53" w:rsidRPr="004901E7" w:rsidRDefault="0044380E" w:rsidP="009A15A4">
      <w:pPr>
        <w:pStyle w:val="Zkladntext20"/>
        <w:shd w:val="clear" w:color="auto" w:fill="auto"/>
        <w:spacing w:before="0" w:after="120" w:line="240" w:lineRule="auto"/>
        <w:ind w:left="834" w:right="159" w:hanging="278"/>
        <w:jc w:val="both"/>
        <w:rPr>
          <w:rFonts w:ascii="Times New Roman" w:hAnsi="Times New Roman" w:cs="Times New Roman"/>
        </w:rPr>
      </w:pPr>
      <w:r w:rsidRPr="00CA34C4">
        <w:rPr>
          <w:rFonts w:ascii="Times New Roman" w:hAnsi="Times New Roman" w:cs="Times New Roman"/>
        </w:rPr>
        <w:t>(dále jen „</w:t>
      </w:r>
      <w:r w:rsidRPr="000B1616">
        <w:rPr>
          <w:rFonts w:ascii="Times New Roman" w:hAnsi="Times New Roman" w:cs="Times New Roman"/>
          <w:b/>
        </w:rPr>
        <w:t>dodavatel</w:t>
      </w:r>
      <w:r w:rsidRPr="00CA34C4">
        <w:rPr>
          <w:rFonts w:ascii="Times New Roman" w:hAnsi="Times New Roman" w:cs="Times New Roman"/>
        </w:rPr>
        <w:t>")</w:t>
      </w:r>
    </w:p>
    <w:p w14:paraId="23088941" w14:textId="77777777" w:rsidR="009A15A4" w:rsidRPr="009A15A4" w:rsidRDefault="009A15A4" w:rsidP="00B81453">
      <w:pPr>
        <w:pStyle w:val="Nadpis10"/>
        <w:keepNext/>
        <w:keepLines/>
        <w:numPr>
          <w:ilvl w:val="0"/>
          <w:numId w:val="5"/>
        </w:numPr>
        <w:shd w:val="clear" w:color="auto" w:fill="auto"/>
        <w:spacing w:before="240" w:after="120" w:line="240" w:lineRule="auto"/>
        <w:ind w:left="5262"/>
      </w:pPr>
    </w:p>
    <w:p w14:paraId="16355DAD" w14:textId="25EA27E0" w:rsidR="0044380E" w:rsidRPr="009A15A4" w:rsidRDefault="00C83E53" w:rsidP="009A15A4">
      <w:pPr>
        <w:jc w:val="center"/>
        <w:rPr>
          <w:b/>
          <w:bCs/>
        </w:rPr>
      </w:pPr>
      <w:r w:rsidRPr="009A15A4">
        <w:rPr>
          <w:b/>
          <w:bCs/>
        </w:rPr>
        <w:t>Úvodní ujednání</w:t>
      </w:r>
    </w:p>
    <w:p w14:paraId="18576D13" w14:textId="77777777" w:rsidR="00C83E53" w:rsidRPr="009A15A4" w:rsidRDefault="00C83E53" w:rsidP="009A15A4">
      <w:pPr>
        <w:pStyle w:val="Odstavecseseznamem"/>
        <w:numPr>
          <w:ilvl w:val="0"/>
          <w:numId w:val="12"/>
        </w:numPr>
      </w:pPr>
      <w:r w:rsidRPr="009A15A4">
        <w:t>Práva a povinnosti smluvních stran z této smlouvy se budou primárně řídit ujednáními této smlouvy a podpůrně ustanoveními občanského zákoníku.</w:t>
      </w:r>
    </w:p>
    <w:p w14:paraId="6D00205B" w14:textId="77777777" w:rsidR="00C83E53" w:rsidRPr="009A15A4" w:rsidRDefault="00C83E53" w:rsidP="009A15A4">
      <w:pPr>
        <w:pStyle w:val="Odstavecseseznamem"/>
        <w:numPr>
          <w:ilvl w:val="0"/>
          <w:numId w:val="12"/>
        </w:numPr>
      </w:pPr>
      <w:r w:rsidRPr="009A15A4">
        <w:t>Tato smlouva obsahuje úplné ujednání o předmětu smlouvy a všech náležitostech, které smluvní strany měly a chtěly ve smlouvě ujednat</w:t>
      </w:r>
      <w:r w:rsidR="006E2C4D" w:rsidRPr="009A15A4">
        <w:t>,</w:t>
      </w:r>
      <w:r w:rsidRPr="009A15A4">
        <w:t xml:space="preserve"> a které považují za důležité pro závaznost této smlouvy. Žádný projev smluvních stran učiněný při jednání o této smlouvě ani projev učiněný po uzavření této smlouvy nesmí být vykládán v rozporu s výslovnými ujednáními této smlouvy a nezakládá žádný závazek žádné ze smluvních stran.</w:t>
      </w:r>
    </w:p>
    <w:p w14:paraId="38E63493" w14:textId="77777777" w:rsidR="00C83E53" w:rsidRPr="009A15A4" w:rsidRDefault="00C83E53" w:rsidP="009A15A4">
      <w:pPr>
        <w:pStyle w:val="Odstavecseseznamem"/>
        <w:numPr>
          <w:ilvl w:val="0"/>
          <w:numId w:val="12"/>
        </w:numPr>
      </w:pPr>
      <w:r w:rsidRPr="009A15A4">
        <w:t>Smluvní strany si nepřejí, aby nad rámec výslovných ujednání této smlouvy byla jakákoliv práva a povinnosti dovozovány z dosavadní či budoucí praxe zavedené mezi smluvními stranami či zvyklostí zachovávaných obecně či v odvětví týkajícím se předmětu této smlouvy, ledaže je v této smlouvě výslovně sjednáno jinak. Vedle shora uvedeného si smluvní strany potvrzují, že si nejsou vědomy žádných dosud mezi nimi zavedených obchodních zvyklostí či praxe.</w:t>
      </w:r>
    </w:p>
    <w:p w14:paraId="3455D569" w14:textId="77777777" w:rsidR="009A15A4" w:rsidRPr="009A15A4" w:rsidRDefault="009A15A4" w:rsidP="00B81453">
      <w:pPr>
        <w:pStyle w:val="Nadpis10"/>
        <w:keepNext/>
        <w:keepLines/>
        <w:numPr>
          <w:ilvl w:val="0"/>
          <w:numId w:val="5"/>
        </w:numPr>
        <w:shd w:val="clear" w:color="auto" w:fill="auto"/>
        <w:spacing w:before="240" w:after="120" w:line="240" w:lineRule="auto"/>
        <w:ind w:left="5262"/>
      </w:pPr>
    </w:p>
    <w:p w14:paraId="727BCC6F" w14:textId="5ADB90FB" w:rsidR="0044380E" w:rsidRPr="00337B50" w:rsidRDefault="0044380E" w:rsidP="009A15A4">
      <w:pPr>
        <w:jc w:val="center"/>
        <w:rPr>
          <w:b/>
          <w:bCs/>
        </w:rPr>
      </w:pPr>
      <w:r w:rsidRPr="00337B50">
        <w:rPr>
          <w:b/>
          <w:bCs/>
        </w:rPr>
        <w:t>Popis skutkového stavu</w:t>
      </w:r>
    </w:p>
    <w:p w14:paraId="125EA0C8" w14:textId="7BAED867" w:rsidR="00ED3355" w:rsidRPr="00337B50" w:rsidRDefault="0044380E" w:rsidP="009A15A4">
      <w:pPr>
        <w:pStyle w:val="Odstavecseseznamem"/>
        <w:numPr>
          <w:ilvl w:val="0"/>
          <w:numId w:val="13"/>
        </w:numPr>
      </w:pPr>
      <w:r w:rsidRPr="00337B50">
        <w:t xml:space="preserve">Smluvní strany uzavřely dne </w:t>
      </w:r>
      <w:r w:rsidR="002A0E57" w:rsidRPr="00337B50">
        <w:t>15.7.2019</w:t>
      </w:r>
      <w:r w:rsidRPr="00337B50">
        <w:t xml:space="preserve"> </w:t>
      </w:r>
      <w:r w:rsidR="00C83E53" w:rsidRPr="00337B50">
        <w:t>smlouvu</w:t>
      </w:r>
      <w:r w:rsidR="00ED3355" w:rsidRPr="00337B50">
        <w:t>, jejímž předmětem byl</w:t>
      </w:r>
      <w:r w:rsidR="002A0E57" w:rsidRPr="00337B50">
        <w:t xml:space="preserve"> odběr elektromateriálu pro opravu elektroinstalace objektu zimoviště </w:t>
      </w:r>
      <w:r w:rsidR="00C83E53" w:rsidRPr="00337B50">
        <w:t>na základě potvrzen</w:t>
      </w:r>
      <w:r w:rsidR="002A0E57" w:rsidRPr="00337B50">
        <w:t>é</w:t>
      </w:r>
      <w:r w:rsidR="00C83E53" w:rsidRPr="00337B50">
        <w:t xml:space="preserve"> </w:t>
      </w:r>
      <w:r w:rsidRPr="00337B50">
        <w:t>objednávk</w:t>
      </w:r>
      <w:r w:rsidR="00C83E53" w:rsidRPr="00337B50">
        <w:t>y</w:t>
      </w:r>
      <w:r w:rsidRPr="00337B50">
        <w:t xml:space="preserve"> č. 2019/08</w:t>
      </w:r>
      <w:r w:rsidR="002A0E57" w:rsidRPr="00337B50">
        <w:t>4</w:t>
      </w:r>
      <w:r w:rsidRPr="00337B50">
        <w:t>l</w:t>
      </w:r>
      <w:r w:rsidR="002A0E57" w:rsidRPr="00337B50">
        <w:t>i</w:t>
      </w:r>
      <w:r w:rsidR="00ED3355" w:rsidRPr="00337B50">
        <w:t xml:space="preserve"> (dále jen „</w:t>
      </w:r>
      <w:r w:rsidR="00ED3355" w:rsidRPr="00337B50">
        <w:rPr>
          <w:b/>
          <w:bCs/>
        </w:rPr>
        <w:t>objednávka</w:t>
      </w:r>
      <w:r w:rsidR="00ED3355" w:rsidRPr="00337B50">
        <w:t>“)</w:t>
      </w:r>
      <w:r w:rsidRPr="00337B50">
        <w:t xml:space="preserve">. </w:t>
      </w:r>
    </w:p>
    <w:p w14:paraId="534AE635" w14:textId="52443841" w:rsidR="00ED3355" w:rsidRPr="00337B50" w:rsidRDefault="0044380E" w:rsidP="009A15A4">
      <w:pPr>
        <w:pStyle w:val="Odstavecseseznamem"/>
        <w:numPr>
          <w:ilvl w:val="0"/>
          <w:numId w:val="13"/>
        </w:numPr>
      </w:pPr>
      <w:r w:rsidRPr="00337B50">
        <w:t xml:space="preserve">Objednávka byla vystavena na částku </w:t>
      </w:r>
      <w:r w:rsidR="002A0E57" w:rsidRPr="00337B50">
        <w:t>49.586,78</w:t>
      </w:r>
      <w:r w:rsidRPr="00337B50">
        <w:t xml:space="preserve"> Kč bez DPH. </w:t>
      </w:r>
    </w:p>
    <w:p w14:paraId="7B6E5904" w14:textId="46FC048D" w:rsidR="00ED3355" w:rsidRPr="00337B50" w:rsidRDefault="00ED3355" w:rsidP="009A15A4">
      <w:pPr>
        <w:pStyle w:val="Odstavecseseznamem"/>
        <w:numPr>
          <w:ilvl w:val="0"/>
          <w:numId w:val="13"/>
        </w:numPr>
      </w:pPr>
      <w:r w:rsidRPr="00337B50">
        <w:t xml:space="preserve">Dodavatel poskytnul objednateli objednané plnění </w:t>
      </w:r>
      <w:r w:rsidR="00F85877" w:rsidRPr="00337B50">
        <w:t>dne 9.8.</w:t>
      </w:r>
      <w:r w:rsidR="00964EF6" w:rsidRPr="00337B50">
        <w:t xml:space="preserve"> 2019</w:t>
      </w:r>
      <w:r w:rsidRPr="00337B50">
        <w:t>.</w:t>
      </w:r>
    </w:p>
    <w:p w14:paraId="5359DF85" w14:textId="014F52DC" w:rsidR="0044380E" w:rsidRPr="009A15A4" w:rsidRDefault="0044380E" w:rsidP="009A15A4">
      <w:pPr>
        <w:pStyle w:val="Odstavecseseznamem"/>
        <w:numPr>
          <w:ilvl w:val="0"/>
          <w:numId w:val="13"/>
        </w:numPr>
      </w:pPr>
      <w:r w:rsidRPr="009A15A4">
        <w:t xml:space="preserve">Dne </w:t>
      </w:r>
      <w:r w:rsidR="00F85877">
        <w:t>9.8.</w:t>
      </w:r>
      <w:r w:rsidRPr="009A15A4">
        <w:t xml:space="preserve">2019 byla objednateli doručena faktura č. </w:t>
      </w:r>
      <w:r w:rsidR="00F85877">
        <w:t>190401876</w:t>
      </w:r>
      <w:r w:rsidRPr="009A15A4">
        <w:t xml:space="preserve"> na částku </w:t>
      </w:r>
      <w:r w:rsidR="00F85877">
        <w:t>59055,20</w:t>
      </w:r>
      <w:r w:rsidRPr="009A15A4">
        <w:t xml:space="preserve"> Kč bez DPH. Fakturovaná částka byla oproti částce na objednávce navýšena z důvodu </w:t>
      </w:r>
      <w:r w:rsidR="000A056D">
        <w:t>havárie elektroinstalace objektu zimoviště.</w:t>
      </w:r>
    </w:p>
    <w:p w14:paraId="39E0CEE7" w14:textId="08996EC5" w:rsidR="00ED3355" w:rsidRPr="00CA6F58" w:rsidRDefault="00ED3355" w:rsidP="009A15A4">
      <w:pPr>
        <w:pStyle w:val="Odstavecseseznamem"/>
        <w:numPr>
          <w:ilvl w:val="0"/>
          <w:numId w:val="13"/>
        </w:numPr>
      </w:pPr>
      <w:r w:rsidRPr="009A15A4">
        <w:t xml:space="preserve">Objednatel zaplatil dodavateli </w:t>
      </w:r>
      <w:r w:rsidR="002E738B" w:rsidRPr="009A15A4">
        <w:t xml:space="preserve">částku </w:t>
      </w:r>
      <w:r w:rsidR="000A056D">
        <w:t>59055,20</w:t>
      </w:r>
      <w:r w:rsidR="002E738B" w:rsidRPr="009A15A4">
        <w:t xml:space="preserve"> Kč bez DPH dne </w:t>
      </w:r>
      <w:r w:rsidR="00E9145C">
        <w:t>20.8.</w:t>
      </w:r>
      <w:r w:rsidR="00964EF6" w:rsidRPr="00CA6F58">
        <w:t xml:space="preserve"> 2019</w:t>
      </w:r>
      <w:r w:rsidR="002E738B" w:rsidRPr="00CA6F58">
        <w:t>.</w:t>
      </w:r>
    </w:p>
    <w:p w14:paraId="006E48BE" w14:textId="718DEA4D" w:rsidR="002E738B" w:rsidRPr="009A15A4" w:rsidRDefault="002E738B" w:rsidP="009A15A4">
      <w:pPr>
        <w:pStyle w:val="Odstavecseseznamem"/>
        <w:numPr>
          <w:ilvl w:val="0"/>
          <w:numId w:val="13"/>
        </w:numPr>
      </w:pPr>
      <w:r w:rsidRPr="009A15A4">
        <w:lastRenderedPageBreak/>
        <w:t xml:space="preserve">Smluvní strany výše uvedená plnění dle odst. 3 a odst. 5 tohoto článku </w:t>
      </w:r>
      <w:r w:rsidR="00F11837" w:rsidRPr="009A15A4">
        <w:t xml:space="preserve">této smlouvy </w:t>
      </w:r>
      <w:r w:rsidRPr="009A15A4">
        <w:t xml:space="preserve">poskytnutá na základě smlouvy </w:t>
      </w:r>
      <w:r w:rsidR="006A593B" w:rsidRPr="009A15A4">
        <w:t xml:space="preserve">o dodání </w:t>
      </w:r>
      <w:r w:rsidR="00025E30">
        <w:t>elektromateriálu</w:t>
      </w:r>
      <w:r w:rsidRPr="009A15A4">
        <w:t xml:space="preserve"> považují za nesporná. </w:t>
      </w:r>
    </w:p>
    <w:p w14:paraId="21E945D1" w14:textId="7917B064" w:rsidR="0044380E" w:rsidRPr="009A15A4" w:rsidRDefault="0044380E" w:rsidP="009A15A4">
      <w:pPr>
        <w:pStyle w:val="Odstavecseseznamem"/>
        <w:numPr>
          <w:ilvl w:val="0"/>
          <w:numId w:val="13"/>
        </w:numPr>
      </w:pPr>
      <w:r w:rsidRPr="009A15A4">
        <w:t>Objednatel je povinným subjektem dle § 2 odst. 1 zákona č. 340/2015 Sb., o zvláštních podmínkách účinnosti některých smluv, uveřejňování těchto smluv a o registru smluv (zákon o registru smluv), ve znění pozdějších předpisů (dále jen „</w:t>
      </w:r>
      <w:r w:rsidRPr="009A15A4">
        <w:rPr>
          <w:b/>
          <w:bCs/>
        </w:rPr>
        <w:t>zákon o registru smluv</w:t>
      </w:r>
      <w:r w:rsidRPr="009A15A4">
        <w:t>").</w:t>
      </w:r>
      <w:r w:rsidR="002E738B" w:rsidRPr="009A15A4">
        <w:t xml:space="preserve"> Na smlouvu </w:t>
      </w:r>
      <w:r w:rsidR="006A593B" w:rsidRPr="009A15A4">
        <w:t xml:space="preserve">o dodání </w:t>
      </w:r>
      <w:r w:rsidR="00D20CFE">
        <w:t>elektromateriálu</w:t>
      </w:r>
      <w:r w:rsidR="002E738B" w:rsidRPr="009A15A4">
        <w:t xml:space="preserve"> se zároveň vztahovala povinnost uveřejnění prostřednictvím registru smluv v souladu se zákonem o registru smluv. </w:t>
      </w:r>
    </w:p>
    <w:p w14:paraId="0D281D86" w14:textId="6A95AC47" w:rsidR="0044380E" w:rsidRPr="009A15A4" w:rsidRDefault="0044380E" w:rsidP="009A15A4">
      <w:pPr>
        <w:pStyle w:val="Odstavecseseznamem"/>
        <w:numPr>
          <w:ilvl w:val="0"/>
          <w:numId w:val="13"/>
        </w:numPr>
      </w:pPr>
      <w:r w:rsidRPr="009A15A4">
        <w:t xml:space="preserve">Obě smluvní strany shodně konstatují, že do okamžiku sjednání této </w:t>
      </w:r>
      <w:r w:rsidR="00F11837" w:rsidRPr="009A15A4">
        <w:t xml:space="preserve">smlouvy </w:t>
      </w:r>
      <w:r w:rsidRPr="009A15A4">
        <w:t xml:space="preserve">nedošlo k uveřejnění </w:t>
      </w:r>
      <w:r w:rsidR="0016386E" w:rsidRPr="009A15A4">
        <w:t>smlouvy</w:t>
      </w:r>
      <w:r w:rsidR="00F11837" w:rsidRPr="009A15A4">
        <w:t xml:space="preserve"> o dodání </w:t>
      </w:r>
      <w:r w:rsidR="00025E30">
        <w:t>elektromateriálu</w:t>
      </w:r>
      <w:r w:rsidR="00F11837" w:rsidRPr="009A15A4">
        <w:t xml:space="preserve">, resp. potvrzené </w:t>
      </w:r>
      <w:r w:rsidRPr="009A15A4">
        <w:t>objednávky uvedené v odst. 1 tohoto článku v registru smluv, a že jsou si vědomy právních následků s tím spojených.</w:t>
      </w:r>
    </w:p>
    <w:p w14:paraId="57015E4E" w14:textId="2385F4BA" w:rsidR="00F11837" w:rsidRPr="009A15A4" w:rsidRDefault="00F11837" w:rsidP="009A15A4">
      <w:pPr>
        <w:pStyle w:val="Odstavecseseznamem"/>
        <w:numPr>
          <w:ilvl w:val="0"/>
          <w:numId w:val="13"/>
        </w:numPr>
      </w:pPr>
      <w:r w:rsidRPr="009A15A4">
        <w:t xml:space="preserve">Vzhledem k tomu, že smlouva o dodání </w:t>
      </w:r>
      <w:r w:rsidR="00025E30">
        <w:t>elektromateriálu</w:t>
      </w:r>
      <w:r w:rsidRPr="009A15A4">
        <w:t xml:space="preserve"> nebyla ani jednou ze smluvních stran uveřejněná v registru smluv </w:t>
      </w:r>
      <w:r w:rsidR="00964EF6" w:rsidRPr="009A15A4">
        <w:t>ani do 3 měsíců od jejího uzavření</w:t>
      </w:r>
      <w:r w:rsidRPr="009A15A4">
        <w:t xml:space="preserve">, </w:t>
      </w:r>
      <w:r w:rsidR="00964EF6" w:rsidRPr="009A15A4">
        <w:t xml:space="preserve">platí však, že je v souladu s § 7 odst. 1 zákona o registru smluv zrušena od </w:t>
      </w:r>
      <w:proofErr w:type="gramStart"/>
      <w:r w:rsidR="00964EF6" w:rsidRPr="009A15A4">
        <w:t>počátku.</w:t>
      </w:r>
      <w:r w:rsidRPr="009A15A4">
        <w:t>.</w:t>
      </w:r>
      <w:proofErr w:type="gramEnd"/>
      <w:r w:rsidRPr="009A15A4">
        <w:t xml:space="preserve"> Tím vzniklo smluvním stranám bezdůvodné obohacení, které je nutné vypořádat.</w:t>
      </w:r>
    </w:p>
    <w:p w14:paraId="6A8BB681" w14:textId="1366158C" w:rsidR="0044380E" w:rsidRPr="009A15A4" w:rsidRDefault="0044380E" w:rsidP="009A15A4">
      <w:pPr>
        <w:pStyle w:val="Odstavecseseznamem"/>
        <w:numPr>
          <w:ilvl w:val="0"/>
          <w:numId w:val="13"/>
        </w:numPr>
      </w:pPr>
      <w:r w:rsidRPr="009A15A4">
        <w:t xml:space="preserve">V zájmu úpravy vzájemných práv a povinností vyplývajících z původně sjednané objednávky, s ohledem na skutečnost, že obě strany jednaly s vědomím závaznosti uzavřené objednávky a v souladu s jejím obsahem plnily, co si vzájemně ujednaly, a ve snaze napravit závadný stav vzniklý v důsledku neuveřejnění objednávky v </w:t>
      </w:r>
      <w:r w:rsidR="00964EF6" w:rsidRPr="009A15A4">
        <w:t>r</w:t>
      </w:r>
      <w:r w:rsidRPr="009A15A4">
        <w:t xml:space="preserve">egistru smluv, sjednávají smluvní strany tuto </w:t>
      </w:r>
      <w:r w:rsidR="00964EF6" w:rsidRPr="009A15A4">
        <w:t>smlouvu ve znění, jak je dále uvedeno.</w:t>
      </w:r>
    </w:p>
    <w:p w14:paraId="0CE5650F" w14:textId="77777777" w:rsidR="0044380E" w:rsidRPr="004901E7" w:rsidRDefault="0044380E" w:rsidP="00B81453">
      <w:pPr>
        <w:pStyle w:val="Nadpis10"/>
        <w:keepNext/>
        <w:keepLines/>
        <w:numPr>
          <w:ilvl w:val="0"/>
          <w:numId w:val="5"/>
        </w:numPr>
        <w:shd w:val="clear" w:color="auto" w:fill="auto"/>
        <w:spacing w:before="240" w:after="120" w:line="240" w:lineRule="auto"/>
        <w:ind w:left="5262"/>
        <w:rPr>
          <w:rFonts w:ascii="Times New Roman" w:hAnsi="Times New Roman" w:cs="Times New Roman"/>
        </w:rPr>
      </w:pPr>
    </w:p>
    <w:p w14:paraId="57629D08" w14:textId="77777777" w:rsidR="0044380E" w:rsidRPr="004901E7" w:rsidRDefault="0044380E" w:rsidP="009A15A4">
      <w:pPr>
        <w:pStyle w:val="Nadpis30"/>
        <w:keepNext/>
        <w:keepLines/>
        <w:shd w:val="clear" w:color="auto" w:fill="auto"/>
        <w:spacing w:after="120" w:line="240" w:lineRule="auto"/>
        <w:ind w:right="60"/>
        <w:jc w:val="center"/>
        <w:rPr>
          <w:rFonts w:ascii="Times New Roman" w:hAnsi="Times New Roman" w:cs="Times New Roman"/>
        </w:rPr>
      </w:pPr>
      <w:bookmarkStart w:id="1" w:name="bookmark3"/>
      <w:r w:rsidRPr="004901E7">
        <w:rPr>
          <w:rFonts w:ascii="Times New Roman" w:hAnsi="Times New Roman" w:cs="Times New Roman"/>
        </w:rPr>
        <w:t>Práva a závazky smluvních stran</w:t>
      </w:r>
      <w:bookmarkEnd w:id="1"/>
    </w:p>
    <w:p w14:paraId="7D2F18AA" w14:textId="147F4554" w:rsidR="00331ABC" w:rsidRPr="00B81453" w:rsidRDefault="00331ABC" w:rsidP="00B81453">
      <w:pPr>
        <w:pStyle w:val="Odstavecseseznamem"/>
        <w:numPr>
          <w:ilvl w:val="0"/>
          <w:numId w:val="14"/>
        </w:numPr>
      </w:pPr>
      <w:r w:rsidRPr="00B81453">
        <w:t xml:space="preserve">Smluvní strany si tímto ujednáním vzájemně stvrzují, že obsah vzájemných práv a povinností, který touto dohodou nově sjednávají, je zcela a beze zbytku vyjádřen textem původně sjednané smlouvy o dodání </w:t>
      </w:r>
      <w:r w:rsidR="00025E30">
        <w:t>elektromateriálu</w:t>
      </w:r>
      <w:r w:rsidRPr="00B81453">
        <w:t>, resp. potvrzené objednávky, která tvoří pro tyto účely přílohu této smlouvy.</w:t>
      </w:r>
    </w:p>
    <w:p w14:paraId="12D22D05" w14:textId="77777777" w:rsidR="00352E2F" w:rsidRPr="00B81453" w:rsidRDefault="00352E2F" w:rsidP="00B81453">
      <w:pPr>
        <w:pStyle w:val="Odstavecseseznamem"/>
        <w:numPr>
          <w:ilvl w:val="0"/>
          <w:numId w:val="14"/>
        </w:numPr>
      </w:pPr>
      <w:r w:rsidRPr="00B81453">
        <w:t>Smluvní strany prohlašují, že veškerá vzájemně poskytnutá plnění na základě původně sjednané smlouvy o dodání léčiv, resp. potvrzené objednávky považují za plnění dle této smlouvy a že v souvislosti se vzájemně poskytnutým plněním nebudou vzájemně vznášet vůči druhé smluvní straně nároky z titulu bezdůvodného obohacení.</w:t>
      </w:r>
    </w:p>
    <w:p w14:paraId="2415C4A7" w14:textId="24E6EE21" w:rsidR="006E2C4D" w:rsidRPr="00B81453" w:rsidRDefault="006E2C4D" w:rsidP="00B81453">
      <w:pPr>
        <w:pStyle w:val="Odstavecseseznamem"/>
        <w:numPr>
          <w:ilvl w:val="0"/>
          <w:numId w:val="14"/>
        </w:numPr>
      </w:pPr>
      <w:r w:rsidRPr="00B81453">
        <w:t>Bezdůvodným obohacením j</w:t>
      </w:r>
      <w:r w:rsidR="00025E30">
        <w:t>e</w:t>
      </w:r>
      <w:r w:rsidRPr="00B81453">
        <w:t xml:space="preserve"> na straně objednatele přijat</w:t>
      </w:r>
      <w:r w:rsidR="00025E30">
        <w:t>ý</w:t>
      </w:r>
      <w:r w:rsidRPr="00B81453">
        <w:t xml:space="preserve"> </w:t>
      </w:r>
      <w:r w:rsidR="00025E30">
        <w:t>elektromateriál v</w:t>
      </w:r>
      <w:r w:rsidRPr="00B81453">
        <w:t xml:space="preserve"> hod</w:t>
      </w:r>
      <w:r w:rsidR="00CB72BB" w:rsidRPr="00B81453">
        <w:t>notě odpovídající ceně uvedené na faktuře č.</w:t>
      </w:r>
      <w:r w:rsidRPr="00B81453">
        <w:t xml:space="preserve"> </w:t>
      </w:r>
      <w:r w:rsidR="00025E30">
        <w:t>190401876</w:t>
      </w:r>
      <w:r w:rsidRPr="00B81453">
        <w:t xml:space="preserve">, tedy ve výši </w:t>
      </w:r>
      <w:r w:rsidR="00025E30">
        <w:t>59.055,20</w:t>
      </w:r>
      <w:r w:rsidR="00CB72BB" w:rsidRPr="00B81453">
        <w:t xml:space="preserve"> Kč</w:t>
      </w:r>
      <w:r w:rsidRPr="00B81453">
        <w:t xml:space="preserve"> bez DPH, na straně </w:t>
      </w:r>
      <w:r w:rsidR="00CB72BB" w:rsidRPr="00B81453">
        <w:t>dodava</w:t>
      </w:r>
      <w:r w:rsidRPr="00B81453">
        <w:t xml:space="preserve">tele je pak bezdůvodným obohacením úplata ve výši </w:t>
      </w:r>
      <w:r w:rsidR="00025E30">
        <w:t>59.055,20</w:t>
      </w:r>
      <w:r w:rsidR="00CB72BB" w:rsidRPr="00B81453">
        <w:t xml:space="preserve"> Kč</w:t>
      </w:r>
      <w:r w:rsidRPr="00B81453">
        <w:t xml:space="preserve"> bez DPH.</w:t>
      </w:r>
    </w:p>
    <w:p w14:paraId="7225F81B" w14:textId="77777777" w:rsidR="00CB72BB" w:rsidRPr="00B81453" w:rsidRDefault="00CB72BB" w:rsidP="00B81453">
      <w:pPr>
        <w:pStyle w:val="Odstavecseseznamem"/>
        <w:numPr>
          <w:ilvl w:val="0"/>
          <w:numId w:val="14"/>
        </w:numPr>
      </w:pPr>
      <w:r w:rsidRPr="00B81453">
        <w:t>Smluvní strany budou při vypořádání bezdůvodného obohacení postupovat podle § 2999 občanského zákoníku, neboť vydání předmětu bezdůvodného obohacení objednatelem není dobře možné. Současně ochuzený, tedy dodavatel, plnil ve prospěch objednatele, přičemž mu náleží náhrada ve výši tohoto plnění.</w:t>
      </w:r>
    </w:p>
    <w:p w14:paraId="35AC21EA" w14:textId="3F019E7E" w:rsidR="00CB72BB" w:rsidRPr="00B81453" w:rsidRDefault="00CB72BB" w:rsidP="00B81453">
      <w:pPr>
        <w:pStyle w:val="Odstavecseseznamem"/>
        <w:numPr>
          <w:ilvl w:val="0"/>
          <w:numId w:val="14"/>
        </w:numPr>
      </w:pPr>
      <w:r w:rsidRPr="00B81453">
        <w:t xml:space="preserve">Jelikož si smluvní strany dluží plnění stejného druhu (peněžité plnění) a ve stejné výši (tedy ve výši úplaty sjednané na základě smlouvy o dodání </w:t>
      </w:r>
      <w:r w:rsidR="00D20CFE">
        <w:t>elektromateriálu</w:t>
      </w:r>
      <w:r w:rsidRPr="00B81453">
        <w:t>), dohodly se smluvní strany tímto na vypořádání bezdůvodného obohacení vzájemným započtením pohledávek v souladu s § 1982 odst. 1 občanského zákoníku, přičemž obě pohledávky se tímto zcela ruší dle § 1982 odst. 2 občanského zákoníku.</w:t>
      </w:r>
    </w:p>
    <w:p w14:paraId="279DDC76" w14:textId="77777777" w:rsidR="00CB72BB" w:rsidRPr="00B81453" w:rsidRDefault="00CB72BB" w:rsidP="00B81453">
      <w:pPr>
        <w:pStyle w:val="Odstavecseseznamem"/>
        <w:numPr>
          <w:ilvl w:val="0"/>
          <w:numId w:val="14"/>
        </w:numPr>
      </w:pPr>
      <w:r w:rsidRPr="00B81453">
        <w:t>Smluvní strany pro případ vyloučení budoucích sporů prohlašují, že na plnění představující bezdůvodné obohacení se vztahují ustanovení občanského zákoníku týkající se práv z vadného plnění.</w:t>
      </w:r>
    </w:p>
    <w:p w14:paraId="6E1F5529" w14:textId="5C2E2978" w:rsidR="00352E2F" w:rsidRPr="00B81453" w:rsidRDefault="006A4DF9" w:rsidP="00B81453">
      <w:pPr>
        <w:pStyle w:val="Odstavecseseznamem"/>
        <w:numPr>
          <w:ilvl w:val="0"/>
          <w:numId w:val="14"/>
        </w:numPr>
      </w:pPr>
      <w:r w:rsidRPr="00B81453">
        <w:t xml:space="preserve">Smluvní strany pro vyloučení pochybností rovněž prohlašují, že práva a povinnosti, které by měly přetrvávat ze smlouvy o dodání </w:t>
      </w:r>
      <w:r w:rsidR="00025E30">
        <w:t>elektromateriálu</w:t>
      </w:r>
      <w:r w:rsidRPr="00B81453">
        <w:t>, uzavřením této smlouvy nabývají platnosti a účinnosti.</w:t>
      </w:r>
    </w:p>
    <w:p w14:paraId="4312EBDF" w14:textId="36E3AA45" w:rsidR="006A4DF9" w:rsidRPr="00A95D04" w:rsidRDefault="00352E2F" w:rsidP="00B81453">
      <w:pPr>
        <w:pStyle w:val="Odstavecseseznamem"/>
        <w:numPr>
          <w:ilvl w:val="0"/>
          <w:numId w:val="14"/>
        </w:numPr>
      </w:pPr>
      <w:r w:rsidRPr="00B81453">
        <w:lastRenderedPageBreak/>
        <w:t>Veškerá budoucí plnění z této smlouvy</w:t>
      </w:r>
      <w:r w:rsidR="007C54CC" w:rsidRPr="00B81453">
        <w:t>, která mají být od okamžiku jejího uveřejnění v registru smluv plněna v souladu s obsahem vzájemných závazků vyjádřených v potvrzené objednávce v příloze k této smlouvě, budou splněna podle sjednaných podmínek.</w:t>
      </w:r>
      <w:r w:rsidR="007C54CC" w:rsidRPr="000B1616">
        <w:t xml:space="preserve"> </w:t>
      </w:r>
    </w:p>
    <w:p w14:paraId="50A9E5A4" w14:textId="77777777" w:rsidR="0044380E" w:rsidRPr="004901E7" w:rsidRDefault="0044380E" w:rsidP="00B81453">
      <w:pPr>
        <w:pStyle w:val="Nadpis10"/>
        <w:keepNext/>
        <w:keepLines/>
        <w:numPr>
          <w:ilvl w:val="0"/>
          <w:numId w:val="5"/>
        </w:numPr>
        <w:shd w:val="clear" w:color="auto" w:fill="auto"/>
        <w:spacing w:before="240" w:after="120" w:line="240" w:lineRule="auto"/>
        <w:ind w:left="5262"/>
        <w:rPr>
          <w:rFonts w:ascii="Times New Roman" w:hAnsi="Times New Roman" w:cs="Times New Roman"/>
        </w:rPr>
      </w:pPr>
    </w:p>
    <w:p w14:paraId="20DBA503" w14:textId="153A25B8" w:rsidR="0044380E" w:rsidRPr="004901E7" w:rsidRDefault="0044380E" w:rsidP="009A15A4">
      <w:pPr>
        <w:pStyle w:val="Nadpis30"/>
        <w:keepNext/>
        <w:keepLines/>
        <w:shd w:val="clear" w:color="auto" w:fill="auto"/>
        <w:spacing w:after="120" w:line="240" w:lineRule="auto"/>
        <w:ind w:left="284" w:right="60" w:hanging="284"/>
        <w:jc w:val="center"/>
        <w:rPr>
          <w:rFonts w:ascii="Times New Roman" w:hAnsi="Times New Roman" w:cs="Times New Roman"/>
        </w:rPr>
      </w:pPr>
      <w:bookmarkStart w:id="2" w:name="bookmark5"/>
      <w:r w:rsidRPr="004901E7">
        <w:rPr>
          <w:rFonts w:ascii="Times New Roman" w:hAnsi="Times New Roman" w:cs="Times New Roman"/>
        </w:rPr>
        <w:t>Závěrečná u</w:t>
      </w:r>
      <w:r w:rsidR="00C83E53" w:rsidRPr="004901E7">
        <w:rPr>
          <w:rFonts w:ascii="Times New Roman" w:hAnsi="Times New Roman" w:cs="Times New Roman"/>
        </w:rPr>
        <w:t>jedná</w:t>
      </w:r>
      <w:r w:rsidRPr="004901E7">
        <w:rPr>
          <w:rFonts w:ascii="Times New Roman" w:hAnsi="Times New Roman" w:cs="Times New Roman"/>
        </w:rPr>
        <w:t>ní</w:t>
      </w:r>
      <w:bookmarkEnd w:id="2"/>
    </w:p>
    <w:p w14:paraId="2556352A" w14:textId="77777777" w:rsidR="00C83E53" w:rsidRPr="00B81453" w:rsidRDefault="00C83E53" w:rsidP="00B81453">
      <w:pPr>
        <w:pStyle w:val="Odstavecseseznamem"/>
        <w:numPr>
          <w:ilvl w:val="0"/>
          <w:numId w:val="15"/>
        </w:numPr>
      </w:pPr>
      <w:r w:rsidRPr="00B81453">
        <w:t xml:space="preserve">Veškeré změny a doplňky </w:t>
      </w:r>
      <w:r w:rsidR="004901E7" w:rsidRPr="00B81453">
        <w:t>smlouv</w:t>
      </w:r>
      <w:r w:rsidRPr="00B81453">
        <w:t xml:space="preserve">y mohou být provedeny pouze písemnou dohodou stran, označenou výslovně jako její dodatek. Smluvní strany vylučují možnost změny této </w:t>
      </w:r>
      <w:r w:rsidR="004901E7" w:rsidRPr="00B81453">
        <w:t>smlouv</w:t>
      </w:r>
      <w:r w:rsidRPr="00B81453">
        <w:t>y jinou než písemnou formou. Za zprávy v písemné formě nebudou považovány e-mailové zprávy.</w:t>
      </w:r>
    </w:p>
    <w:p w14:paraId="77425443" w14:textId="77777777" w:rsidR="00C83E53" w:rsidRPr="00B81453" w:rsidRDefault="00C83E53" w:rsidP="00B81453">
      <w:pPr>
        <w:pStyle w:val="Odstavecseseznamem"/>
        <w:numPr>
          <w:ilvl w:val="0"/>
          <w:numId w:val="15"/>
        </w:numPr>
      </w:pPr>
      <w:r w:rsidRPr="00B81453">
        <w:t xml:space="preserve">Žádná ze smluvních stran není bez písemného souhlasu druhé smluvní strany oprávněna postoupit tuto </w:t>
      </w:r>
      <w:r w:rsidR="004901E7" w:rsidRPr="00B81453">
        <w:t>smlouv</w:t>
      </w:r>
      <w:r w:rsidRPr="00B81453">
        <w:t xml:space="preserve">u, postoupit práva ani převést povinnosti vyplývající z této </w:t>
      </w:r>
      <w:r w:rsidR="004901E7" w:rsidRPr="00B81453">
        <w:t>smlouv</w:t>
      </w:r>
      <w:r w:rsidRPr="00B81453">
        <w:t>y, a to ani částečně.</w:t>
      </w:r>
    </w:p>
    <w:p w14:paraId="46A77D89" w14:textId="77777777" w:rsidR="00C83E53" w:rsidRPr="00B81453" w:rsidRDefault="00C83E53" w:rsidP="00B81453">
      <w:pPr>
        <w:pStyle w:val="Odstavecseseznamem"/>
        <w:numPr>
          <w:ilvl w:val="0"/>
          <w:numId w:val="15"/>
        </w:numPr>
      </w:pPr>
      <w:r w:rsidRPr="00B81453">
        <w:t>V případě neplatnosti či neúčinnosti jakéhokoli u</w:t>
      </w:r>
      <w:r w:rsidR="0016386E" w:rsidRPr="00B81453">
        <w:t>jedná</w:t>
      </w:r>
      <w:r w:rsidRPr="00B81453">
        <w:t xml:space="preserve">ní této </w:t>
      </w:r>
      <w:r w:rsidR="004901E7" w:rsidRPr="00B81453">
        <w:t>smlouv</w:t>
      </w:r>
      <w:r w:rsidRPr="00B81453">
        <w:t>y zůstávají ostatní u</w:t>
      </w:r>
      <w:r w:rsidR="0016386E" w:rsidRPr="00B81453">
        <w:t>jedná</w:t>
      </w:r>
      <w:r w:rsidRPr="00B81453">
        <w:t xml:space="preserve">ní </w:t>
      </w:r>
      <w:r w:rsidR="004901E7" w:rsidRPr="00B81453">
        <w:t>smlouv</w:t>
      </w:r>
      <w:r w:rsidRPr="00B81453">
        <w:t xml:space="preserve">y platná a účinná. Smluvní strany se zavazují pro případ neplatnosti, neúčinnosti nebo nevymahatelnosti některého ujednání této </w:t>
      </w:r>
      <w:r w:rsidR="004901E7" w:rsidRPr="00B81453">
        <w:t>smlouv</w:t>
      </w:r>
      <w:r w:rsidRPr="00B81453">
        <w:t xml:space="preserve">y nebo celé </w:t>
      </w:r>
      <w:r w:rsidR="004901E7" w:rsidRPr="00B81453">
        <w:t>smlouv</w:t>
      </w:r>
      <w:r w:rsidRPr="00B81453">
        <w:t>y nahradit příslušná ujednání u</w:t>
      </w:r>
      <w:r w:rsidR="004901E7" w:rsidRPr="00B81453">
        <w:t>jedná</w:t>
      </w:r>
      <w:r w:rsidRPr="00B81453">
        <w:t xml:space="preserve">ními platnými, účinnými a vymahatelnými, případně uzavřít novou </w:t>
      </w:r>
      <w:r w:rsidR="004901E7" w:rsidRPr="00B81453">
        <w:t>smlouv</w:t>
      </w:r>
      <w:r w:rsidRPr="00B81453">
        <w:t>u tak, aby nejlépe odpovídala dnes projevené vůli smluvních stran. Pro splnění tohoto závazku sjednávají smluvní strany lhůtu 14 dnů ode dne, kdy o to jedna strana požádá druhou, pokud se ze závažných důvodů nedohodnou písemně na jiné lhůtě.</w:t>
      </w:r>
    </w:p>
    <w:p w14:paraId="2287B987" w14:textId="77777777" w:rsidR="00C83E53" w:rsidRPr="00B81453" w:rsidRDefault="00C83E53" w:rsidP="00B81453">
      <w:pPr>
        <w:pStyle w:val="Odstavecseseznamem"/>
        <w:numPr>
          <w:ilvl w:val="0"/>
          <w:numId w:val="15"/>
        </w:numPr>
      </w:pPr>
      <w:r w:rsidRPr="00B81453">
        <w:t>Smluvní strany výslovně potvrzují, že základní podmínky této smlouvy jsou výsledkem jednání smluvních stran a každá ze smluvních stran měla příležitost ovlivnit obsah podmínek této smlouvy. Smluvní strany výslovně vylučují ochranná ustanovení občanského zákoníku o adhezních smlouvách.</w:t>
      </w:r>
    </w:p>
    <w:p w14:paraId="4BE531D4" w14:textId="77777777" w:rsidR="0044380E" w:rsidRPr="00B81453" w:rsidRDefault="0044380E" w:rsidP="00B81453">
      <w:pPr>
        <w:pStyle w:val="Odstavecseseznamem"/>
        <w:numPr>
          <w:ilvl w:val="0"/>
          <w:numId w:val="15"/>
        </w:numPr>
      </w:pPr>
      <w:r w:rsidRPr="00B81453">
        <w:t>Tato smlouva o vypořádání závazků nabývá platnosti dnem jejího podpisu oběma smluvními stranami a účinnosti dnem jejího uveřejnění v registru smluv.</w:t>
      </w:r>
      <w:r w:rsidR="00CB72BB" w:rsidRPr="00B81453">
        <w:t xml:space="preserve"> Objednatel se tímto zavazuje k neprodlenému uveřejnění této smlouvy a její</w:t>
      </w:r>
      <w:r w:rsidR="0016386E" w:rsidRPr="00B81453">
        <w:t>ch</w:t>
      </w:r>
      <w:r w:rsidR="00CB72BB" w:rsidRPr="00B81453">
        <w:t xml:space="preserve"> kompletní</w:t>
      </w:r>
      <w:r w:rsidR="0016386E" w:rsidRPr="00B81453">
        <w:t>ch příloh</w:t>
      </w:r>
      <w:r w:rsidR="00CB72BB" w:rsidRPr="00B81453">
        <w:t xml:space="preserve"> v registru smluv v souladu s ustanovením § 5 zákona o registru smluv. </w:t>
      </w:r>
    </w:p>
    <w:p w14:paraId="32B57E4A" w14:textId="08217502" w:rsidR="0044380E" w:rsidRPr="00B81453" w:rsidRDefault="0044380E" w:rsidP="00B81453">
      <w:pPr>
        <w:pStyle w:val="Odstavecseseznamem"/>
        <w:numPr>
          <w:ilvl w:val="0"/>
          <w:numId w:val="15"/>
        </w:numPr>
      </w:pPr>
      <w:r w:rsidRPr="00B81453">
        <w:t>Tato smlouva je vyhotovena ve dvou stejnopisech, každý s hodnotou originálu, přičemž každá ze smluvních stran obdrží jeden stejnopis.</w:t>
      </w:r>
    </w:p>
    <w:p w14:paraId="77BAA26A" w14:textId="3C9BE343" w:rsidR="006E2C4D" w:rsidRPr="00B81453" w:rsidRDefault="0044380E" w:rsidP="00B81453">
      <w:pPr>
        <w:pStyle w:val="Odstavecseseznamem"/>
        <w:numPr>
          <w:ilvl w:val="0"/>
          <w:numId w:val="15"/>
        </w:numPr>
        <w:rPr>
          <w:rFonts w:cs="Times New Roman"/>
        </w:rPr>
      </w:pPr>
      <w:r w:rsidRPr="00B81453">
        <w:t xml:space="preserve">Nedílnou součástí této smlouvy </w:t>
      </w:r>
      <w:r w:rsidR="006E2C4D" w:rsidRPr="00B81453">
        <w:t xml:space="preserve">jsou následující </w:t>
      </w:r>
      <w:r w:rsidRPr="00B81453">
        <w:t>příloh</w:t>
      </w:r>
      <w:r w:rsidR="006E2C4D" w:rsidRPr="00B81453">
        <w:t>y</w:t>
      </w:r>
      <w:r w:rsidRPr="00B81453">
        <w:rPr>
          <w:rFonts w:cs="Times New Roman"/>
        </w:rPr>
        <w:t xml:space="preserve">: </w:t>
      </w:r>
    </w:p>
    <w:p w14:paraId="4DF5ABED" w14:textId="100990DD" w:rsidR="006E2C4D" w:rsidRPr="000B1616" w:rsidRDefault="006E2C4D" w:rsidP="009A15A4">
      <w:pPr>
        <w:pStyle w:val="Zkladntext20"/>
        <w:numPr>
          <w:ilvl w:val="0"/>
          <w:numId w:val="11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i/>
        </w:rPr>
      </w:pPr>
      <w:r w:rsidRPr="000B1616">
        <w:rPr>
          <w:rFonts w:ascii="Times New Roman" w:hAnsi="Times New Roman" w:cs="Times New Roman"/>
          <w:i/>
        </w:rPr>
        <w:t xml:space="preserve"> příloha č. 1 o</w:t>
      </w:r>
      <w:r w:rsidR="0044380E" w:rsidRPr="000B1616">
        <w:rPr>
          <w:rFonts w:ascii="Times New Roman" w:hAnsi="Times New Roman" w:cs="Times New Roman"/>
          <w:i/>
        </w:rPr>
        <w:t>bjednávka č. 2019</w:t>
      </w:r>
      <w:r w:rsidR="000A056D">
        <w:rPr>
          <w:rFonts w:ascii="Times New Roman" w:hAnsi="Times New Roman" w:cs="Times New Roman"/>
          <w:i/>
        </w:rPr>
        <w:t>/084li</w:t>
      </w:r>
      <w:r w:rsidRPr="000B1616">
        <w:rPr>
          <w:rFonts w:ascii="Times New Roman" w:hAnsi="Times New Roman" w:cs="Times New Roman"/>
          <w:i/>
        </w:rPr>
        <w:t>,</w:t>
      </w:r>
    </w:p>
    <w:p w14:paraId="64D180D5" w14:textId="6B95EF3C" w:rsidR="0044380E" w:rsidRPr="004901E7" w:rsidRDefault="006E2C4D" w:rsidP="009A15A4">
      <w:pPr>
        <w:pStyle w:val="Zkladntext20"/>
        <w:numPr>
          <w:ilvl w:val="0"/>
          <w:numId w:val="11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</w:rPr>
      </w:pPr>
      <w:r w:rsidRPr="000B1616">
        <w:rPr>
          <w:rFonts w:ascii="Times New Roman" w:hAnsi="Times New Roman" w:cs="Times New Roman"/>
          <w:i/>
        </w:rPr>
        <w:t xml:space="preserve">příloha č. 2: Faktura č. </w:t>
      </w:r>
      <w:r w:rsidR="000A056D">
        <w:rPr>
          <w:rFonts w:ascii="Times New Roman" w:hAnsi="Times New Roman" w:cs="Times New Roman"/>
          <w:i/>
        </w:rPr>
        <w:t>190401876</w:t>
      </w:r>
      <w:r w:rsidRPr="004901E7">
        <w:rPr>
          <w:rFonts w:ascii="Times New Roman" w:hAnsi="Times New Roman" w:cs="Times New Roman"/>
        </w:rPr>
        <w:t>.</w:t>
      </w:r>
    </w:p>
    <w:p w14:paraId="54484E22" w14:textId="77777777" w:rsidR="0044380E" w:rsidRDefault="0044380E" w:rsidP="009A15A4">
      <w:pPr>
        <w:pStyle w:val="Zkladntext20"/>
        <w:shd w:val="clear" w:color="auto" w:fill="auto"/>
        <w:tabs>
          <w:tab w:val="left" w:pos="352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22"/>
        <w:gridCol w:w="3021"/>
      </w:tblGrid>
      <w:tr w:rsidR="00B81453" w14:paraId="68B7389B" w14:textId="77777777" w:rsidTr="00EF6DE7">
        <w:tc>
          <w:tcPr>
            <w:tcW w:w="3119" w:type="dxa"/>
            <w:tcBorders>
              <w:bottom w:val="single" w:sz="4" w:space="0" w:color="auto"/>
            </w:tcBorders>
          </w:tcPr>
          <w:p w14:paraId="6D335C1D" w14:textId="33FD3D8A" w:rsidR="00B81453" w:rsidRDefault="00B81453" w:rsidP="00EF6DE7">
            <w:pPr>
              <w:pStyle w:val="Zkladntext20"/>
              <w:shd w:val="clear" w:color="auto" w:fill="auto"/>
              <w:tabs>
                <w:tab w:val="left" w:pos="352"/>
              </w:tabs>
              <w:spacing w:before="0" w:after="120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Ústí nad Labem dne ________</w:t>
            </w:r>
          </w:p>
        </w:tc>
        <w:tc>
          <w:tcPr>
            <w:tcW w:w="2922" w:type="dxa"/>
          </w:tcPr>
          <w:p w14:paraId="6661C5C9" w14:textId="77777777" w:rsidR="00B81453" w:rsidRDefault="00B81453" w:rsidP="009A15A4">
            <w:pPr>
              <w:pStyle w:val="Zkladntext20"/>
              <w:shd w:val="clear" w:color="auto" w:fill="auto"/>
              <w:tabs>
                <w:tab w:val="left" w:pos="352"/>
              </w:tabs>
              <w:spacing w:before="0"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FED9699" w14:textId="0262C581" w:rsidR="00B81453" w:rsidRDefault="00B81453" w:rsidP="009A15A4">
            <w:pPr>
              <w:pStyle w:val="Zkladntext20"/>
              <w:shd w:val="clear" w:color="auto" w:fill="auto"/>
              <w:tabs>
                <w:tab w:val="left" w:pos="352"/>
              </w:tabs>
              <w:spacing w:before="0"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Ústí nad Labem dne ________</w:t>
            </w:r>
          </w:p>
        </w:tc>
      </w:tr>
      <w:tr w:rsidR="00B81453" w14:paraId="70F293C5" w14:textId="77777777" w:rsidTr="00EF6DE7">
        <w:tc>
          <w:tcPr>
            <w:tcW w:w="3119" w:type="dxa"/>
            <w:tcBorders>
              <w:top w:val="single" w:sz="4" w:space="0" w:color="auto"/>
            </w:tcBorders>
          </w:tcPr>
          <w:p w14:paraId="7A30D6D2" w14:textId="77777777" w:rsidR="00B81453" w:rsidRDefault="00EF6DE7" w:rsidP="00EF6DE7">
            <w:pPr>
              <w:pStyle w:val="Zkladntext20"/>
              <w:shd w:val="clear" w:color="auto" w:fill="auto"/>
              <w:tabs>
                <w:tab w:val="left" w:pos="352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Roman Končel, ředitel</w:t>
            </w:r>
          </w:p>
          <w:p w14:paraId="58038805" w14:textId="4E654D85" w:rsidR="00EF6DE7" w:rsidRDefault="00EF6DE7" w:rsidP="00EF6DE7">
            <w:pPr>
              <w:pStyle w:val="Zkladntext20"/>
              <w:shd w:val="clear" w:color="auto" w:fill="auto"/>
              <w:tabs>
                <w:tab w:val="left" w:pos="352"/>
              </w:tabs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Zoologická zahrada Ústí nad </w:t>
            </w:r>
            <w:r w:rsidR="00025E30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>Labem, příspěvková organizace</w:t>
            </w:r>
          </w:p>
        </w:tc>
        <w:tc>
          <w:tcPr>
            <w:tcW w:w="2922" w:type="dxa"/>
          </w:tcPr>
          <w:p w14:paraId="1A860F5F" w14:textId="77777777" w:rsidR="00B81453" w:rsidRDefault="00B81453" w:rsidP="00EF6DE7">
            <w:pPr>
              <w:pStyle w:val="Zkladntext20"/>
              <w:shd w:val="clear" w:color="auto" w:fill="auto"/>
              <w:tabs>
                <w:tab w:val="left" w:pos="352"/>
              </w:tabs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408640A" w14:textId="550159C3" w:rsidR="00B81453" w:rsidRDefault="00F85877" w:rsidP="00EF6DE7">
            <w:pPr>
              <w:pStyle w:val="Zkladntext20"/>
              <w:shd w:val="clear" w:color="auto" w:fill="auto"/>
              <w:tabs>
                <w:tab w:val="left" w:pos="352"/>
              </w:tabs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a.s.</w:t>
            </w:r>
            <w:r w:rsidR="00025E30">
              <w:rPr>
                <w:rFonts w:ascii="Times New Roman" w:hAnsi="Times New Roman" w:cs="Times New Roman"/>
              </w:rPr>
              <w:t xml:space="preserve"> Špitálské nám. 10, Ústí nad Labem, IČ: 47784547</w:t>
            </w:r>
          </w:p>
        </w:tc>
      </w:tr>
    </w:tbl>
    <w:p w14:paraId="274B9DD3" w14:textId="77777777" w:rsidR="0044380E" w:rsidRDefault="0044380E" w:rsidP="009A15A4">
      <w:pPr>
        <w:pStyle w:val="Zkladntext20"/>
        <w:shd w:val="clear" w:color="auto" w:fill="auto"/>
        <w:tabs>
          <w:tab w:val="left" w:pos="352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</w:rPr>
      </w:pPr>
    </w:p>
    <w:p w14:paraId="45184D77" w14:textId="62E1CF5C" w:rsidR="0044380E" w:rsidRDefault="0044380E" w:rsidP="009A15A4">
      <w:pPr>
        <w:pStyle w:val="Zkladntext20"/>
        <w:shd w:val="clear" w:color="auto" w:fill="auto"/>
        <w:tabs>
          <w:tab w:val="left" w:pos="352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C9F44" w14:textId="1371C988" w:rsidR="00964EF6" w:rsidRPr="0016386E" w:rsidRDefault="00964EF6" w:rsidP="009A15A4">
      <w:pPr>
        <w:pStyle w:val="Zkladntext20"/>
        <w:shd w:val="clear" w:color="auto" w:fill="auto"/>
        <w:tabs>
          <w:tab w:val="left" w:pos="352"/>
        </w:tabs>
        <w:spacing w:before="0" w:after="120" w:line="240" w:lineRule="auto"/>
        <w:ind w:firstLine="0"/>
        <w:jc w:val="both"/>
      </w:pPr>
    </w:p>
    <w:p w14:paraId="6E6F2516" w14:textId="751CA525" w:rsidR="00B81453" w:rsidRDefault="00B81453">
      <w:pPr>
        <w:rPr>
          <w:rFonts w:eastAsia="Tahoma" w:cs="Times New Roman"/>
          <w:i/>
          <w:iCs/>
        </w:rPr>
      </w:pPr>
    </w:p>
    <w:sectPr w:rsidR="00B81453" w:rsidSect="00E57B18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A6ED" w14:textId="77777777" w:rsidR="00496AAB" w:rsidRDefault="00496AAB" w:rsidP="00B75398">
      <w:pPr>
        <w:spacing w:after="0" w:line="240" w:lineRule="auto"/>
      </w:pPr>
      <w:r>
        <w:separator/>
      </w:r>
    </w:p>
  </w:endnote>
  <w:endnote w:type="continuationSeparator" w:id="0">
    <w:p w14:paraId="69D990D6" w14:textId="77777777" w:rsidR="00496AAB" w:rsidRDefault="00496AAB" w:rsidP="00B7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340969"/>
      <w:docPartObj>
        <w:docPartGallery w:val="Page Numbers (Bottom of Page)"/>
        <w:docPartUnique/>
      </w:docPartObj>
    </w:sdtPr>
    <w:sdtEndPr/>
    <w:sdtContent>
      <w:p w14:paraId="13F9428A" w14:textId="5EA02FC1" w:rsidR="00B75398" w:rsidRDefault="00B753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1B09B" w14:textId="77777777" w:rsidR="00B75398" w:rsidRDefault="00B75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89B3" w14:textId="77777777" w:rsidR="00496AAB" w:rsidRDefault="00496AAB" w:rsidP="00B75398">
      <w:pPr>
        <w:spacing w:after="0" w:line="240" w:lineRule="auto"/>
      </w:pPr>
      <w:r>
        <w:separator/>
      </w:r>
    </w:p>
  </w:footnote>
  <w:footnote w:type="continuationSeparator" w:id="0">
    <w:p w14:paraId="3D964EF2" w14:textId="77777777" w:rsidR="00496AAB" w:rsidRDefault="00496AAB" w:rsidP="00B7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31B"/>
    <w:multiLevelType w:val="hybridMultilevel"/>
    <w:tmpl w:val="37F296F8"/>
    <w:lvl w:ilvl="0" w:tplc="3D265F0E">
      <w:start w:val="1"/>
      <w:numFmt w:val="upperRoman"/>
      <w:lvlText w:val="%1."/>
      <w:lvlJc w:val="left"/>
      <w:pPr>
        <w:ind w:left="5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0" w:hanging="360"/>
      </w:pPr>
    </w:lvl>
    <w:lvl w:ilvl="2" w:tplc="0405001B" w:tentative="1">
      <w:start w:val="1"/>
      <w:numFmt w:val="lowerRoman"/>
      <w:lvlText w:val="%3."/>
      <w:lvlJc w:val="right"/>
      <w:pPr>
        <w:ind w:left="6340" w:hanging="180"/>
      </w:pPr>
    </w:lvl>
    <w:lvl w:ilvl="3" w:tplc="0405000F" w:tentative="1">
      <w:start w:val="1"/>
      <w:numFmt w:val="decimal"/>
      <w:lvlText w:val="%4."/>
      <w:lvlJc w:val="left"/>
      <w:pPr>
        <w:ind w:left="7060" w:hanging="360"/>
      </w:pPr>
    </w:lvl>
    <w:lvl w:ilvl="4" w:tplc="04050019" w:tentative="1">
      <w:start w:val="1"/>
      <w:numFmt w:val="lowerLetter"/>
      <w:lvlText w:val="%5."/>
      <w:lvlJc w:val="left"/>
      <w:pPr>
        <w:ind w:left="7780" w:hanging="360"/>
      </w:pPr>
    </w:lvl>
    <w:lvl w:ilvl="5" w:tplc="0405001B" w:tentative="1">
      <w:start w:val="1"/>
      <w:numFmt w:val="lowerRoman"/>
      <w:lvlText w:val="%6."/>
      <w:lvlJc w:val="right"/>
      <w:pPr>
        <w:ind w:left="8500" w:hanging="180"/>
      </w:pPr>
    </w:lvl>
    <w:lvl w:ilvl="6" w:tplc="0405000F" w:tentative="1">
      <w:start w:val="1"/>
      <w:numFmt w:val="decimal"/>
      <w:lvlText w:val="%7."/>
      <w:lvlJc w:val="left"/>
      <w:pPr>
        <w:ind w:left="9220" w:hanging="360"/>
      </w:pPr>
    </w:lvl>
    <w:lvl w:ilvl="7" w:tplc="04050019" w:tentative="1">
      <w:start w:val="1"/>
      <w:numFmt w:val="lowerLetter"/>
      <w:lvlText w:val="%8."/>
      <w:lvlJc w:val="left"/>
      <w:pPr>
        <w:ind w:left="9940" w:hanging="360"/>
      </w:pPr>
    </w:lvl>
    <w:lvl w:ilvl="8" w:tplc="0405001B" w:tentative="1">
      <w:start w:val="1"/>
      <w:numFmt w:val="lowerRoman"/>
      <w:lvlText w:val="%9."/>
      <w:lvlJc w:val="right"/>
      <w:pPr>
        <w:ind w:left="10660" w:hanging="180"/>
      </w:pPr>
    </w:lvl>
  </w:abstractNum>
  <w:abstractNum w:abstractNumId="1" w15:restartNumberingAfterBreak="0">
    <w:nsid w:val="165854C1"/>
    <w:multiLevelType w:val="hybridMultilevel"/>
    <w:tmpl w:val="86247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811"/>
    <w:multiLevelType w:val="multilevel"/>
    <w:tmpl w:val="2AD6AE0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75123"/>
    <w:multiLevelType w:val="hybridMultilevel"/>
    <w:tmpl w:val="00946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66CF"/>
    <w:multiLevelType w:val="hybridMultilevel"/>
    <w:tmpl w:val="D3CAA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133"/>
    <w:multiLevelType w:val="hybridMultilevel"/>
    <w:tmpl w:val="038C9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313"/>
    <w:multiLevelType w:val="hybridMultilevel"/>
    <w:tmpl w:val="5CCA1680"/>
    <w:lvl w:ilvl="0" w:tplc="7C985522">
      <w:start w:val="1"/>
      <w:numFmt w:val="lowerLetter"/>
      <w:lvlText w:val="%1)"/>
      <w:lvlJc w:val="left"/>
      <w:pPr>
        <w:ind w:left="1064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4044254"/>
    <w:multiLevelType w:val="multilevel"/>
    <w:tmpl w:val="0486E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36853E5E"/>
    <w:multiLevelType w:val="multilevel"/>
    <w:tmpl w:val="6B7AC26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6E78FB"/>
    <w:multiLevelType w:val="hybridMultilevel"/>
    <w:tmpl w:val="6C5EAEEC"/>
    <w:lvl w:ilvl="0" w:tplc="040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52013E61"/>
    <w:multiLevelType w:val="hybridMultilevel"/>
    <w:tmpl w:val="A3C6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FC0"/>
    <w:multiLevelType w:val="hybridMultilevel"/>
    <w:tmpl w:val="1A405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055D"/>
    <w:multiLevelType w:val="multilevel"/>
    <w:tmpl w:val="A1C2053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C05358"/>
    <w:multiLevelType w:val="multilevel"/>
    <w:tmpl w:val="5316FB6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381469"/>
    <w:multiLevelType w:val="hybridMultilevel"/>
    <w:tmpl w:val="AA24A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E"/>
    <w:rsid w:val="00004CB0"/>
    <w:rsid w:val="00025E30"/>
    <w:rsid w:val="000A056D"/>
    <w:rsid w:val="000B1616"/>
    <w:rsid w:val="0016386E"/>
    <w:rsid w:val="002A0E57"/>
    <w:rsid w:val="002E738B"/>
    <w:rsid w:val="00331ABC"/>
    <w:rsid w:val="00337B50"/>
    <w:rsid w:val="00352E2F"/>
    <w:rsid w:val="003E4DE5"/>
    <w:rsid w:val="0044380E"/>
    <w:rsid w:val="004901E7"/>
    <w:rsid w:val="00496AAB"/>
    <w:rsid w:val="004E3816"/>
    <w:rsid w:val="005E613E"/>
    <w:rsid w:val="00644640"/>
    <w:rsid w:val="006A4DF9"/>
    <w:rsid w:val="006A593B"/>
    <w:rsid w:val="006E2C4D"/>
    <w:rsid w:val="00706652"/>
    <w:rsid w:val="007B28D2"/>
    <w:rsid w:val="007C54CC"/>
    <w:rsid w:val="007E11A0"/>
    <w:rsid w:val="00850FCB"/>
    <w:rsid w:val="00884092"/>
    <w:rsid w:val="00964EF6"/>
    <w:rsid w:val="00991BB1"/>
    <w:rsid w:val="009A15A4"/>
    <w:rsid w:val="009A6A79"/>
    <w:rsid w:val="00A75B62"/>
    <w:rsid w:val="00A95D04"/>
    <w:rsid w:val="00B75398"/>
    <w:rsid w:val="00B81453"/>
    <w:rsid w:val="00B83EF3"/>
    <w:rsid w:val="00B83FF3"/>
    <w:rsid w:val="00C001C9"/>
    <w:rsid w:val="00C83E53"/>
    <w:rsid w:val="00CA34C4"/>
    <w:rsid w:val="00CA6F58"/>
    <w:rsid w:val="00CB72BB"/>
    <w:rsid w:val="00CE1DCE"/>
    <w:rsid w:val="00D20CFE"/>
    <w:rsid w:val="00E26107"/>
    <w:rsid w:val="00E57B18"/>
    <w:rsid w:val="00E9145C"/>
    <w:rsid w:val="00ED3355"/>
    <w:rsid w:val="00EF6DE7"/>
    <w:rsid w:val="00F11837"/>
    <w:rsid w:val="00F85877"/>
    <w:rsid w:val="00F85D64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73C2"/>
  <w15:docId w15:val="{1BEEC105-9E9E-4741-BBA4-F1DFF50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453"/>
    <w:rPr>
      <w:rFonts w:ascii="Times New Roman" w:hAnsi="Times New Roman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rsid w:val="0044380E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0">
    <w:name w:val="Nadpis #2"/>
    <w:basedOn w:val="Nadpis2"/>
    <w:rsid w:val="004438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4380E"/>
    <w:rPr>
      <w:rFonts w:ascii="Tahoma" w:eastAsia="Tahoma" w:hAnsi="Tahoma" w:cs="Tahoma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44380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44380E"/>
    <w:rPr>
      <w:rFonts w:ascii="Tahoma" w:eastAsia="Tahoma" w:hAnsi="Tahoma" w:cs="Tahoma"/>
      <w:b/>
      <w:bCs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4380E"/>
    <w:rPr>
      <w:rFonts w:ascii="Tahoma" w:eastAsia="Tahoma" w:hAnsi="Tahoma" w:cs="Tahoma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4380E"/>
    <w:pPr>
      <w:widowControl w:val="0"/>
      <w:shd w:val="clear" w:color="auto" w:fill="FFFFFF"/>
      <w:spacing w:before="240" w:after="60" w:line="0" w:lineRule="atLeast"/>
      <w:ind w:hanging="420"/>
    </w:pPr>
    <w:rPr>
      <w:rFonts w:ascii="Tahoma" w:eastAsia="Tahoma" w:hAnsi="Tahoma" w:cs="Tahoma"/>
    </w:rPr>
  </w:style>
  <w:style w:type="paragraph" w:customStyle="1" w:styleId="Nadpis10">
    <w:name w:val="Nadpis #1"/>
    <w:basedOn w:val="Normln"/>
    <w:link w:val="Nadpis1"/>
    <w:rsid w:val="0044380E"/>
    <w:pPr>
      <w:widowControl w:val="0"/>
      <w:shd w:val="clear" w:color="auto" w:fill="FFFFFF"/>
      <w:spacing w:before="420" w:after="6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44380E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rFonts w:ascii="Tahoma" w:eastAsia="Tahoma" w:hAnsi="Tahoma" w:cs="Tahoma"/>
      <w:b/>
      <w:bCs/>
    </w:rPr>
  </w:style>
  <w:style w:type="paragraph" w:customStyle="1" w:styleId="Nadpis30">
    <w:name w:val="Nadpis #3"/>
    <w:basedOn w:val="Normln"/>
    <w:link w:val="Nadpis3"/>
    <w:rsid w:val="0044380E"/>
    <w:pPr>
      <w:widowControl w:val="0"/>
      <w:shd w:val="clear" w:color="auto" w:fill="FFFFFF"/>
      <w:spacing w:after="60" w:line="0" w:lineRule="atLeast"/>
      <w:outlineLvl w:val="2"/>
    </w:pPr>
    <w:rPr>
      <w:rFonts w:ascii="Tahoma" w:eastAsia="Tahoma" w:hAnsi="Tahoma" w:cs="Tahom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E5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C83E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3"/>
      <w:szCs w:val="24"/>
      <w:lang w:eastAsia="cs-CZ"/>
    </w:rPr>
  </w:style>
  <w:style w:type="paragraph" w:customStyle="1" w:styleId="Default">
    <w:name w:val="Default"/>
    <w:rsid w:val="00C8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398"/>
  </w:style>
  <w:style w:type="paragraph" w:styleId="Zpat">
    <w:name w:val="footer"/>
    <w:basedOn w:val="Normln"/>
    <w:link w:val="ZpatChar"/>
    <w:uiPriority w:val="99"/>
    <w:unhideWhenUsed/>
    <w:rsid w:val="00B7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98"/>
  </w:style>
  <w:style w:type="paragraph" w:styleId="Odstavecseseznamem">
    <w:name w:val="List Paragraph"/>
    <w:basedOn w:val="Normln"/>
    <w:uiPriority w:val="34"/>
    <w:qFormat/>
    <w:rsid w:val="009A15A4"/>
    <w:pPr>
      <w:spacing w:after="120"/>
      <w:ind w:left="720"/>
      <w:jc w:val="both"/>
    </w:pPr>
  </w:style>
  <w:style w:type="table" w:styleId="Mkatabulky">
    <w:name w:val="Table Grid"/>
    <w:basedOn w:val="Normlntabulka"/>
    <w:uiPriority w:val="39"/>
    <w:rsid w:val="00B8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125738-BE25-4D54-8788-B7B2B4D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správce</cp:lastModifiedBy>
  <cp:revision>2</cp:revision>
  <cp:lastPrinted>2020-09-14T06:46:00Z</cp:lastPrinted>
  <dcterms:created xsi:type="dcterms:W3CDTF">2020-09-16T13:03:00Z</dcterms:created>
  <dcterms:modified xsi:type="dcterms:W3CDTF">2020-09-16T13:03:00Z</dcterms:modified>
</cp:coreProperties>
</file>