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F5" w:rsidRPr="00762CF5" w:rsidRDefault="00762CF5" w:rsidP="00762CF5">
      <w:pPr>
        <w:pStyle w:val="Zkladntext"/>
        <w:ind w:firstLine="0"/>
        <w:jc w:val="center"/>
        <w:rPr>
          <w:rFonts w:ascii="Times New Roman" w:hAnsi="Times New Roman" w:cs="Times New Roman"/>
          <w:color w:val="000000"/>
          <w:sz w:val="32"/>
          <w:szCs w:val="32"/>
          <w:u w:val="single"/>
        </w:rPr>
      </w:pPr>
      <w:r w:rsidRPr="00E21C78">
        <w:rPr>
          <w:rFonts w:ascii="Times New Roman" w:hAnsi="Times New Roman" w:cs="Times New Roman"/>
          <w:color w:val="000000"/>
          <w:sz w:val="32"/>
          <w:szCs w:val="32"/>
          <w:u w:val="single"/>
        </w:rPr>
        <w:t>Smlouva o spolupráci č</w:t>
      </w:r>
      <w:r w:rsidRPr="00762CF5">
        <w:rPr>
          <w:rFonts w:ascii="Times New Roman" w:hAnsi="Times New Roman" w:cs="Times New Roman"/>
          <w:color w:val="000000"/>
          <w:sz w:val="32"/>
          <w:szCs w:val="32"/>
          <w:u w:val="single"/>
        </w:rPr>
        <w:t>. 1520000007</w:t>
      </w:r>
    </w:p>
    <w:p w:rsidR="00762CF5" w:rsidRPr="00E21C78" w:rsidRDefault="00762CF5" w:rsidP="00762CF5">
      <w:pPr>
        <w:pStyle w:val="Zkladntext"/>
        <w:ind w:firstLine="0"/>
        <w:jc w:val="center"/>
      </w:pPr>
      <w:r w:rsidRPr="00E21C78">
        <w:rPr>
          <w:rFonts w:ascii="Times New Roman" w:hAnsi="Times New Roman" w:cs="Times New Roman"/>
          <w:color w:val="000000"/>
          <w:sz w:val="32"/>
          <w:szCs w:val="32"/>
          <w:u w:val="single"/>
        </w:rPr>
        <w:t xml:space="preserve"> </w:t>
      </w:r>
    </w:p>
    <w:p w:rsidR="00762CF5" w:rsidRPr="00E21C78" w:rsidRDefault="00762CF5" w:rsidP="00762CF5">
      <w:pPr>
        <w:pStyle w:val="Zkladntext"/>
        <w:ind w:firstLine="0"/>
        <w:jc w:val="left"/>
        <w:rPr>
          <w:rFonts w:ascii="Times New Roman" w:hAnsi="Times New Roman" w:cs="Times New Roman"/>
          <w:color w:val="000000"/>
          <w:sz w:val="22"/>
          <w:szCs w:val="22"/>
        </w:rPr>
      </w:pPr>
    </w:p>
    <w:p w:rsidR="00762CF5" w:rsidRPr="00E21C78" w:rsidRDefault="00762CF5" w:rsidP="00762CF5">
      <w:pPr>
        <w:pStyle w:val="Zkladntext"/>
        <w:ind w:firstLine="0"/>
        <w:jc w:val="left"/>
      </w:pPr>
      <w:r w:rsidRPr="00E21C78">
        <w:rPr>
          <w:rFonts w:ascii="Times New Roman" w:hAnsi="Times New Roman" w:cs="Times New Roman"/>
          <w:color w:val="000000"/>
          <w:sz w:val="24"/>
          <w:szCs w:val="24"/>
        </w:rPr>
        <w:t>Podle ustanovení § 1746 zák. č. 89/2012 Sb, občanského zákoníku, v platném znění uzavírají smluvní strany tuto smlouvu o spolupráci:</w:t>
      </w:r>
    </w:p>
    <w:p w:rsidR="00762CF5" w:rsidRPr="00E21C78" w:rsidRDefault="00762CF5" w:rsidP="00762CF5">
      <w:pPr>
        <w:rPr>
          <w:b/>
          <w:color w:val="000000"/>
          <w:spacing w:val="40"/>
        </w:rPr>
      </w:pPr>
    </w:p>
    <w:p w:rsidR="00762CF5" w:rsidRPr="00E21C78" w:rsidRDefault="00762CF5" w:rsidP="00762CF5">
      <w:r w:rsidRPr="00E21C78">
        <w:rPr>
          <w:color w:val="000000"/>
        </w:rPr>
        <w:t>Smluvní strany:</w:t>
      </w:r>
    </w:p>
    <w:p w:rsidR="00762CF5" w:rsidRPr="00E21C78" w:rsidRDefault="00762CF5" w:rsidP="00762CF5">
      <w:pPr>
        <w:rPr>
          <w:color w:val="000000"/>
        </w:rPr>
      </w:pPr>
    </w:p>
    <w:p w:rsidR="00762CF5" w:rsidRPr="00762CF5" w:rsidRDefault="00762CF5" w:rsidP="00762CF5">
      <w:pPr>
        <w:rPr>
          <w:b/>
        </w:rPr>
      </w:pPr>
      <w:r w:rsidRPr="00762CF5">
        <w:rPr>
          <w:b/>
        </w:rPr>
        <w:t>Město Choceň</w:t>
      </w:r>
    </w:p>
    <w:p w:rsidR="00762CF5" w:rsidRPr="00762CF5" w:rsidRDefault="00762CF5" w:rsidP="00762CF5">
      <w:r w:rsidRPr="00762CF5">
        <w:t xml:space="preserve">statutární zástupce: </w:t>
      </w:r>
      <w:r>
        <w:t>xxxxxxxxxxxxxxxxxx</w:t>
      </w:r>
    </w:p>
    <w:p w:rsidR="00762CF5" w:rsidRPr="00762CF5" w:rsidRDefault="00762CF5" w:rsidP="00762CF5">
      <w:r w:rsidRPr="00762CF5">
        <w:t xml:space="preserve">ve věcech technických: </w:t>
      </w:r>
      <w:r>
        <w:t>xxxxxxxxxxxxxxxxxxxx</w:t>
      </w:r>
    </w:p>
    <w:p w:rsidR="00762CF5" w:rsidRPr="00762CF5" w:rsidRDefault="00762CF5" w:rsidP="00762CF5">
      <w:r w:rsidRPr="00762CF5">
        <w:t>sídlo: Jungmannova 301, 565 01 Choceň</w:t>
      </w:r>
    </w:p>
    <w:p w:rsidR="00762CF5" w:rsidRPr="00762CF5" w:rsidRDefault="00762CF5" w:rsidP="00762CF5">
      <w:r w:rsidRPr="00762CF5">
        <w:t>IČ: 00278955</w:t>
      </w:r>
    </w:p>
    <w:p w:rsidR="00762CF5" w:rsidRPr="00762CF5" w:rsidRDefault="00762CF5" w:rsidP="00762CF5"/>
    <w:p w:rsidR="00762CF5" w:rsidRPr="00762CF5" w:rsidRDefault="00762CF5" w:rsidP="00762CF5">
      <w:r w:rsidRPr="00762CF5">
        <w:t>(dále jen „město Choceň“</w:t>
      </w:r>
      <w:r>
        <w:t xml:space="preserve"> nebo „město“</w:t>
      </w:r>
      <w:r w:rsidRPr="00762CF5">
        <w:t>)</w:t>
      </w:r>
    </w:p>
    <w:p w:rsidR="00762CF5" w:rsidRPr="00E21C78" w:rsidRDefault="00762CF5" w:rsidP="00762CF5">
      <w:pPr>
        <w:rPr>
          <w:color w:val="000000"/>
        </w:rPr>
      </w:pPr>
    </w:p>
    <w:p w:rsidR="00762CF5" w:rsidRPr="00E21C78" w:rsidRDefault="00762CF5" w:rsidP="00762CF5">
      <w:pPr>
        <w:rPr>
          <w:color w:val="000000"/>
        </w:rPr>
      </w:pPr>
    </w:p>
    <w:p w:rsidR="00762CF5" w:rsidRPr="00E21C78" w:rsidRDefault="00762CF5" w:rsidP="00762CF5">
      <w:pPr>
        <w:rPr>
          <w:color w:val="000000"/>
        </w:rPr>
      </w:pPr>
    </w:p>
    <w:p w:rsidR="00762CF5" w:rsidRPr="00E21C78" w:rsidRDefault="00762CF5" w:rsidP="00762CF5">
      <w:pPr>
        <w:pStyle w:val="Nadpis5"/>
        <w:tabs>
          <w:tab w:val="left" w:pos="0"/>
        </w:tabs>
        <w:jc w:val="left"/>
      </w:pPr>
      <w:r w:rsidRPr="00E21C78">
        <w:rPr>
          <w:rFonts w:ascii="Times New Roman" w:hAnsi="Times New Roman" w:cs="Times New Roman"/>
          <w:color w:val="000000"/>
          <w:szCs w:val="24"/>
        </w:rPr>
        <w:t>České vysoké učení technické v Praze</w:t>
      </w:r>
    </w:p>
    <w:p w:rsidR="00762CF5" w:rsidRDefault="00762CF5" w:rsidP="00762CF5">
      <w:pPr>
        <w:pStyle w:val="Nadpis5"/>
        <w:tabs>
          <w:tab w:val="left" w:pos="0"/>
        </w:tabs>
        <w:jc w:val="left"/>
      </w:pPr>
      <w:r>
        <w:rPr>
          <w:rFonts w:ascii="Times New Roman" w:hAnsi="Times New Roman" w:cs="Times New Roman"/>
          <w:color w:val="000000"/>
          <w:szCs w:val="24"/>
        </w:rPr>
        <w:t>Fakulta architektury</w:t>
      </w:r>
    </w:p>
    <w:p w:rsidR="00762CF5" w:rsidRDefault="00762CF5" w:rsidP="00762CF5">
      <w:r>
        <w:rPr>
          <w:color w:val="000000"/>
        </w:rPr>
        <w:t xml:space="preserve">zastoupená: </w:t>
      </w:r>
      <w:r>
        <w:rPr>
          <w:color w:val="000000"/>
        </w:rPr>
        <w:t>xxxxxxxxxxxxxxxxxxxxxx</w:t>
      </w:r>
    </w:p>
    <w:p w:rsidR="00762CF5" w:rsidRDefault="00762CF5" w:rsidP="00762CF5">
      <w:r>
        <w:rPr>
          <w:color w:val="000000"/>
        </w:rPr>
        <w:t xml:space="preserve">ve věcech plnění: </w:t>
      </w:r>
      <w:r>
        <w:rPr>
          <w:color w:val="000000"/>
        </w:rPr>
        <w:t>xxxxxxxxxxxxxxxxxxxxxxxxxxx</w:t>
      </w:r>
    </w:p>
    <w:p w:rsidR="00762CF5" w:rsidRDefault="00762CF5" w:rsidP="00762CF5">
      <w:pPr>
        <w:widowControl w:val="0"/>
        <w:tabs>
          <w:tab w:val="left" w:pos="0"/>
        </w:tabs>
      </w:pPr>
      <w:r>
        <w:rPr>
          <w:color w:val="000000"/>
        </w:rPr>
        <w:t>sídlo: Thákurova 9, 166 34 Praha 6 - Dejvice</w:t>
      </w:r>
    </w:p>
    <w:p w:rsidR="00762CF5" w:rsidRDefault="00762CF5" w:rsidP="00762CF5">
      <w:pPr>
        <w:pStyle w:val="Standardntext"/>
        <w:widowControl w:val="0"/>
        <w:autoSpaceDE/>
        <w:jc w:val="left"/>
      </w:pPr>
      <w:r>
        <w:rPr>
          <w:color w:val="000000"/>
          <w:lang w:val="cs-CZ"/>
        </w:rPr>
        <w:t>bankovní spojení: Komerční banka a.s. Praha</w:t>
      </w:r>
    </w:p>
    <w:p w:rsidR="00762CF5" w:rsidRDefault="00762CF5" w:rsidP="00762CF5">
      <w:pPr>
        <w:widowControl w:val="0"/>
      </w:pPr>
      <w:r>
        <w:rPr>
          <w:color w:val="000000"/>
        </w:rPr>
        <w:t>číslo účtu: 19-5505650247/0100</w:t>
      </w:r>
    </w:p>
    <w:p w:rsidR="00762CF5" w:rsidRDefault="00762CF5" w:rsidP="00762CF5">
      <w:pPr>
        <w:widowControl w:val="0"/>
        <w:tabs>
          <w:tab w:val="left" w:pos="0"/>
        </w:tabs>
      </w:pPr>
      <w:r>
        <w:rPr>
          <w:color w:val="000000"/>
        </w:rPr>
        <w:t>IČ: 68407700</w:t>
      </w:r>
    </w:p>
    <w:p w:rsidR="00762CF5" w:rsidRDefault="00762CF5" w:rsidP="00762CF5">
      <w:pPr>
        <w:widowControl w:val="0"/>
        <w:tabs>
          <w:tab w:val="left" w:pos="0"/>
        </w:tabs>
      </w:pPr>
      <w:r>
        <w:rPr>
          <w:color w:val="000000"/>
        </w:rPr>
        <w:t xml:space="preserve">DIČ: CZ68407700 </w:t>
      </w:r>
    </w:p>
    <w:p w:rsidR="00762CF5" w:rsidRDefault="00762CF5" w:rsidP="00762CF5">
      <w:pPr>
        <w:pStyle w:val="Zpat"/>
        <w:tabs>
          <w:tab w:val="clear" w:pos="4536"/>
          <w:tab w:val="clear" w:pos="9072"/>
        </w:tabs>
        <w:rPr>
          <w:color w:val="000000"/>
        </w:rPr>
      </w:pPr>
    </w:p>
    <w:p w:rsidR="00762CF5" w:rsidRDefault="00762CF5" w:rsidP="00762CF5">
      <w:r>
        <w:rPr>
          <w:color w:val="000000"/>
        </w:rPr>
        <w:t>(dále jen „</w:t>
      </w:r>
      <w:r>
        <w:rPr>
          <w:b/>
          <w:color w:val="000000"/>
        </w:rPr>
        <w:t>FA ČVUT</w:t>
      </w:r>
      <w:r>
        <w:rPr>
          <w:b/>
          <w:bCs/>
          <w:color w:val="000000"/>
        </w:rPr>
        <w:t>“</w:t>
      </w:r>
      <w:r>
        <w:rPr>
          <w:color w:val="000000"/>
        </w:rPr>
        <w:t>)</w:t>
      </w:r>
    </w:p>
    <w:p w:rsidR="00762CF5" w:rsidRDefault="00762CF5" w:rsidP="00762CF5">
      <w:pPr>
        <w:jc w:val="center"/>
        <w:rPr>
          <w:color w:val="000000"/>
          <w:sz w:val="22"/>
          <w:szCs w:val="22"/>
        </w:rPr>
      </w:pPr>
    </w:p>
    <w:p w:rsidR="00762CF5" w:rsidRDefault="00762CF5" w:rsidP="00762CF5">
      <w:pPr>
        <w:jc w:val="center"/>
        <w:rPr>
          <w:color w:val="000000"/>
          <w:sz w:val="22"/>
          <w:szCs w:val="22"/>
        </w:rPr>
      </w:pPr>
    </w:p>
    <w:p w:rsidR="00762CF5" w:rsidRDefault="00762CF5" w:rsidP="00762CF5">
      <w:pPr>
        <w:jc w:val="center"/>
      </w:pPr>
      <w:r>
        <w:rPr>
          <w:b/>
          <w:bCs/>
          <w:color w:val="000000"/>
          <w:sz w:val="28"/>
          <w:szCs w:val="28"/>
        </w:rPr>
        <w:t>I.</w:t>
      </w:r>
    </w:p>
    <w:p w:rsidR="00762CF5" w:rsidRDefault="00762CF5" w:rsidP="00762CF5">
      <w:pPr>
        <w:pStyle w:val="Nadpis02"/>
        <w:tabs>
          <w:tab w:val="clear" w:pos="4253"/>
        </w:tabs>
        <w:ind w:left="0" w:firstLine="0"/>
        <w:jc w:val="center"/>
      </w:pPr>
      <w:r>
        <w:rPr>
          <w:rFonts w:ascii="Times New Roman" w:hAnsi="Times New Roman" w:cs="Times New Roman"/>
          <w:color w:val="000000"/>
          <w:szCs w:val="26"/>
        </w:rPr>
        <w:t xml:space="preserve">předmět smlouvy </w:t>
      </w:r>
    </w:p>
    <w:p w:rsidR="00762CF5" w:rsidRDefault="00762CF5" w:rsidP="00762CF5"/>
    <w:p w:rsidR="00762CF5" w:rsidRDefault="00762CF5" w:rsidP="00762CF5">
      <w:pPr>
        <w:pStyle w:val="lnek"/>
        <w:numPr>
          <w:ilvl w:val="0"/>
          <w:numId w:val="0"/>
        </w:numPr>
        <w:spacing w:after="60"/>
        <w:ind w:firstLine="367"/>
        <w:jc w:val="both"/>
      </w:pPr>
      <w:r>
        <w:rPr>
          <w:color w:val="000000"/>
        </w:rPr>
        <w:t xml:space="preserve">Předmětem této smlouvy je dohoda smluvních stran o formě jejich vzájemné spolupráce při plnění „Semestrálního programu fakulty pro akademický rok 2019/2020“, v jehož rámci FA ČVUT prostřednictvím svých studentů bude zpracovávat návrhy týkající se řešení rozvojového potenciálu města Choceň a </w:t>
      </w:r>
      <w:r w:rsidRPr="003E6535">
        <w:rPr>
          <w:color w:val="000000"/>
        </w:rPr>
        <w:t>návrhu domů na vybraných pozemcích včetně společného modelu.</w:t>
      </w:r>
      <w:r>
        <w:rPr>
          <w:color w:val="000000"/>
        </w:rPr>
        <w:t xml:space="preserve"> Návrhy budou zpracovány v podrobnosti náležící příslušnému zadání.</w:t>
      </w:r>
    </w:p>
    <w:p w:rsidR="00762CF5" w:rsidRDefault="00762CF5" w:rsidP="00762CF5">
      <w:pPr>
        <w:pStyle w:val="lnek"/>
        <w:numPr>
          <w:ilvl w:val="0"/>
          <w:numId w:val="0"/>
        </w:numPr>
        <w:ind w:firstLine="367"/>
        <w:jc w:val="both"/>
      </w:pPr>
      <w:r>
        <w:rPr>
          <w:color w:val="000000"/>
        </w:rPr>
        <w:t>Návrhy alespoň v minimálním požadovaném počtu (viz bod II. této smlouvy) a kvalitě odpovídající účelu jejich použití, budou zpracovány v podrobnosti náležící příslušnému zadání. Podklady pro zadání budou připravovány ve spolupráci a v souladu s písemnými pokyny města Choceň.</w:t>
      </w:r>
    </w:p>
    <w:p w:rsidR="00762CF5" w:rsidRDefault="00762CF5" w:rsidP="00762CF5">
      <w:pPr>
        <w:pStyle w:val="Nadpis02"/>
        <w:tabs>
          <w:tab w:val="clear" w:pos="4253"/>
        </w:tabs>
        <w:ind w:left="0" w:firstLine="0"/>
        <w:jc w:val="center"/>
        <w:rPr>
          <w:rFonts w:ascii="Times New Roman" w:hAnsi="Times New Roman" w:cs="Times New Roman"/>
          <w:color w:val="000000"/>
          <w:szCs w:val="26"/>
        </w:rPr>
      </w:pPr>
    </w:p>
    <w:p w:rsidR="00762CF5" w:rsidRDefault="00762CF5" w:rsidP="00762CF5">
      <w:pPr>
        <w:pStyle w:val="Nadpis02"/>
        <w:keepNext/>
        <w:tabs>
          <w:tab w:val="clear" w:pos="4253"/>
        </w:tabs>
        <w:ind w:left="0" w:firstLine="0"/>
        <w:jc w:val="center"/>
      </w:pPr>
      <w:r>
        <w:rPr>
          <w:rFonts w:ascii="Times New Roman" w:hAnsi="Times New Roman" w:cs="Times New Roman"/>
          <w:color w:val="000000"/>
          <w:sz w:val="28"/>
          <w:szCs w:val="28"/>
        </w:rPr>
        <w:t>II.</w:t>
      </w:r>
    </w:p>
    <w:p w:rsidR="00762CF5" w:rsidRDefault="00762CF5" w:rsidP="00762CF5">
      <w:pPr>
        <w:pStyle w:val="Nadpis02"/>
        <w:keepNext/>
        <w:tabs>
          <w:tab w:val="clear" w:pos="4253"/>
        </w:tabs>
        <w:ind w:left="0" w:firstLine="0"/>
        <w:jc w:val="center"/>
      </w:pPr>
      <w:r>
        <w:rPr>
          <w:rFonts w:ascii="Times New Roman" w:hAnsi="Times New Roman" w:cs="Times New Roman"/>
          <w:color w:val="000000"/>
          <w:szCs w:val="26"/>
        </w:rPr>
        <w:t>PRÁVA A POVINNOSTI SMLUVNÍCH STRAN</w:t>
      </w:r>
    </w:p>
    <w:p w:rsidR="00762CF5" w:rsidRDefault="00762CF5" w:rsidP="00762CF5"/>
    <w:p w:rsidR="00762CF5" w:rsidRDefault="00762CF5" w:rsidP="00762CF5">
      <w:pPr>
        <w:numPr>
          <w:ilvl w:val="0"/>
          <w:numId w:val="7"/>
        </w:numPr>
        <w:jc w:val="both"/>
      </w:pPr>
      <w:r>
        <w:lastRenderedPageBreak/>
        <w:t xml:space="preserve">Vypracování předmětu smlouvy bude realizováno v průběhu </w:t>
      </w:r>
      <w:r w:rsidRPr="003E6535">
        <w:t>letního semestru akademického roku 2019/2020</w:t>
      </w:r>
      <w:r>
        <w:t>.</w:t>
      </w:r>
    </w:p>
    <w:p w:rsidR="00762CF5" w:rsidRDefault="00762CF5" w:rsidP="00762CF5">
      <w:pPr>
        <w:numPr>
          <w:ilvl w:val="0"/>
          <w:numId w:val="7"/>
        </w:numPr>
        <w:jc w:val="both"/>
      </w:pPr>
      <w:r>
        <w:t>Vybrané studentské projekty, které budou na konci semestru řádně dokončeny, budou ze strany FA ČVUT prezentovány zástupcům města.</w:t>
      </w:r>
    </w:p>
    <w:p w:rsidR="00762CF5" w:rsidRDefault="00762CF5" w:rsidP="00762CF5">
      <w:pPr>
        <w:numPr>
          <w:ilvl w:val="0"/>
          <w:numId w:val="7"/>
        </w:numPr>
        <w:jc w:val="both"/>
      </w:pPr>
      <w:r>
        <w:t xml:space="preserve">FA ČVUT poskytne, resp. předá zadavatelem vybrané návrhy městu, a to dle zadání dle bodu I. této smlouvy. </w:t>
      </w:r>
    </w:p>
    <w:p w:rsidR="00762CF5" w:rsidRDefault="00762CF5" w:rsidP="00762CF5">
      <w:pPr>
        <w:numPr>
          <w:ilvl w:val="0"/>
          <w:numId w:val="7"/>
        </w:numPr>
        <w:jc w:val="both"/>
      </w:pPr>
      <w:r>
        <w:t>Okamžikem předání návrhů vzniká městu Choceň právo se všemi těmito návrhy disponovat a využít dle svých potřeb (při respektování osobnostních autorských práv studentů, vedoucích ateliérů i FA ČVUT), a to zejména jako podklad pro činnosti související s územním a strategickým plánováním. Návrhy není možné využít jako podklad pro zpracování projektové dokumentace staveb, ale jako námět možného směru řešení dané problematiky.</w:t>
      </w:r>
    </w:p>
    <w:p w:rsidR="00762CF5" w:rsidRDefault="00762CF5" w:rsidP="00762CF5">
      <w:pPr>
        <w:numPr>
          <w:ilvl w:val="0"/>
          <w:numId w:val="7"/>
        </w:numPr>
        <w:jc w:val="both"/>
      </w:pPr>
      <w:r>
        <w:t xml:space="preserve">Vybrané návrhy budou předány v digitální podobě ve formátu pdf (portfolia projektů). </w:t>
      </w:r>
      <w:r>
        <w:rPr>
          <w:lang w:eastAsia="en-US"/>
        </w:rPr>
        <w:t xml:space="preserve">O předání a převzetí návrhů vyhotoví FA ČVUT protokol o předání a převzetí návrhů (dále jen „protokol“) ve dvou vyhotoveních, který bude podepsán oběma smluvními stranami a každá </w:t>
      </w:r>
      <w:r>
        <w:t>ze smluvních</w:t>
      </w:r>
      <w:r>
        <w:rPr>
          <w:lang w:eastAsia="en-US"/>
        </w:rPr>
        <w:t xml:space="preserve"> stran obdrží po jednom vyhotovení protokolu.</w:t>
      </w:r>
    </w:p>
    <w:p w:rsidR="00762CF5" w:rsidRDefault="00762CF5" w:rsidP="00762CF5">
      <w:pPr>
        <w:numPr>
          <w:ilvl w:val="0"/>
          <w:numId w:val="7"/>
        </w:numPr>
      </w:pPr>
      <w:r>
        <w:t>Město Choceň zajistí vystavení vybraných projektů. Forma asistence při instalaci modelu a jeho doprava bude dohodnuta operativně na základě aktuálních možností FA ČVUT a města Choceň.</w:t>
      </w:r>
    </w:p>
    <w:p w:rsidR="00762CF5" w:rsidRDefault="00762CF5" w:rsidP="00762CF5">
      <w:pPr>
        <w:ind w:left="142"/>
        <w:jc w:val="both"/>
      </w:pPr>
    </w:p>
    <w:p w:rsidR="00762CF5" w:rsidRDefault="00762CF5" w:rsidP="00762CF5">
      <w:pPr>
        <w:ind w:left="142"/>
        <w:jc w:val="both"/>
      </w:pPr>
    </w:p>
    <w:p w:rsidR="00762CF5" w:rsidRDefault="00762CF5" w:rsidP="00762CF5">
      <w:pPr>
        <w:pStyle w:val="Nadpis02"/>
        <w:tabs>
          <w:tab w:val="clear" w:pos="4253"/>
        </w:tabs>
        <w:ind w:left="0" w:firstLine="0"/>
        <w:jc w:val="center"/>
      </w:pPr>
      <w:r>
        <w:rPr>
          <w:rFonts w:ascii="Times New Roman" w:hAnsi="Times New Roman" w:cs="Times New Roman"/>
          <w:color w:val="000000"/>
          <w:sz w:val="28"/>
          <w:szCs w:val="28"/>
        </w:rPr>
        <w:t>III.</w:t>
      </w:r>
    </w:p>
    <w:p w:rsidR="00762CF5" w:rsidRDefault="00762CF5" w:rsidP="00762CF5">
      <w:pPr>
        <w:pStyle w:val="Nadpis02"/>
        <w:tabs>
          <w:tab w:val="clear" w:pos="4253"/>
        </w:tabs>
        <w:ind w:left="0" w:firstLine="0"/>
        <w:jc w:val="center"/>
      </w:pPr>
      <w:r>
        <w:rPr>
          <w:rFonts w:ascii="Times New Roman" w:hAnsi="Times New Roman" w:cs="Times New Roman"/>
          <w:color w:val="000000"/>
          <w:szCs w:val="26"/>
        </w:rPr>
        <w:t>termín PLNĚNÍ</w:t>
      </w:r>
    </w:p>
    <w:p w:rsidR="00762CF5" w:rsidRDefault="00762CF5" w:rsidP="00762CF5"/>
    <w:p w:rsidR="00762CF5" w:rsidRPr="003E6535" w:rsidRDefault="00762CF5" w:rsidP="00762CF5">
      <w:pPr>
        <w:pStyle w:val="lnek"/>
        <w:numPr>
          <w:ilvl w:val="0"/>
          <w:numId w:val="6"/>
        </w:numPr>
        <w:spacing w:before="60"/>
        <w:jc w:val="both"/>
        <w:rPr>
          <w:color w:val="000000"/>
        </w:rPr>
      </w:pPr>
      <w:r>
        <w:rPr>
          <w:color w:val="000000"/>
        </w:rPr>
        <w:t xml:space="preserve">Termín odevzdání prací v ateliérech je </w:t>
      </w:r>
      <w:r w:rsidRPr="003E6535">
        <w:rPr>
          <w:color w:val="000000"/>
        </w:rPr>
        <w:t>do 25.5.2020</w:t>
      </w:r>
      <w:r>
        <w:rPr>
          <w:color w:val="000000"/>
        </w:rPr>
        <w:t xml:space="preserve">. Po jejich prezentaci na půdě fakulty, po vyhodnocení vedoucími atelieru a po skončení výstavy projektů na fakultě budou projekty prezentovány zástupcům města </w:t>
      </w:r>
      <w:r w:rsidRPr="003E6535">
        <w:rPr>
          <w:color w:val="000000"/>
        </w:rPr>
        <w:t>Choceň</w:t>
      </w:r>
      <w:r>
        <w:rPr>
          <w:color w:val="000000"/>
        </w:rPr>
        <w:t xml:space="preserve">.  </w:t>
      </w:r>
    </w:p>
    <w:p w:rsidR="00762CF5" w:rsidRDefault="00762CF5" w:rsidP="00762CF5">
      <w:pPr>
        <w:pStyle w:val="lnek"/>
        <w:numPr>
          <w:ilvl w:val="0"/>
          <w:numId w:val="6"/>
        </w:numPr>
        <w:spacing w:before="60"/>
        <w:jc w:val="both"/>
      </w:pPr>
      <w:r>
        <w:rPr>
          <w:color w:val="000000"/>
        </w:rPr>
        <w:t xml:space="preserve">FA ČVUT se zavazuje prezentovat a předat návrhy městu </w:t>
      </w:r>
      <w:r w:rsidRPr="003E6535">
        <w:rPr>
          <w:color w:val="000000"/>
        </w:rPr>
        <w:t>Choceň</w:t>
      </w:r>
      <w:r>
        <w:rPr>
          <w:color w:val="000000"/>
        </w:rPr>
        <w:t xml:space="preserve"> nejpozději do </w:t>
      </w:r>
      <w:r>
        <w:rPr>
          <w:color w:val="000000"/>
        </w:rPr>
        <w:br/>
      </w:r>
      <w:r w:rsidRPr="003E6535">
        <w:rPr>
          <w:color w:val="000000"/>
        </w:rPr>
        <w:t>3</w:t>
      </w:r>
      <w:r>
        <w:rPr>
          <w:color w:val="000000"/>
        </w:rPr>
        <w:t>0</w:t>
      </w:r>
      <w:r w:rsidRPr="003E6535">
        <w:rPr>
          <w:color w:val="000000"/>
        </w:rPr>
        <w:t>. 9. 2020.</w:t>
      </w:r>
      <w:r>
        <w:rPr>
          <w:color w:val="000000"/>
        </w:rPr>
        <w:t xml:space="preserve"> Konkrétní termín prezentace, místo, a předání bude stanoven po dohodě se zástupci města. </w:t>
      </w:r>
    </w:p>
    <w:p w:rsidR="00762CF5" w:rsidRDefault="00762CF5" w:rsidP="00762CF5">
      <w:pPr>
        <w:pStyle w:val="lnek"/>
        <w:numPr>
          <w:ilvl w:val="0"/>
          <w:numId w:val="6"/>
        </w:numPr>
        <w:spacing w:before="60"/>
        <w:jc w:val="both"/>
      </w:pPr>
      <w:r>
        <w:rPr>
          <w:color w:val="000000"/>
        </w:rPr>
        <w:t xml:space="preserve">V případě prodlení FA ČVUT s předáním návrhů městu je FA ČVUT povinna zaplatit městu </w:t>
      </w:r>
      <w:r>
        <w:t>Choceň</w:t>
      </w:r>
      <w:r>
        <w:rPr>
          <w:color w:val="000000"/>
        </w:rPr>
        <w:t xml:space="preserve"> smluvní pokutu ve výši 0,2% celkové částky za každý i započatý den prodlení.  </w:t>
      </w:r>
      <w:r>
        <w:rPr>
          <w:rFonts w:cs="Arial"/>
        </w:rPr>
        <w:t>Splatnost smluvní pokuty činí 10 dní od doručení výzvy k její úhradě. Nárokem na zaplacení smluvní pokuty není dotčeno právo na náhradu škody převyšující smluvní pokutu.</w:t>
      </w:r>
    </w:p>
    <w:p w:rsidR="00762CF5" w:rsidRDefault="00762CF5" w:rsidP="00762CF5">
      <w:pPr>
        <w:pStyle w:val="lnek"/>
        <w:numPr>
          <w:ilvl w:val="0"/>
          <w:numId w:val="6"/>
        </w:numPr>
        <w:spacing w:before="60"/>
        <w:jc w:val="both"/>
      </w:pPr>
      <w:r>
        <w:rPr>
          <w:rFonts w:cs="Times New Roman"/>
          <w:color w:val="000000"/>
        </w:rPr>
        <w:t>Prodlení s předáním návrhů dle dohodnutých podmínek delší než 30 dnů je považováno za porušení smlouvy závažným způsobem a městu vzniká právo od smlouvy odstoupit.</w:t>
      </w:r>
      <w:r>
        <w:rPr>
          <w:rFonts w:cs="Times New Roman"/>
        </w:rPr>
        <w:t xml:space="preserve"> Odstoupení od této smlouvy musí mít písemnou formu, přičemž písemný projev vůle odstoupit od této smlouvy musí být FA ČVUT řádně doručen. Účinky odstoupení nastávají okamžikem doručení. Odstoupením se smlouva ruší od počátku a smluvní strany jsou povinny si vrátit dosud poskytnutá plnění. Odstoupením od smlouvy není dotčeno právo města na zaplacení smluvní pokuty či na náhradu škody. </w:t>
      </w:r>
    </w:p>
    <w:p w:rsidR="00762CF5" w:rsidRDefault="00762CF5" w:rsidP="00762CF5">
      <w:pPr>
        <w:pStyle w:val="lnek"/>
        <w:numPr>
          <w:ilvl w:val="0"/>
          <w:numId w:val="0"/>
        </w:numPr>
        <w:spacing w:before="60"/>
        <w:ind w:left="720"/>
        <w:jc w:val="both"/>
      </w:pPr>
      <w:r>
        <w:rPr>
          <w:rFonts w:cs="Times New Roman"/>
          <w:color w:val="000000"/>
        </w:rPr>
        <w:t xml:space="preserve"> </w:t>
      </w:r>
    </w:p>
    <w:p w:rsidR="00762CF5" w:rsidRDefault="00762CF5" w:rsidP="00762CF5">
      <w:pPr>
        <w:rPr>
          <w:rFonts w:cs="Arial"/>
          <w:b/>
          <w:szCs w:val="22"/>
          <w:lang w:eastAsia="cs-CZ"/>
        </w:rPr>
      </w:pPr>
    </w:p>
    <w:p w:rsidR="00762CF5" w:rsidRDefault="00762CF5" w:rsidP="00762CF5">
      <w:pPr>
        <w:pStyle w:val="lnek"/>
        <w:numPr>
          <w:ilvl w:val="0"/>
          <w:numId w:val="0"/>
        </w:numPr>
        <w:spacing w:before="60"/>
        <w:jc w:val="both"/>
        <w:rPr>
          <w:rFonts w:cs="Arial"/>
          <w:b/>
          <w:color w:val="000000"/>
          <w:szCs w:val="22"/>
          <w:lang w:eastAsia="cs-CZ"/>
        </w:rPr>
      </w:pPr>
    </w:p>
    <w:p w:rsidR="00762CF5" w:rsidRDefault="00762CF5" w:rsidP="00762CF5">
      <w:pPr>
        <w:pStyle w:val="lnek"/>
        <w:keepNext/>
        <w:numPr>
          <w:ilvl w:val="0"/>
          <w:numId w:val="0"/>
        </w:numPr>
        <w:spacing w:before="60"/>
        <w:jc w:val="center"/>
      </w:pPr>
      <w:r>
        <w:rPr>
          <w:b/>
          <w:bCs/>
          <w:color w:val="000000"/>
          <w:sz w:val="28"/>
          <w:szCs w:val="28"/>
        </w:rPr>
        <w:t>IV.</w:t>
      </w:r>
    </w:p>
    <w:p w:rsidR="00762CF5" w:rsidRDefault="00762CF5" w:rsidP="00762CF5">
      <w:pPr>
        <w:pStyle w:val="lnek"/>
        <w:numPr>
          <w:ilvl w:val="0"/>
          <w:numId w:val="0"/>
        </w:numPr>
        <w:spacing w:before="60"/>
        <w:jc w:val="center"/>
      </w:pPr>
      <w:r>
        <w:rPr>
          <w:b/>
          <w:bCs/>
          <w:color w:val="000000"/>
          <w:sz w:val="26"/>
          <w:szCs w:val="26"/>
        </w:rPr>
        <w:t>CENOVÉ A PLATEBNÍ PODMÍNKY</w:t>
      </w:r>
    </w:p>
    <w:p w:rsidR="00762CF5" w:rsidRDefault="00762CF5" w:rsidP="00762CF5">
      <w:pPr>
        <w:pStyle w:val="lnek"/>
        <w:numPr>
          <w:ilvl w:val="0"/>
          <w:numId w:val="0"/>
        </w:numPr>
        <w:spacing w:before="60"/>
        <w:jc w:val="both"/>
        <w:rPr>
          <w:b/>
          <w:bCs/>
          <w:color w:val="000000"/>
          <w:sz w:val="26"/>
          <w:szCs w:val="26"/>
        </w:rPr>
      </w:pPr>
    </w:p>
    <w:p w:rsidR="00762CF5" w:rsidRDefault="00762CF5" w:rsidP="00762CF5">
      <w:pPr>
        <w:pStyle w:val="Bezmezer"/>
        <w:numPr>
          <w:ilvl w:val="0"/>
          <w:numId w:val="5"/>
        </w:numPr>
        <w:jc w:val="both"/>
      </w:pPr>
      <w:r>
        <w:lastRenderedPageBreak/>
        <w:t xml:space="preserve">Smluvní strany se dohodly, že výše finančního podílu města Choceň na celkových nákladech bude </w:t>
      </w:r>
      <w:r>
        <w:t>35.000</w:t>
      </w:r>
      <w:r w:rsidRPr="00FC7D48">
        <w:t>,- Kč</w:t>
      </w:r>
      <w:r>
        <w:t xml:space="preserve"> bez DPH. Uvedená cena odpovídá místním a časovým zvyklostem.</w:t>
      </w:r>
    </w:p>
    <w:p w:rsidR="00762CF5" w:rsidRDefault="00762CF5" w:rsidP="00762CF5">
      <w:pPr>
        <w:pStyle w:val="Bezmezer"/>
        <w:numPr>
          <w:ilvl w:val="0"/>
          <w:numId w:val="5"/>
        </w:numPr>
        <w:spacing w:before="60"/>
        <w:ind w:left="567" w:hanging="425"/>
        <w:jc w:val="both"/>
      </w:pPr>
      <w:r>
        <w:t>Finanční prostředky budou hrazeny přímo FA ČVUT po odevzdání díla městu na základě faktury, která bude splatná do 14 dnů po obdržení. Bude-li faktura obsahovat nesprávné nebo neúplné údaje a náležitosti, je město Choceň povinno ji do data splatnosti vrátit FA ČVUT, která ji buď opraví, nebo vystaví fakturu novou. V obou případech se běh lhůty splatnosti obnovuje. Daňový a účetní doklad musí obsahovat zákonem předepsané náležitosti. Hrazení proběhne ve dvou fázích:</w:t>
      </w:r>
      <w:r>
        <w:tab/>
      </w:r>
    </w:p>
    <w:p w:rsidR="00762CF5" w:rsidRDefault="00762CF5" w:rsidP="00762CF5">
      <w:pPr>
        <w:pStyle w:val="Bezmezer"/>
        <w:spacing w:before="60"/>
        <w:ind w:left="1222"/>
        <w:jc w:val="both"/>
      </w:pPr>
      <w:r>
        <w:t>1. fáze</w:t>
      </w:r>
      <w:r>
        <w:tab/>
      </w:r>
      <w:r w:rsidRPr="003E6535">
        <w:t>80 %</w:t>
      </w:r>
      <w:r>
        <w:t xml:space="preserve"> sjednané částky dva týdny po </w:t>
      </w:r>
      <w:bookmarkStart w:id="0" w:name="OLE_LINK1"/>
      <w:r>
        <w:t xml:space="preserve">zadání prací v letním semestru </w:t>
      </w:r>
      <w:bookmarkEnd w:id="0"/>
      <w:r w:rsidRPr="003E6535">
        <w:t>2019/20</w:t>
      </w:r>
    </w:p>
    <w:p w:rsidR="00762CF5" w:rsidRDefault="00762CF5" w:rsidP="00762CF5">
      <w:pPr>
        <w:pStyle w:val="Bezmezer"/>
        <w:spacing w:before="60"/>
        <w:ind w:left="1222"/>
        <w:jc w:val="both"/>
      </w:pPr>
      <w:r>
        <w:t>2. fáze</w:t>
      </w:r>
      <w:r>
        <w:tab/>
      </w:r>
      <w:r w:rsidRPr="003E6535">
        <w:t>20 %</w:t>
      </w:r>
      <w:r>
        <w:t xml:space="preserve"> sjednané částky po odevzdání vybraných návrhů městu Choceň</w:t>
      </w:r>
    </w:p>
    <w:p w:rsidR="00762CF5" w:rsidRDefault="00762CF5" w:rsidP="00762CF5">
      <w:pPr>
        <w:pStyle w:val="Bezmezer"/>
        <w:spacing w:before="60"/>
        <w:ind w:left="567"/>
        <w:jc w:val="both"/>
        <w:rPr>
          <w:color w:val="000000"/>
        </w:rPr>
      </w:pPr>
    </w:p>
    <w:p w:rsidR="00762CF5" w:rsidRDefault="00762CF5" w:rsidP="00762CF5">
      <w:pPr>
        <w:pStyle w:val="Nadpis02"/>
        <w:tabs>
          <w:tab w:val="clear" w:pos="4253"/>
          <w:tab w:val="left" w:pos="741"/>
        </w:tabs>
        <w:spacing w:before="60"/>
        <w:ind w:left="0" w:firstLine="0"/>
        <w:jc w:val="center"/>
      </w:pPr>
      <w:r>
        <w:rPr>
          <w:rFonts w:ascii="Times New Roman" w:hAnsi="Times New Roman" w:cs="Times New Roman"/>
          <w:color w:val="000000"/>
          <w:sz w:val="28"/>
          <w:szCs w:val="28"/>
        </w:rPr>
        <w:t>V.</w:t>
      </w:r>
    </w:p>
    <w:p w:rsidR="00762CF5" w:rsidRDefault="00762CF5" w:rsidP="00762CF5">
      <w:pPr>
        <w:pStyle w:val="Nadpis02"/>
        <w:tabs>
          <w:tab w:val="clear" w:pos="4253"/>
          <w:tab w:val="left" w:pos="741"/>
        </w:tabs>
        <w:spacing w:before="60"/>
        <w:ind w:left="0" w:firstLine="0"/>
        <w:jc w:val="center"/>
      </w:pPr>
      <w:r>
        <w:rPr>
          <w:rFonts w:ascii="Times New Roman" w:hAnsi="Times New Roman" w:cs="Times New Roman"/>
          <w:color w:val="000000"/>
          <w:szCs w:val="26"/>
        </w:rPr>
        <w:t>součinnost a povinnosti smluvních stran</w:t>
      </w:r>
    </w:p>
    <w:p w:rsidR="00762CF5" w:rsidRDefault="00762CF5" w:rsidP="00762CF5">
      <w:pPr>
        <w:jc w:val="both"/>
      </w:pPr>
    </w:p>
    <w:p w:rsidR="00762CF5" w:rsidRDefault="00762CF5" w:rsidP="00762CF5">
      <w:pPr>
        <w:numPr>
          <w:ilvl w:val="0"/>
          <w:numId w:val="8"/>
        </w:numPr>
        <w:jc w:val="both"/>
      </w:pPr>
      <w:r>
        <w:rPr>
          <w:lang w:eastAsia="en-US"/>
        </w:rPr>
        <w:t xml:space="preserve">FA ČVUT je při zpracování návrhů povinna postupovat s odbornou péčí podle svých nejlepších znalostí a schopností, přičemž je při své činnosti povinna chránit zájmy a dobré jméno města </w:t>
      </w:r>
      <w:r>
        <w:t>Choceň</w:t>
      </w:r>
      <w:r>
        <w:rPr>
          <w:lang w:eastAsia="en-US"/>
        </w:rPr>
        <w:t xml:space="preserve"> a postupovat v souladu s jeho pokyny. V případě nevhodných pokynů daných městem je FA ČVUT povinna na nevhodnost těchto pokynů město bez zbytečného odkladu písemně upozornit. </w:t>
      </w:r>
    </w:p>
    <w:p w:rsidR="00762CF5" w:rsidRDefault="00762CF5" w:rsidP="00762CF5">
      <w:pPr>
        <w:numPr>
          <w:ilvl w:val="0"/>
          <w:numId w:val="8"/>
        </w:numPr>
        <w:jc w:val="both"/>
      </w:pPr>
      <w:r>
        <w:t xml:space="preserve">Smluvní strany se shodují, že plnění předmětu smlouvy vyžaduje jejich vzájemnou součinnost a pravidelnou informovanost. </w:t>
      </w:r>
    </w:p>
    <w:p w:rsidR="00762CF5" w:rsidRDefault="00762CF5" w:rsidP="00762CF5">
      <w:pPr>
        <w:numPr>
          <w:ilvl w:val="0"/>
          <w:numId w:val="8"/>
        </w:numPr>
        <w:jc w:val="both"/>
      </w:pPr>
      <w:r>
        <w:t xml:space="preserve">K zajištění součinnosti města </w:t>
      </w:r>
      <w:r w:rsidRPr="00FC7D48">
        <w:t>Choceň</w:t>
      </w:r>
      <w:r>
        <w:t xml:space="preserve"> a FA ČVUT se ustanovují osoby, které se budou pravidelně účastnit pracovních schůzek, porad a úkonů potřebných pro úspěšné zajištění spolupráce smluvních stran. Smluvní strany se dohodly, že kontaktní osobou za město </w:t>
      </w:r>
      <w:r w:rsidRPr="00FC7D48">
        <w:t>Choceň</w:t>
      </w:r>
      <w:r>
        <w:t xml:space="preserve"> bude </w:t>
      </w:r>
      <w:r>
        <w:t>xxxxxxxxxxxx</w:t>
      </w:r>
      <w:r>
        <w:t xml:space="preserve"> (e: </w:t>
      </w:r>
      <w:hyperlink r:id="rId5" w:history="1">
        <w:r>
          <w:rPr>
            <w:rStyle w:val="Hypertextovodkaz"/>
          </w:rPr>
          <w:t>xxxxxxxxxxxxxxxxxxxxxxx</w:t>
        </w:r>
      </w:hyperlink>
      <w:r>
        <w:t xml:space="preserve"> tel. </w:t>
      </w:r>
      <w:r>
        <w:t>xxxxxxxxxx</w:t>
      </w:r>
      <w:r>
        <w:t xml:space="preserve">) a kontaktní osobou za stranu FA ČVUT bude </w:t>
      </w:r>
      <w:r>
        <w:t>xxxxxxxxxxxxxxxxx</w:t>
      </w:r>
      <w:r>
        <w:t>, (</w:t>
      </w:r>
      <w:hyperlink r:id="rId6" w:history="1">
        <w:r>
          <w:rPr>
            <w:rStyle w:val="Hypertextovodkaz"/>
          </w:rPr>
          <w:t>xxxxxxxxxxxxxxxxxxxxxxx</w:t>
        </w:r>
      </w:hyperlink>
      <w:r>
        <w:t xml:space="preserve">, tel. </w:t>
      </w:r>
      <w:r>
        <w:t>xxxxxxxxxx</w:t>
      </w:r>
      <w:r>
        <w:t xml:space="preserve">). </w:t>
      </w:r>
    </w:p>
    <w:p w:rsidR="00762CF5" w:rsidRDefault="00762CF5" w:rsidP="00762CF5">
      <w:pPr>
        <w:numPr>
          <w:ilvl w:val="0"/>
          <w:numId w:val="8"/>
        </w:numPr>
        <w:jc w:val="both"/>
      </w:pPr>
      <w:r>
        <w:t>Smluvní strany se zavazují vzájemně se informovat o změně kontaktních údajů uvedených v záhlaví této smlouvy</w:t>
      </w:r>
      <w:r w:rsidRPr="00FC7D48">
        <w:t>.</w:t>
      </w:r>
    </w:p>
    <w:p w:rsidR="00762CF5" w:rsidRDefault="00762CF5" w:rsidP="00762CF5">
      <w:pPr>
        <w:numPr>
          <w:ilvl w:val="0"/>
          <w:numId w:val="8"/>
        </w:numPr>
        <w:jc w:val="both"/>
      </w:pPr>
      <w:r>
        <w:t xml:space="preserve">Město </w:t>
      </w:r>
      <w:r w:rsidRPr="00FC7D48">
        <w:t>Choceň</w:t>
      </w:r>
      <w:r>
        <w:t xml:space="preserve"> se zavazuje neprodleně informovat FA ČVUT o těch záměrech a rozhodnutích, které by mohly podstatně ovlivnit předmět této smlouvy.</w:t>
      </w:r>
    </w:p>
    <w:p w:rsidR="00762CF5" w:rsidRDefault="00762CF5" w:rsidP="00762CF5">
      <w:pPr>
        <w:numPr>
          <w:ilvl w:val="0"/>
          <w:numId w:val="8"/>
        </w:numPr>
        <w:jc w:val="both"/>
      </w:pPr>
      <w:r>
        <w:t xml:space="preserve">FA ČVUT se zavazuje neprodleně informovat město </w:t>
      </w:r>
      <w:r w:rsidRPr="00FC7D48">
        <w:t>Choceň</w:t>
      </w:r>
      <w:r>
        <w:t xml:space="preserve"> o všech skutečnostech, které by mohly městu </w:t>
      </w:r>
      <w:r w:rsidRPr="00FC7D48">
        <w:t>Choceň</w:t>
      </w:r>
      <w:r>
        <w:t xml:space="preserve"> způsobit finanční nebo jinou újmu, o překážkách, které by mohly ohrozit spolupráci uvedenou v čl. I. této smlouvy. </w:t>
      </w:r>
    </w:p>
    <w:p w:rsidR="00762CF5" w:rsidRDefault="00762CF5" w:rsidP="00762CF5">
      <w:pPr>
        <w:pStyle w:val="Nadpis02"/>
        <w:tabs>
          <w:tab w:val="clear" w:pos="4253"/>
          <w:tab w:val="left" w:pos="709"/>
        </w:tabs>
        <w:spacing w:before="60"/>
        <w:ind w:left="0" w:firstLine="0"/>
        <w:jc w:val="center"/>
        <w:rPr>
          <w:rFonts w:ascii="Times New Roman" w:hAnsi="Times New Roman" w:cs="Times New Roman"/>
          <w:color w:val="000000"/>
          <w:sz w:val="28"/>
          <w:szCs w:val="28"/>
        </w:rPr>
      </w:pPr>
    </w:p>
    <w:p w:rsidR="00762CF5" w:rsidRDefault="00762CF5" w:rsidP="00762CF5">
      <w:pPr>
        <w:pStyle w:val="Nadpis02"/>
        <w:tabs>
          <w:tab w:val="clear" w:pos="4253"/>
          <w:tab w:val="left" w:pos="709"/>
        </w:tabs>
        <w:spacing w:before="60"/>
        <w:ind w:left="0" w:firstLine="0"/>
        <w:jc w:val="center"/>
      </w:pPr>
      <w:r>
        <w:rPr>
          <w:rFonts w:ascii="Times New Roman" w:hAnsi="Times New Roman" w:cs="Times New Roman"/>
          <w:color w:val="000000"/>
          <w:sz w:val="28"/>
          <w:szCs w:val="28"/>
        </w:rPr>
        <w:t>VI.</w:t>
      </w:r>
    </w:p>
    <w:p w:rsidR="00762CF5" w:rsidRDefault="00762CF5" w:rsidP="00762CF5">
      <w:pPr>
        <w:pStyle w:val="Nadpis02"/>
        <w:tabs>
          <w:tab w:val="clear" w:pos="4253"/>
        </w:tabs>
        <w:ind w:left="851" w:hanging="851"/>
        <w:jc w:val="center"/>
      </w:pPr>
      <w:r>
        <w:rPr>
          <w:rFonts w:ascii="Times New Roman" w:hAnsi="Times New Roman" w:cs="Times New Roman"/>
          <w:color w:val="000000"/>
          <w:szCs w:val="26"/>
        </w:rPr>
        <w:t>Společná a závěrečná ustanovení</w:t>
      </w:r>
    </w:p>
    <w:p w:rsidR="00762CF5" w:rsidRDefault="00762CF5" w:rsidP="00762CF5"/>
    <w:p w:rsidR="00762CF5" w:rsidRDefault="00762CF5" w:rsidP="00762CF5">
      <w:pPr>
        <w:numPr>
          <w:ilvl w:val="0"/>
          <w:numId w:val="3"/>
        </w:numPr>
        <w:ind w:left="499" w:hanging="357"/>
        <w:jc w:val="both"/>
      </w:pPr>
      <w:r>
        <w:t xml:space="preserve">Spory vzniklé mezi městem </w:t>
      </w:r>
      <w:r w:rsidRPr="00FC7D48">
        <w:t>Choceň</w:t>
      </w:r>
      <w:r>
        <w:t xml:space="preserve"> a FA ČVUT v rámci rozsahu této smlouvy, které nelze vyřešit dohodou, mohou účastníci této smlouvy řešit podáním </w:t>
      </w:r>
      <w:r w:rsidRPr="00FC7D48">
        <w:t>návrhu</w:t>
      </w:r>
      <w:r>
        <w:t xml:space="preserve"> na soudní projednání u místně příslušného soudu ve smyslu zákona č. 99/1963 Sb., ve znění pozdějších předpisů.   </w:t>
      </w:r>
    </w:p>
    <w:p w:rsidR="00762CF5" w:rsidRDefault="00762CF5" w:rsidP="00762CF5">
      <w:pPr>
        <w:numPr>
          <w:ilvl w:val="0"/>
          <w:numId w:val="3"/>
        </w:numPr>
        <w:jc w:val="both"/>
      </w:pPr>
      <w:r>
        <w:rPr>
          <w:u w:val="single"/>
        </w:rPr>
        <w:t>Smlouva může být vypovězena kteroukoliv smluvní stranou</w:t>
      </w:r>
      <w:r>
        <w:t>, neplní-li jedna ze smluvních stran podstatně svoje povinnosti, zejména pokud je v delším než měsíčním prodlení s plněním svých závazků, je po dobu delší třiceti dnů bez závažného důvodu nečinná nebo jedná-li v rozporu s touto smlouvou.  Smlouva bude ukončena do sedmi dnů po doručení písemné výpovědi druhé smluvní straně, přičemž se za den doručení považuje nejpozději sedmý den ode dne, kdy byla výpověď uložena na poště, v případě nedoručitelnosti.</w:t>
      </w:r>
    </w:p>
    <w:p w:rsidR="00762CF5" w:rsidRDefault="00762CF5" w:rsidP="00762CF5">
      <w:pPr>
        <w:numPr>
          <w:ilvl w:val="0"/>
          <w:numId w:val="3"/>
        </w:numPr>
        <w:jc w:val="both"/>
      </w:pPr>
      <w:r>
        <w:lastRenderedPageBreak/>
        <w:t xml:space="preserve">V případě ukončení smlouvy vinou města </w:t>
      </w:r>
      <w:r w:rsidRPr="00FC7D48">
        <w:t>Choceň</w:t>
      </w:r>
      <w:r>
        <w:t xml:space="preserve">, bude městem </w:t>
      </w:r>
      <w:r w:rsidRPr="00FC7D48">
        <w:t>Choceň</w:t>
      </w:r>
      <w:r>
        <w:t xml:space="preserve"> uhrazena poměrná část prokazatelných účelně vynaložených nákladů do doby ukončení smlouvy, nepřevyšujících částku uvedenou v čl. IV. odst. 1 této smlouvy.</w:t>
      </w:r>
    </w:p>
    <w:p w:rsidR="00762CF5" w:rsidRDefault="00762CF5" w:rsidP="00762CF5">
      <w:pPr>
        <w:jc w:val="both"/>
        <w:rPr>
          <w:color w:val="000000"/>
        </w:rPr>
      </w:pPr>
    </w:p>
    <w:p w:rsidR="00762CF5" w:rsidRDefault="00762CF5" w:rsidP="00762CF5">
      <w:pPr>
        <w:pStyle w:val="lnek"/>
        <w:numPr>
          <w:ilvl w:val="0"/>
          <w:numId w:val="0"/>
        </w:numPr>
        <w:tabs>
          <w:tab w:val="left" w:pos="969"/>
        </w:tabs>
        <w:spacing w:before="60"/>
        <w:jc w:val="center"/>
      </w:pPr>
      <w:r>
        <w:rPr>
          <w:b/>
          <w:bCs/>
          <w:color w:val="000000"/>
          <w:sz w:val="28"/>
          <w:szCs w:val="28"/>
        </w:rPr>
        <w:t>VII.</w:t>
      </w:r>
    </w:p>
    <w:p w:rsidR="00762CF5" w:rsidRDefault="00762CF5" w:rsidP="00762CF5">
      <w:pPr>
        <w:pStyle w:val="lnek"/>
        <w:numPr>
          <w:ilvl w:val="0"/>
          <w:numId w:val="0"/>
        </w:numPr>
        <w:tabs>
          <w:tab w:val="left" w:pos="709"/>
        </w:tabs>
        <w:spacing w:before="240"/>
        <w:jc w:val="center"/>
      </w:pPr>
      <w:r>
        <w:rPr>
          <w:rFonts w:cs="Times New Roman"/>
          <w:b/>
          <w:color w:val="000000"/>
          <w:sz w:val="26"/>
          <w:szCs w:val="26"/>
        </w:rPr>
        <w:t xml:space="preserve"> </w:t>
      </w:r>
      <w:r>
        <w:rPr>
          <w:b/>
          <w:color w:val="000000"/>
          <w:sz w:val="26"/>
          <w:szCs w:val="26"/>
        </w:rPr>
        <w:t>ZÁVĚREČNÁ USTANOVENÍ</w:t>
      </w:r>
    </w:p>
    <w:p w:rsidR="00762CF5" w:rsidRDefault="00762CF5" w:rsidP="00762CF5">
      <w:pPr>
        <w:pStyle w:val="lnek"/>
        <w:numPr>
          <w:ilvl w:val="0"/>
          <w:numId w:val="0"/>
        </w:numPr>
        <w:tabs>
          <w:tab w:val="left" w:pos="709"/>
        </w:tabs>
        <w:spacing w:before="60"/>
        <w:jc w:val="center"/>
        <w:rPr>
          <w:b/>
          <w:color w:val="000000"/>
          <w:sz w:val="26"/>
          <w:szCs w:val="26"/>
        </w:rPr>
      </w:pPr>
    </w:p>
    <w:p w:rsidR="00762CF5" w:rsidRDefault="00762CF5" w:rsidP="00762CF5">
      <w:pPr>
        <w:numPr>
          <w:ilvl w:val="0"/>
          <w:numId w:val="4"/>
        </w:numPr>
        <w:jc w:val="both"/>
      </w:pPr>
      <w:r>
        <w:t xml:space="preserve">Tato smlouva se uzavírá na dobu určitou do </w:t>
      </w:r>
      <w:r w:rsidRPr="00FC7D48">
        <w:t>31. 10. 2020</w:t>
      </w:r>
      <w:r>
        <w:t>.</w:t>
      </w:r>
    </w:p>
    <w:p w:rsidR="00762CF5" w:rsidRDefault="00762CF5" w:rsidP="00762CF5">
      <w:pPr>
        <w:numPr>
          <w:ilvl w:val="0"/>
          <w:numId w:val="4"/>
        </w:numPr>
        <w:jc w:val="both"/>
      </w:pPr>
      <w:r>
        <w:t>Tato smlouva představuje úplnou a ucelenou smlouvu a nahrazuje všechna předcházející ujednání, smlouvy a dohody, ať písemné nebo ústní.</w:t>
      </w:r>
    </w:p>
    <w:p w:rsidR="00762CF5" w:rsidRDefault="00762CF5" w:rsidP="00762CF5">
      <w:pPr>
        <w:numPr>
          <w:ilvl w:val="0"/>
          <w:numId w:val="4"/>
        </w:numPr>
        <w:jc w:val="both"/>
      </w:pPr>
      <w:r>
        <w:t>Tato smlouva zavazuje smluvní strany navzájem, jejich partnery, nástupce, právní zástupce, právní nástupce a osoby jimi jmenované.</w:t>
      </w:r>
    </w:p>
    <w:p w:rsidR="00762CF5" w:rsidRDefault="00762CF5" w:rsidP="00762CF5">
      <w:pPr>
        <w:numPr>
          <w:ilvl w:val="0"/>
          <w:numId w:val="4"/>
        </w:numPr>
        <w:jc w:val="both"/>
      </w:pPr>
      <w:r>
        <w:t xml:space="preserve">Město </w:t>
      </w:r>
      <w:r w:rsidRPr="00FC7D48">
        <w:t>Choceň</w:t>
      </w:r>
      <w:r>
        <w:t>, ani FA ČVUT nepostoupí práva a závazky z této smlouvy plynoucí třetí straně bez výslovného písemného souhlasu druhé strany.</w:t>
      </w:r>
    </w:p>
    <w:p w:rsidR="00762CF5" w:rsidRDefault="00762CF5" w:rsidP="00762CF5">
      <w:pPr>
        <w:numPr>
          <w:ilvl w:val="0"/>
          <w:numId w:val="4"/>
        </w:numPr>
        <w:jc w:val="both"/>
      </w:pPr>
      <w: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rsidR="00762CF5" w:rsidRDefault="00762CF5" w:rsidP="00762CF5">
      <w:pPr>
        <w:numPr>
          <w:ilvl w:val="0"/>
          <w:numId w:val="4"/>
        </w:numPr>
        <w:jc w:val="both"/>
      </w:pPr>
      <w:r>
        <w:t xml:space="preserve">Tato smlouva byla vyhotovena ve </w:t>
      </w:r>
      <w:r>
        <w:t>dvou</w:t>
      </w:r>
      <w:bookmarkStart w:id="1" w:name="_GoBack"/>
      <w:bookmarkEnd w:id="1"/>
      <w:r>
        <w:t xml:space="preserve"> stejnopisech, z nichž dva obdrží město </w:t>
      </w:r>
      <w:r w:rsidRPr="00FC7D48">
        <w:t>Choceň</w:t>
      </w:r>
      <w:r>
        <w:t xml:space="preserve"> a dva FA ČVUT. Každý stejnopis této smlouvy má platnost originálu. </w:t>
      </w:r>
      <w:r>
        <w:rPr>
          <w:rFonts w:cs="Times New Roman"/>
        </w:rPr>
        <w:t xml:space="preserve">Smlouva nabývá platnosti dnem podpisů oprávněných zástupců obou smluvních stran a účinnosti dnem jejího zveřejnění v registru smluv vedeném Ministerstvem vnitra ČR v souladu se </w:t>
      </w:r>
      <w:r>
        <w:rPr>
          <w:rFonts w:eastAsia="MS Mincho" w:cs="Times New Roman"/>
          <w:bCs/>
        </w:rPr>
        <w:t>zákonem č. 340/2015 Sb.,</w:t>
      </w:r>
      <w:r>
        <w:rPr>
          <w:rFonts w:cs="Times New Roman"/>
        </w:rPr>
        <w:t xml:space="preserve"> o zvláštních podmínkách účinnosti některých smluv, uveřejňování těchto smluv a o registru smluv, v platném znění. </w:t>
      </w:r>
    </w:p>
    <w:p w:rsidR="00762CF5" w:rsidRPr="00FC7D48" w:rsidRDefault="00762CF5" w:rsidP="00762CF5">
      <w:pPr>
        <w:numPr>
          <w:ilvl w:val="0"/>
          <w:numId w:val="4"/>
        </w:numPr>
        <w:jc w:val="both"/>
        <w:rPr>
          <w:rFonts w:cs="Times New Roman"/>
        </w:rPr>
      </w:pPr>
      <w:r w:rsidRPr="00FC7D48">
        <w:rPr>
          <w:rFonts w:cs="Times New Roman"/>
        </w:rPr>
        <w:t>Smluvní strany se dohodly, že FA ČVUT bezodkladně po uzavření této smlouvy odešle smlouvu k řádnému uveřejnění do registru smluv vedeného Ministerstvem vnitra ČR, pakliže je k tomu ze zákona povinna. V ostatních případech je zveřejnění této smlouvy ponecháno na uvážení FA ČVUT.</w:t>
      </w:r>
      <w:r>
        <w:rPr>
          <w:rFonts w:cs="Times New Roman"/>
        </w:rPr>
        <w:t xml:space="preserve"> </w:t>
      </w:r>
    </w:p>
    <w:p w:rsidR="00762CF5" w:rsidRPr="00FC7D48" w:rsidRDefault="00762CF5" w:rsidP="00762CF5">
      <w:pPr>
        <w:numPr>
          <w:ilvl w:val="0"/>
          <w:numId w:val="4"/>
        </w:numPr>
        <w:jc w:val="both"/>
        <w:rPr>
          <w:rFonts w:cs="Times New Roman"/>
        </w:rPr>
      </w:pPr>
      <w:r w:rsidRPr="00FC7D48">
        <w:rPr>
          <w:rFonts w:cs="Times New Roman"/>
        </w:rPr>
        <w:t xml:space="preserve">Smluvní strany prohlašují, že žádná část smlouvy nenaplňuje znaky obchodního tajemství (§ 504 zákonem č. 89/2012 Sb., občanský zákoník, v platném znění). </w:t>
      </w:r>
    </w:p>
    <w:p w:rsidR="00762CF5" w:rsidRPr="00FC7D48" w:rsidRDefault="00762CF5" w:rsidP="00762CF5">
      <w:pPr>
        <w:numPr>
          <w:ilvl w:val="0"/>
          <w:numId w:val="4"/>
        </w:numPr>
        <w:jc w:val="both"/>
        <w:rPr>
          <w:rFonts w:cs="Times New Roman"/>
        </w:rPr>
      </w:pPr>
      <w:r w:rsidRPr="00FC7D48">
        <w:rPr>
          <w:rFonts w:cs="Times New Roman"/>
        </w:rPr>
        <w:t xml:space="preserve"> Tato smlouva byla v souladu s příslušnými ustanoveními zákona o obcích schválena usnesením rady města č. </w:t>
      </w:r>
      <w:r>
        <w:rPr>
          <w:rFonts w:cs="Times New Roman"/>
        </w:rPr>
        <w:t>66/4/RM/2020</w:t>
      </w:r>
      <w:r w:rsidRPr="00FC7D48">
        <w:rPr>
          <w:rFonts w:cs="Times New Roman"/>
        </w:rPr>
        <w:t xml:space="preserve"> na její schůzi dne </w:t>
      </w:r>
      <w:r>
        <w:rPr>
          <w:rFonts w:cs="Times New Roman"/>
        </w:rPr>
        <w:t>19.2.2020</w:t>
      </w:r>
      <w:r w:rsidRPr="00FC7D48">
        <w:rPr>
          <w:rFonts w:cs="Times New Roman"/>
        </w:rPr>
        <w:t>.</w:t>
      </w:r>
    </w:p>
    <w:p w:rsidR="00762CF5" w:rsidRDefault="00762CF5" w:rsidP="00762CF5">
      <w:pPr>
        <w:ind w:left="720"/>
        <w:jc w:val="both"/>
      </w:pPr>
    </w:p>
    <w:p w:rsidR="00762CF5" w:rsidRDefault="00762CF5" w:rsidP="00762CF5">
      <w:pPr>
        <w:ind w:left="720"/>
        <w:jc w:val="both"/>
        <w:rPr>
          <w:color w:val="000000"/>
        </w:rPr>
      </w:pPr>
    </w:p>
    <w:p w:rsidR="00762CF5" w:rsidRDefault="00762CF5" w:rsidP="00762CF5">
      <w:pPr>
        <w:ind w:left="720"/>
        <w:jc w:val="both"/>
        <w:rPr>
          <w:color w:val="000000"/>
        </w:rPr>
      </w:pPr>
    </w:p>
    <w:p w:rsidR="00762CF5" w:rsidRDefault="00762CF5" w:rsidP="00762CF5">
      <w:pPr>
        <w:pStyle w:val="Podlnek"/>
        <w:tabs>
          <w:tab w:val="clear" w:pos="4253"/>
        </w:tabs>
        <w:spacing w:before="60"/>
        <w:ind w:left="0" w:firstLine="0"/>
        <w:rPr>
          <w:rFonts w:ascii="Times New Roman" w:hAnsi="Times New Roman" w:cs="Times New Roman"/>
          <w:color w:val="000000"/>
          <w:sz w:val="24"/>
          <w:szCs w:val="24"/>
        </w:rPr>
      </w:pPr>
    </w:p>
    <w:p w:rsidR="00762CF5" w:rsidRDefault="00762CF5" w:rsidP="00762CF5">
      <w:pPr>
        <w:pStyle w:val="Podlnek"/>
        <w:tabs>
          <w:tab w:val="clear" w:pos="4253"/>
        </w:tabs>
        <w:spacing w:before="60"/>
        <w:ind w:left="0" w:firstLine="708"/>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w:t>
      </w:r>
    </w:p>
    <w:p w:rsidR="00762CF5" w:rsidRPr="00762CF5" w:rsidRDefault="00762CF5" w:rsidP="00762CF5">
      <w:r w:rsidRPr="00762CF5">
        <w:tab/>
      </w:r>
      <w:r>
        <w:t xml:space="preserve">Xxxxxxxxxxxx xxxxxxxxxx </w:t>
      </w:r>
      <w:r w:rsidRPr="00762CF5">
        <w:tab/>
      </w:r>
      <w:r w:rsidRPr="00762CF5">
        <w:tab/>
      </w:r>
      <w:r w:rsidRPr="00762CF5">
        <w:tab/>
      </w:r>
      <w:r w:rsidRPr="00762CF5">
        <w:tab/>
      </w:r>
      <w:r w:rsidRPr="00762CF5">
        <w:tab/>
      </w:r>
      <w:r>
        <w:t>Xxxxxxxxxxxx xxxxxxxx</w:t>
      </w:r>
    </w:p>
    <w:p w:rsidR="00762CF5" w:rsidRPr="00762CF5" w:rsidRDefault="00762CF5" w:rsidP="00762CF5">
      <w:r w:rsidRPr="00762CF5">
        <w:tab/>
      </w:r>
      <w:r>
        <w:t xml:space="preserve">Xxxxxxxxx </w:t>
      </w:r>
      <w:r w:rsidRPr="00762CF5">
        <w:t>města Choceň</w:t>
      </w:r>
      <w:r>
        <w:tab/>
      </w:r>
      <w:r>
        <w:tab/>
      </w:r>
      <w:r>
        <w:tab/>
      </w:r>
      <w:r>
        <w:tab/>
      </w:r>
      <w:r>
        <w:tab/>
        <w:t xml:space="preserve">xxxxxxxxxxxx </w:t>
      </w:r>
      <w:r w:rsidRPr="00762CF5">
        <w:t>FA ČVUT</w:t>
      </w:r>
    </w:p>
    <w:p w:rsidR="001B429C" w:rsidRPr="00762CF5" w:rsidRDefault="00762CF5" w:rsidP="00762CF5"/>
    <w:sectPr w:rsidR="001B429C" w:rsidRPr="00762CF5">
      <w:headerReference w:type="default" r:id="rId7"/>
      <w:footerReference w:type="default" r:id="rId8"/>
      <w:headerReference w:type="first" r:id="rId9"/>
      <w:footerReference w:type="first" r:id="rId10"/>
      <w:pgSz w:w="11906" w:h="16838"/>
      <w:pgMar w:top="993" w:right="1247" w:bottom="1304" w:left="1247"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47" w:rsidRDefault="00762CF5">
    <w:pPr>
      <w:pStyle w:val="Zpat"/>
      <w:jc w:val="center"/>
      <w:rPr>
        <w:rFonts w:ascii="Arial" w:hAnsi="Arial" w:cs="Arial"/>
        <w:sz w:val="20"/>
        <w:szCs w:val="20"/>
      </w:rPr>
    </w:pPr>
  </w:p>
  <w:p w:rsidR="00BF4547" w:rsidRDefault="00762CF5">
    <w:pPr>
      <w:pStyle w:val="Zpat"/>
      <w:jc w:val="center"/>
    </w:pPr>
    <w:r>
      <w:rPr>
        <w:rFonts w:ascii="Arial" w:hAnsi="Arial" w:cs="Arial"/>
        <w:sz w:val="20"/>
        <w:szCs w:val="20"/>
      </w:rPr>
      <w:t xml:space="preserve">Strana </w:t>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Pr>
        <w:rFonts w:cs="Arial"/>
        <w:noProof/>
        <w:sz w:val="20"/>
        <w:szCs w:val="20"/>
      </w:rPr>
      <w:t>1</w:t>
    </w:r>
    <w:r>
      <w:rPr>
        <w:rFonts w:cs="Arial"/>
        <w:sz w:val="20"/>
        <w:szCs w:val="20"/>
      </w:rPr>
      <w:fldChar w:fldCharType="end"/>
    </w:r>
    <w:r>
      <w:rPr>
        <w:rFonts w:ascii="Arial" w:hAnsi="Arial" w:cs="Arial"/>
        <w:sz w:val="20"/>
        <w:szCs w:val="20"/>
      </w:rPr>
      <w:t xml:space="preserve"> (celkem </w:t>
    </w:r>
    <w:r>
      <w:rPr>
        <w:rFonts w:cs="Arial"/>
        <w:sz w:val="20"/>
        <w:szCs w:val="20"/>
      </w:rPr>
      <w:fldChar w:fldCharType="begin"/>
    </w:r>
    <w:r>
      <w:rPr>
        <w:rFonts w:cs="Arial"/>
        <w:sz w:val="20"/>
        <w:szCs w:val="20"/>
      </w:rPr>
      <w:instrText xml:space="preserve"> NUMPAGES \* ARABIC </w:instrText>
    </w:r>
    <w:r>
      <w:rPr>
        <w:rFonts w:cs="Arial"/>
        <w:sz w:val="20"/>
        <w:szCs w:val="20"/>
      </w:rPr>
      <w:fldChar w:fldCharType="separate"/>
    </w:r>
    <w:r>
      <w:rPr>
        <w:rFonts w:cs="Arial"/>
        <w:noProof/>
        <w:sz w:val="20"/>
        <w:szCs w:val="20"/>
      </w:rPr>
      <w:t>4</w:t>
    </w:r>
    <w:r>
      <w:rPr>
        <w:rFonts w:cs="Arial"/>
        <w:sz w:val="20"/>
        <w:szCs w:val="20"/>
      </w:rPr>
      <w:fldChar w:fldCharType="end"/>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47" w:rsidRDefault="00762CF5"/>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4605"/>
      <w:gridCol w:w="5155"/>
    </w:tblGrid>
    <w:tr w:rsidR="00BF4547">
      <w:tc>
        <w:tcPr>
          <w:tcW w:w="4605" w:type="dxa"/>
          <w:shd w:val="clear" w:color="auto" w:fill="auto"/>
        </w:tcPr>
        <w:p w:rsidR="00BF4547" w:rsidRDefault="00762CF5">
          <w:pPr>
            <w:pStyle w:val="Zhlav"/>
            <w:snapToGrid w:val="0"/>
            <w:rPr>
              <w:rFonts w:ascii="Arial" w:hAnsi="Arial" w:cs="Arial"/>
              <w:sz w:val="22"/>
            </w:rPr>
          </w:pPr>
        </w:p>
      </w:tc>
      <w:tc>
        <w:tcPr>
          <w:tcW w:w="5155" w:type="dxa"/>
          <w:shd w:val="clear" w:color="auto" w:fill="auto"/>
        </w:tcPr>
        <w:p w:rsidR="00BF4547" w:rsidRDefault="00762CF5">
          <w:pPr>
            <w:pStyle w:val="Zhlav"/>
            <w:snapToGrid w:val="0"/>
            <w:rPr>
              <w:rFonts w:ascii="Arial" w:hAnsi="Arial" w:cs="Arial"/>
              <w:sz w:val="22"/>
            </w:rPr>
          </w:pPr>
        </w:p>
      </w:tc>
    </w:tr>
  </w:tbl>
  <w:p w:rsidR="00BF4547" w:rsidRDefault="00762CF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47" w:rsidRDefault="00762CF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pStyle w:val="lnek"/>
      <w:lvlText w:val="%1."/>
      <w:lvlJc w:val="left"/>
      <w:pPr>
        <w:tabs>
          <w:tab w:val="num" w:pos="4253"/>
        </w:tabs>
        <w:ind w:left="4253" w:hanging="709"/>
      </w:pPr>
      <w:rPr>
        <w:b/>
      </w:rPr>
    </w:lvl>
    <w:lvl w:ilvl="1">
      <w:start w:val="1"/>
      <w:numFmt w:val="decimal"/>
      <w:lvlText w:val="%2)"/>
      <w:lvlJc w:val="left"/>
      <w:pPr>
        <w:tabs>
          <w:tab w:val="num" w:pos="851"/>
        </w:tabs>
        <w:ind w:left="851" w:hanging="709"/>
      </w:pPr>
      <w:rPr>
        <w:b/>
        <w:i w:val="0"/>
        <w:color w:val="auto"/>
      </w:rPr>
    </w:lvl>
    <w:lvl w:ilvl="2">
      <w:start w:val="1"/>
      <w:numFmt w:val="decimal"/>
      <w:lvlText w:val="%3)"/>
      <w:lvlJc w:val="left"/>
      <w:pPr>
        <w:tabs>
          <w:tab w:val="num" w:pos="1418"/>
        </w:tabs>
        <w:ind w:left="1418" w:hanging="709"/>
      </w:pPr>
      <w:rPr>
        <w:b/>
        <w:bCs/>
        <w:i w:val="0"/>
        <w:sz w:val="24"/>
        <w:szCs w:val="24"/>
      </w:rPr>
    </w:lvl>
    <w:lvl w:ilvl="3">
      <w:start w:val="1"/>
      <w:numFmt w:val="decimal"/>
      <w:lvlText w:val="%1.%2.%3.%4."/>
      <w:lvlJc w:val="left"/>
      <w:pPr>
        <w:tabs>
          <w:tab w:val="num" w:pos="5073"/>
        </w:tabs>
        <w:ind w:left="5073"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502" w:hanging="360"/>
      </w:pPr>
      <w:rPr>
        <w:rFonts w:ascii="Georgia" w:hAnsi="Georgia" w:cs="Times New Roman" w:hint="default"/>
        <w:b w:val="0"/>
        <w:color w:val="000000"/>
        <w:sz w:val="22"/>
        <w:szCs w:val="22"/>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502" w:hanging="360"/>
      </w:pPr>
      <w:rPr>
        <w:rFonts w:eastAsia="MS Mincho" w:cs="Times New Roman" w:hint="default"/>
        <w:bCs/>
      </w:rPr>
    </w:lvl>
  </w:abstractNum>
  <w:abstractNum w:abstractNumId="5" w15:restartNumberingAfterBreak="0">
    <w:nsid w:val="00000008"/>
    <w:multiLevelType w:val="singleLevel"/>
    <w:tmpl w:val="00000008"/>
    <w:name w:val="WW8Num8"/>
    <w:lvl w:ilvl="0">
      <w:start w:val="1"/>
      <w:numFmt w:val="decimal"/>
      <w:lvlText w:val="%1)"/>
      <w:lvlJc w:val="left"/>
      <w:pPr>
        <w:tabs>
          <w:tab w:val="num" w:pos="0"/>
        </w:tabs>
        <w:ind w:left="720" w:hanging="360"/>
      </w:pPr>
      <w:rPr>
        <w:rFonts w:cs="Arial" w:hint="default"/>
        <w:color w:val="auto"/>
        <w:sz w:val="22"/>
        <w:szCs w:val="22"/>
      </w:r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502" w:hanging="360"/>
      </w:pPr>
      <w:rPr>
        <w:rFonts w:ascii="Symbol" w:hAnsi="Symbol" w:cs="Symbol" w:hint="default"/>
        <w:lang w:eastAsia="en-US"/>
      </w:rPr>
    </w:lvl>
  </w:abstractNum>
  <w:abstractNum w:abstractNumId="7" w15:restartNumberingAfterBreak="0">
    <w:nsid w:val="0000000A"/>
    <w:multiLevelType w:val="singleLevel"/>
    <w:tmpl w:val="4490A01C"/>
    <w:name w:val="WW8Num10"/>
    <w:lvl w:ilvl="0">
      <w:start w:val="1"/>
      <w:numFmt w:val="decimal"/>
      <w:lvlText w:val="%1)"/>
      <w:lvlJc w:val="left"/>
      <w:pPr>
        <w:tabs>
          <w:tab w:val="num" w:pos="-142"/>
        </w:tabs>
        <w:ind w:left="360" w:hanging="360"/>
      </w:pPr>
      <w:rPr>
        <w:rFonts w:ascii="Times New Roman" w:hAnsi="Times New Roman" w:cs="Times New Roman" w:hint="default"/>
        <w:b/>
        <w:color w:val="auto"/>
        <w:sz w:val="28"/>
        <w:szCs w:val="28"/>
        <w:lang w:eastAsia="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F5"/>
    <w:rsid w:val="005F04CF"/>
    <w:rsid w:val="00762CF5"/>
    <w:rsid w:val="00AF0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D5C1"/>
  <w15:chartTrackingRefBased/>
  <w15:docId w15:val="{96B34771-EB69-42B1-A981-EA41DA86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2CF5"/>
    <w:pPr>
      <w:suppressAutoHyphens/>
      <w:spacing w:after="0" w:line="240" w:lineRule="auto"/>
    </w:pPr>
    <w:rPr>
      <w:rFonts w:ascii="Times New Roman" w:eastAsia="Times New Roman" w:hAnsi="Times New Roman" w:cs="Aharoni"/>
      <w:sz w:val="24"/>
      <w:szCs w:val="24"/>
      <w:lang w:eastAsia="zh-CN"/>
    </w:rPr>
  </w:style>
  <w:style w:type="paragraph" w:styleId="Nadpis5">
    <w:name w:val="heading 5"/>
    <w:basedOn w:val="Normln"/>
    <w:next w:val="Normln"/>
    <w:link w:val="Nadpis5Char"/>
    <w:qFormat/>
    <w:rsid w:val="00762CF5"/>
    <w:pPr>
      <w:keepNext/>
      <w:widowControl w:val="0"/>
      <w:numPr>
        <w:ilvl w:val="4"/>
        <w:numId w:val="1"/>
      </w:numPr>
      <w:overflowPunct w:val="0"/>
      <w:autoSpaceDE w:val="0"/>
      <w:jc w:val="both"/>
      <w:textAlignment w:val="baseline"/>
      <w:outlineLvl w:val="4"/>
    </w:pPr>
    <w:rPr>
      <w:rFonts w:ascii="Arial" w:hAnsi="Arial"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762CF5"/>
    <w:rPr>
      <w:rFonts w:ascii="Arial" w:eastAsia="Times New Roman" w:hAnsi="Arial" w:cs="Arial"/>
      <w:b/>
      <w:bCs/>
      <w:sz w:val="24"/>
      <w:szCs w:val="20"/>
      <w:lang w:eastAsia="zh-CN"/>
    </w:rPr>
  </w:style>
  <w:style w:type="character" w:styleId="Hypertextovodkaz">
    <w:name w:val="Hyperlink"/>
    <w:rsid w:val="00762CF5"/>
    <w:rPr>
      <w:color w:val="0000FF"/>
      <w:u w:val="single"/>
    </w:rPr>
  </w:style>
  <w:style w:type="paragraph" w:styleId="Zkladntext">
    <w:name w:val="Body Text"/>
    <w:basedOn w:val="Normln"/>
    <w:link w:val="ZkladntextChar"/>
    <w:rsid w:val="00762CF5"/>
    <w:pPr>
      <w:ind w:firstLine="360"/>
      <w:jc w:val="both"/>
    </w:pPr>
    <w:rPr>
      <w:rFonts w:ascii="Arial" w:hAnsi="Arial" w:cs="Arial"/>
      <w:spacing w:val="-5"/>
      <w:sz w:val="20"/>
      <w:szCs w:val="20"/>
    </w:rPr>
  </w:style>
  <w:style w:type="character" w:customStyle="1" w:styleId="ZkladntextChar">
    <w:name w:val="Základní text Char"/>
    <w:basedOn w:val="Standardnpsmoodstavce"/>
    <w:link w:val="Zkladntext"/>
    <w:rsid w:val="00762CF5"/>
    <w:rPr>
      <w:rFonts w:ascii="Arial" w:eastAsia="Times New Roman" w:hAnsi="Arial" w:cs="Arial"/>
      <w:spacing w:val="-5"/>
      <w:sz w:val="20"/>
      <w:szCs w:val="20"/>
      <w:lang w:eastAsia="zh-CN"/>
    </w:rPr>
  </w:style>
  <w:style w:type="paragraph" w:customStyle="1" w:styleId="Nadpis02">
    <w:name w:val="Nadpis 02"/>
    <w:basedOn w:val="Normln"/>
    <w:next w:val="Normln"/>
    <w:rsid w:val="00762CF5"/>
    <w:pPr>
      <w:widowControl w:val="0"/>
      <w:tabs>
        <w:tab w:val="left" w:pos="4253"/>
      </w:tabs>
      <w:spacing w:before="240"/>
      <w:ind w:left="4253" w:hanging="709"/>
    </w:pPr>
    <w:rPr>
      <w:rFonts w:ascii="Arial" w:hAnsi="Arial" w:cs="Arial"/>
      <w:b/>
      <w:caps/>
      <w:sz w:val="26"/>
      <w:szCs w:val="20"/>
    </w:rPr>
  </w:style>
  <w:style w:type="paragraph" w:customStyle="1" w:styleId="lnek">
    <w:name w:val="Článek"/>
    <w:basedOn w:val="Normln"/>
    <w:rsid w:val="00762CF5"/>
    <w:pPr>
      <w:numPr>
        <w:numId w:val="2"/>
      </w:numPr>
    </w:pPr>
  </w:style>
  <w:style w:type="paragraph" w:customStyle="1" w:styleId="Podlnek">
    <w:name w:val="Podčlánek"/>
    <w:basedOn w:val="Normln"/>
    <w:rsid w:val="00762CF5"/>
    <w:pPr>
      <w:tabs>
        <w:tab w:val="left" w:pos="4253"/>
      </w:tabs>
      <w:ind w:left="4253" w:hanging="709"/>
      <w:jc w:val="both"/>
    </w:pPr>
    <w:rPr>
      <w:rFonts w:ascii="Arial" w:hAnsi="Arial" w:cs="Arial"/>
      <w:sz w:val="22"/>
      <w:szCs w:val="20"/>
    </w:rPr>
  </w:style>
  <w:style w:type="paragraph" w:styleId="Zpat">
    <w:name w:val="footer"/>
    <w:basedOn w:val="Normln"/>
    <w:link w:val="ZpatChar"/>
    <w:rsid w:val="00762CF5"/>
    <w:pPr>
      <w:tabs>
        <w:tab w:val="center" w:pos="4536"/>
        <w:tab w:val="right" w:pos="9072"/>
      </w:tabs>
    </w:pPr>
  </w:style>
  <w:style w:type="character" w:customStyle="1" w:styleId="ZpatChar">
    <w:name w:val="Zápatí Char"/>
    <w:basedOn w:val="Standardnpsmoodstavce"/>
    <w:link w:val="Zpat"/>
    <w:rsid w:val="00762CF5"/>
    <w:rPr>
      <w:rFonts w:ascii="Times New Roman" w:eastAsia="Times New Roman" w:hAnsi="Times New Roman" w:cs="Aharoni"/>
      <w:sz w:val="24"/>
      <w:szCs w:val="24"/>
      <w:lang w:eastAsia="zh-CN"/>
    </w:rPr>
  </w:style>
  <w:style w:type="paragraph" w:styleId="Zhlav">
    <w:name w:val="header"/>
    <w:basedOn w:val="Normln"/>
    <w:link w:val="ZhlavChar"/>
    <w:rsid w:val="00762CF5"/>
    <w:pPr>
      <w:tabs>
        <w:tab w:val="center" w:pos="4536"/>
        <w:tab w:val="right" w:pos="9072"/>
      </w:tabs>
    </w:pPr>
  </w:style>
  <w:style w:type="character" w:customStyle="1" w:styleId="ZhlavChar">
    <w:name w:val="Záhlaví Char"/>
    <w:basedOn w:val="Standardnpsmoodstavce"/>
    <w:link w:val="Zhlav"/>
    <w:rsid w:val="00762CF5"/>
    <w:rPr>
      <w:rFonts w:ascii="Times New Roman" w:eastAsia="Times New Roman" w:hAnsi="Times New Roman" w:cs="Aharoni"/>
      <w:sz w:val="24"/>
      <w:szCs w:val="24"/>
      <w:lang w:eastAsia="zh-CN"/>
    </w:rPr>
  </w:style>
  <w:style w:type="paragraph" w:customStyle="1" w:styleId="Standardntext">
    <w:name w:val="Standardní text"/>
    <w:basedOn w:val="Normln"/>
    <w:rsid w:val="00762CF5"/>
    <w:pPr>
      <w:autoSpaceDE w:val="0"/>
      <w:jc w:val="both"/>
    </w:pPr>
    <w:rPr>
      <w:lang w:val="en-US"/>
    </w:rPr>
  </w:style>
  <w:style w:type="paragraph" w:styleId="Bezmezer">
    <w:name w:val="No Spacing"/>
    <w:qFormat/>
    <w:rsid w:val="00762CF5"/>
    <w:pPr>
      <w:suppressAutoHyphens/>
      <w:spacing w:after="0" w:line="240" w:lineRule="auto"/>
    </w:pPr>
    <w:rPr>
      <w:rFonts w:ascii="Times New Roman" w:eastAsia="Times New Roman" w:hAnsi="Times New Roman" w:cs="Aharon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an.vacik@chocen-mesto.cz" TargetMode="External"/><Relationship Id="rId11" Type="http://schemas.openxmlformats.org/officeDocument/2006/relationships/fontTable" Target="fontTable.xml"/><Relationship Id="rId5" Type="http://schemas.openxmlformats.org/officeDocument/2006/relationships/hyperlink" Target="mailto:stepan.vacik@chocen-mesto.cz"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1368</Words>
  <Characters>8076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matulka1</dc:creator>
  <cp:keywords/>
  <dc:description/>
  <cp:lastModifiedBy>matulka1</cp:lastModifiedBy>
  <cp:revision>1</cp:revision>
  <dcterms:created xsi:type="dcterms:W3CDTF">2020-09-16T09:30:00Z</dcterms:created>
  <dcterms:modified xsi:type="dcterms:W3CDTF">2020-09-16T09:39:00Z</dcterms:modified>
</cp:coreProperties>
</file>