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8" w:rsidRPr="001700FA" w:rsidRDefault="00945178" w:rsidP="00B30BE2">
      <w:pPr>
        <w:rPr>
          <w:rFonts w:ascii="Times New Roman" w:hAnsi="Times New Roman" w:cs="Times New Roman"/>
          <w:lang w:val="cs-CZ"/>
        </w:rPr>
      </w:pPr>
      <w:bookmarkStart w:id="0" w:name="_GoBack"/>
      <w:bookmarkEnd w:id="0"/>
    </w:p>
    <w:p w:rsidR="00255E44" w:rsidRPr="001700FA" w:rsidRDefault="00255E44" w:rsidP="00B30BE2">
      <w:pPr>
        <w:rPr>
          <w:rFonts w:ascii="Times New Roman" w:hAnsi="Times New Roman" w:cs="Times New Roman"/>
          <w:lang w:val="cs-CZ"/>
        </w:rPr>
      </w:pPr>
    </w:p>
    <w:p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rsidR="00945178" w:rsidRPr="001700FA" w:rsidRDefault="00945178" w:rsidP="00B30BE2">
      <w:pPr>
        <w:pStyle w:val="Zkladntext"/>
        <w:jc w:val="center"/>
        <w:rPr>
          <w:rFonts w:ascii="Times New Roman" w:hAnsi="Times New Roman"/>
          <w:sz w:val="20"/>
          <w:szCs w:val="20"/>
          <w:lang w:val="cs-CZ"/>
        </w:rPr>
      </w:pPr>
    </w:p>
    <w:p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945178" w:rsidRPr="001700FA" w:rsidRDefault="00945178" w:rsidP="00B30BE2">
      <w:pPr>
        <w:autoSpaceDE/>
        <w:autoSpaceDN/>
        <w:jc w:val="center"/>
        <w:rPr>
          <w:rFonts w:ascii="Times New Roman" w:hAnsi="Times New Roman" w:cs="Times New Roman"/>
          <w:lang w:val="cs-CZ"/>
        </w:rPr>
      </w:pPr>
    </w:p>
    <w:p w:rsidR="00945178" w:rsidRPr="001700FA" w:rsidRDefault="00945178" w:rsidP="00B30BE2">
      <w:pPr>
        <w:autoSpaceDE/>
        <w:autoSpaceDN/>
        <w:jc w:val="center"/>
        <w:rPr>
          <w:rFonts w:ascii="Times New Roman" w:hAnsi="Times New Roman" w:cs="Times New Roman"/>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294C85">
        <w:rPr>
          <w:rFonts w:ascii="Times New Roman" w:hAnsi="Times New Roman"/>
          <w:b/>
          <w:bCs/>
          <w:sz w:val="20"/>
          <w:szCs w:val="20"/>
          <w:lang w:val="cs-CZ"/>
        </w:rPr>
        <w:t>Technická univerzita v Liberci</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294C85">
        <w:rPr>
          <w:rFonts w:ascii="Times New Roman" w:hAnsi="Times New Roman"/>
          <w:sz w:val="20"/>
          <w:szCs w:val="20"/>
          <w:lang w:val="cs-CZ"/>
        </w:rPr>
        <w:t>Studentská 1402/2, 461 17 Liberec 1</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00294C85">
        <w:rPr>
          <w:rFonts w:ascii="Times New Roman" w:hAnsi="Times New Roman"/>
          <w:sz w:val="20"/>
          <w:szCs w:val="20"/>
          <w:lang w:val="cs-CZ"/>
        </w:rPr>
        <w:t>46747885</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294C85">
        <w:rPr>
          <w:rFonts w:ascii="Times New Roman" w:hAnsi="Times New Roman"/>
          <w:sz w:val="20"/>
          <w:szCs w:val="20"/>
          <w:lang w:val="cs-CZ"/>
        </w:rPr>
        <w:t>CZ46747885</w:t>
      </w:r>
    </w:p>
    <w:p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544FA2">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544FA2">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544FA2">
        <w:rPr>
          <w:rFonts w:ascii="Times New Roman" w:hAnsi="Times New Roman"/>
          <w:sz w:val="20"/>
          <w:szCs w:val="20"/>
          <w:lang w:val="cs-CZ"/>
        </w:rPr>
        <w:t>xxx</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00BC411E"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D418A2">
        <w:rPr>
          <w:rFonts w:ascii="Times New Roman" w:hAnsi="Times New Roman"/>
          <w:b/>
          <w:bCs/>
          <w:sz w:val="20"/>
          <w:szCs w:val="20"/>
          <w:lang w:val="cs-CZ"/>
        </w:rPr>
        <w:t>BMTO GROUP a.s.</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D418A2">
        <w:rPr>
          <w:rFonts w:ascii="Times New Roman" w:hAnsi="Times New Roman"/>
          <w:sz w:val="20"/>
          <w:szCs w:val="20"/>
          <w:lang w:val="cs-CZ"/>
        </w:rPr>
        <w:t>Ampérova 444, 463 12 Liberec</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00D418A2">
        <w:rPr>
          <w:rFonts w:ascii="Times New Roman" w:hAnsi="Times New Roman"/>
          <w:sz w:val="20"/>
          <w:szCs w:val="20"/>
          <w:lang w:val="cs-CZ"/>
        </w:rPr>
        <w:t>49099361</w:t>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3260CB">
        <w:rPr>
          <w:rFonts w:ascii="Times New Roman" w:hAnsi="Times New Roman"/>
          <w:sz w:val="20"/>
          <w:szCs w:val="20"/>
          <w:lang w:val="cs-CZ"/>
        </w:rPr>
        <w:t>CZ</w:t>
      </w:r>
      <w:r w:rsidR="00D418A2">
        <w:rPr>
          <w:rFonts w:ascii="Times New Roman" w:hAnsi="Times New Roman"/>
          <w:sz w:val="20"/>
          <w:szCs w:val="20"/>
          <w:lang w:val="cs-CZ"/>
        </w:rPr>
        <w:t>49099361</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544FA2">
        <w:rPr>
          <w:rFonts w:ascii="Times New Roman" w:hAnsi="Times New Roman"/>
          <w:sz w:val="20"/>
          <w:szCs w:val="20"/>
          <w:lang w:val="cs-CZ"/>
        </w:rPr>
        <w:t>xxx</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8A2775">
        <w:rPr>
          <w:rFonts w:ascii="Times New Roman" w:hAnsi="Times New Roman"/>
          <w:sz w:val="20"/>
          <w:szCs w:val="20"/>
          <w:lang w:val="cs-CZ"/>
        </w:rPr>
        <w:t>xxx</w:t>
      </w:r>
    </w:p>
    <w:p w:rsidR="00E73E75" w:rsidRPr="001700FA" w:rsidRDefault="00E73E75" w:rsidP="00D418A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544FA2">
        <w:rPr>
          <w:rFonts w:ascii="Times New Roman" w:hAnsi="Times New Roman"/>
          <w:sz w:val="20"/>
          <w:szCs w:val="20"/>
          <w:lang w:val="cs-CZ"/>
        </w:rPr>
        <w:t>xxx</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544FA2">
        <w:rPr>
          <w:rFonts w:ascii="Times New Roman" w:hAnsi="Times New Roman"/>
          <w:sz w:val="20"/>
          <w:szCs w:val="20"/>
          <w:lang w:val="cs-CZ"/>
        </w:rPr>
        <w:t>xxx</w:t>
      </w:r>
    </w:p>
    <w:p w:rsidR="00945178" w:rsidRPr="003260CB" w:rsidRDefault="00E73E75" w:rsidP="003260CB">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w:t>
      </w:r>
      <w:r w:rsidR="00945178" w:rsidRPr="001700FA">
        <w:rPr>
          <w:rFonts w:ascii="Times New Roman" w:hAnsi="Times New Roman"/>
          <w:sz w:val="20"/>
          <w:szCs w:val="20"/>
          <w:lang w:val="cs-CZ"/>
        </w:rPr>
        <w:t xml:space="preserve">(dále jen jako </w:t>
      </w:r>
      <w:r w:rsidR="00945178"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945178"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1"/>
      <w:r w:rsidR="00945178" w:rsidRPr="001700FA">
        <w:rPr>
          <w:rFonts w:ascii="Times New Roman" w:hAnsi="Times New Roman"/>
          <w:b/>
          <w:bCs/>
          <w:sz w:val="20"/>
          <w:szCs w:val="20"/>
          <w:lang w:val="cs-CZ"/>
        </w:rPr>
        <w:t xml:space="preserve"> 1“)</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rPr>
          <w:rFonts w:ascii="Times New Roman" w:hAnsi="Times New Roman"/>
          <w:sz w:val="20"/>
          <w:szCs w:val="20"/>
          <w:lang w:val="cs-CZ"/>
        </w:rPr>
      </w:pPr>
      <w:r w:rsidRPr="001700FA">
        <w:rPr>
          <w:rFonts w:ascii="Times New Roman" w:hAnsi="Times New Roman"/>
          <w:sz w:val="20"/>
          <w:szCs w:val="20"/>
          <w:lang w:val="cs-CZ"/>
        </w:rPr>
        <w:tab/>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D418A2">
        <w:rPr>
          <w:rFonts w:ascii="Times New Roman" w:hAnsi="Times New Roman"/>
          <w:sz w:val="20"/>
          <w:szCs w:val="20"/>
          <w:lang w:val="cs-CZ"/>
        </w:rPr>
        <w:t xml:space="preserve"> </w:t>
      </w:r>
      <w:r w:rsidR="00D418A2" w:rsidRPr="007A00B0">
        <w:rPr>
          <w:rFonts w:ascii="Times New Roman" w:hAnsi="Times New Roman"/>
          <w:b/>
          <w:sz w:val="20"/>
          <w:szCs w:val="20"/>
          <w:lang w:val="cs-CZ"/>
        </w:rPr>
        <w:t>TH020</w:t>
      </w:r>
      <w:r w:rsidR="007A00B0" w:rsidRPr="007A00B0">
        <w:rPr>
          <w:rFonts w:ascii="Times New Roman" w:hAnsi="Times New Roman"/>
          <w:b/>
          <w:sz w:val="20"/>
          <w:szCs w:val="20"/>
          <w:lang w:val="cs-CZ"/>
        </w:rPr>
        <w:t>30720</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647AD4" w:rsidRPr="001700FA" w:rsidRDefault="00647AD4" w:rsidP="00B30BE2">
      <w:pPr>
        <w:pStyle w:val="Zkladntext"/>
        <w:jc w:val="center"/>
        <w:rPr>
          <w:rFonts w:ascii="Times New Roman" w:hAnsi="Times New Roman"/>
          <w:sz w:val="20"/>
          <w:szCs w:val="20"/>
          <w:lang w:val="cs-CZ"/>
        </w:rPr>
      </w:pPr>
    </w:p>
    <w:p w:rsidR="007571F6" w:rsidRPr="001700FA" w:rsidRDefault="007571F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647AD4" w:rsidRPr="001700FA" w:rsidRDefault="00647AD4" w:rsidP="008A2775">
      <w:pPr>
        <w:pStyle w:val="Zkladntext"/>
        <w:numPr>
          <w:ilvl w:val="0"/>
          <w:numId w:val="1"/>
        </w:numPr>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 názvem</w:t>
      </w:r>
      <w:r w:rsidRPr="001700FA">
        <w:rPr>
          <w:rFonts w:ascii="Times New Roman" w:hAnsi="Times New Roman"/>
          <w:sz w:val="20"/>
          <w:szCs w:val="20"/>
          <w:lang w:val="cs-CZ"/>
        </w:rPr>
        <w:t xml:space="preserve"> </w:t>
      </w:r>
      <w:r w:rsidR="007A00B0" w:rsidRPr="007A00B0">
        <w:rPr>
          <w:rFonts w:ascii="Times New Roman" w:hAnsi="Times New Roman"/>
          <w:b/>
          <w:sz w:val="20"/>
          <w:szCs w:val="20"/>
          <w:lang w:val="cs-CZ"/>
        </w:rPr>
        <w:t>Membránové čištění odpadních vod v potravinářském průmyslu</w:t>
      </w:r>
      <w:r w:rsidR="00613BC3"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registrační číslo </w:t>
      </w:r>
      <w:r w:rsidR="007A00B0" w:rsidRPr="007A00B0">
        <w:rPr>
          <w:rFonts w:ascii="Times New Roman" w:hAnsi="Times New Roman"/>
          <w:b/>
          <w:sz w:val="20"/>
          <w:szCs w:val="20"/>
          <w:lang w:val="cs-CZ"/>
        </w:rPr>
        <w:t>TH02030720</w:t>
      </w:r>
      <w:r w:rsidR="00613BC3" w:rsidRPr="007A00B0">
        <w:rPr>
          <w:rFonts w:ascii="Times New Roman" w:hAnsi="Times New Roman"/>
          <w:b/>
          <w:sz w:val="20"/>
          <w:szCs w:val="20"/>
          <w:lang w:val="cs-CZ"/>
        </w:rPr>
        <w:t xml:space="preserve"> </w:t>
      </w:r>
      <w:r w:rsidR="00613BC3" w:rsidRPr="001700FA">
        <w:rPr>
          <w:rFonts w:ascii="Times New Roman" w:hAnsi="Times New Roman"/>
          <w:sz w:val="20"/>
          <w:szCs w:val="20"/>
          <w:lang w:val="cs-CZ"/>
        </w:rPr>
        <w:t>(dále jen „</w:t>
      </w:r>
      <w:r w:rsidR="00613BC3" w:rsidRPr="001700FA">
        <w:rPr>
          <w:rFonts w:ascii="Times New Roman" w:hAnsi="Times New Roman"/>
          <w:b/>
          <w:sz w:val="20"/>
          <w:szCs w:val="20"/>
          <w:lang w:val="cs-CZ"/>
        </w:rPr>
        <w:t>projekt</w:t>
      </w:r>
      <w:r w:rsidR="00613BC3" w:rsidRPr="001700FA">
        <w:rPr>
          <w:rFonts w:ascii="Times New Roman" w:hAnsi="Times New Roman"/>
          <w:sz w:val="20"/>
          <w:szCs w:val="20"/>
          <w:lang w:val="cs-CZ"/>
        </w:rPr>
        <w:t>“)</w:t>
      </w:r>
      <w:r w:rsidRPr="001700FA">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1700FA">
        <w:rPr>
          <w:rFonts w:ascii="Times New Roman" w:hAnsi="Times New Roman"/>
          <w:b/>
          <w:sz w:val="20"/>
          <w:szCs w:val="20"/>
          <w:lang w:val="cs-CZ"/>
        </w:rPr>
        <w:t>účelová podpora</w:t>
      </w:r>
      <w:r w:rsidRPr="001700FA">
        <w:rPr>
          <w:rFonts w:ascii="Times New Roman" w:hAnsi="Times New Roman"/>
          <w:sz w:val="20"/>
          <w:szCs w:val="20"/>
          <w:lang w:val="cs-CZ"/>
        </w:rPr>
        <w:t>“) prostřednictvím Smlouvy o poskytnutí</w:t>
      </w:r>
      <w:r w:rsidR="00684097" w:rsidRPr="001700FA">
        <w:rPr>
          <w:rFonts w:ascii="Times New Roman" w:hAnsi="Times New Roman"/>
          <w:sz w:val="20"/>
          <w:szCs w:val="20"/>
          <w:lang w:val="cs-CZ"/>
        </w:rPr>
        <w:t xml:space="preserve"> </w:t>
      </w:r>
      <w:r w:rsidR="00D03BCA">
        <w:rPr>
          <w:rFonts w:ascii="Times New Roman" w:hAnsi="Times New Roman"/>
          <w:sz w:val="20"/>
          <w:szCs w:val="20"/>
          <w:lang w:val="cs-CZ"/>
        </w:rPr>
        <w:t xml:space="preserve">podpory </w:t>
      </w:r>
      <w:r w:rsidRPr="001700FA">
        <w:rPr>
          <w:rFonts w:ascii="Times New Roman" w:hAnsi="Times New Roman"/>
          <w:sz w:val="20"/>
          <w:szCs w:val="20"/>
          <w:lang w:val="cs-CZ"/>
        </w:rPr>
        <w:t>(dále jen „</w:t>
      </w:r>
      <w:r w:rsidRPr="001700FA">
        <w:rPr>
          <w:rFonts w:ascii="Times New Roman" w:hAnsi="Times New Roman"/>
          <w:b/>
          <w:sz w:val="20"/>
          <w:szCs w:val="20"/>
          <w:lang w:val="cs-CZ"/>
        </w:rPr>
        <w:t>poskytovatelská smlouva</w:t>
      </w:r>
      <w:r w:rsidRPr="001700FA">
        <w:rPr>
          <w:rFonts w:ascii="Times New Roman" w:hAnsi="Times New Roman"/>
          <w:sz w:val="20"/>
          <w:szCs w:val="20"/>
          <w:lang w:val="cs-CZ"/>
        </w:rPr>
        <w:t>“), která bude uzavřena mezi příjemcem a Českou republikou - Technologickou agenturou České republiky (dále jen „</w:t>
      </w:r>
      <w:r w:rsidRPr="001700FA">
        <w:rPr>
          <w:rFonts w:ascii="Times New Roman" w:hAnsi="Times New Roman"/>
          <w:b/>
          <w:sz w:val="20"/>
          <w:szCs w:val="20"/>
          <w:lang w:val="cs-CZ"/>
        </w:rPr>
        <w:t>poskytovatel</w:t>
      </w:r>
      <w:r w:rsidRPr="001700FA">
        <w:rPr>
          <w:rFonts w:ascii="Times New Roman" w:hAnsi="Times New Roman"/>
          <w:sz w:val="20"/>
          <w:szCs w:val="20"/>
          <w:lang w:val="cs-CZ"/>
        </w:rPr>
        <w:t>“).</w:t>
      </w:r>
    </w:p>
    <w:p w:rsidR="00647AD4" w:rsidRPr="002056AB" w:rsidRDefault="002056AB" w:rsidP="008A2775">
      <w:pPr>
        <w:pStyle w:val="Zkladntext"/>
        <w:numPr>
          <w:ilvl w:val="0"/>
          <w:numId w:val="1"/>
        </w:numPr>
        <w:rPr>
          <w:rFonts w:ascii="Times New Roman" w:hAnsi="Times New Roman"/>
          <w:sz w:val="20"/>
          <w:szCs w:val="20"/>
          <w:lang w:val="cs-CZ"/>
        </w:rPr>
      </w:pPr>
      <w:r w:rsidRPr="002056AB">
        <w:rPr>
          <w:rFonts w:ascii="Times New Roman" w:hAnsi="Times New Roman"/>
          <w:sz w:val="20"/>
          <w:szCs w:val="20"/>
          <w:lang w:val="cs-CZ"/>
        </w:rPr>
        <w:t xml:space="preserve">Cílem projektu je </w:t>
      </w:r>
      <w:r w:rsidR="00544FA2">
        <w:rPr>
          <w:rFonts w:ascii="Times New Roman" w:hAnsi="Times New Roman"/>
          <w:b/>
          <w:sz w:val="20"/>
          <w:szCs w:val="20"/>
          <w:lang w:val="cs-CZ"/>
        </w:rPr>
        <w:t>xxx</w:t>
      </w:r>
      <w:r w:rsidRPr="002056AB">
        <w:rPr>
          <w:rFonts w:ascii="Times New Roman" w:hAnsi="Times New Roman"/>
          <w:b/>
          <w:sz w:val="20"/>
          <w:szCs w:val="20"/>
          <w:lang w:val="cs-CZ"/>
        </w:rPr>
        <w:t>.</w:t>
      </w:r>
      <w:r w:rsidRPr="002056AB">
        <w:rPr>
          <w:rFonts w:ascii="Times New Roman" w:hAnsi="Times New Roman"/>
          <w:sz w:val="20"/>
          <w:szCs w:val="20"/>
          <w:lang w:val="cs-CZ"/>
        </w:rPr>
        <w:t xml:space="preserve"> </w:t>
      </w:r>
      <w:r w:rsidR="00647AD4" w:rsidRPr="002056AB">
        <w:rPr>
          <w:rFonts w:ascii="Times New Roman" w:hAnsi="Times New Roman"/>
          <w:sz w:val="20"/>
          <w:szCs w:val="20"/>
          <w:lang w:val="cs-CZ"/>
        </w:rPr>
        <w:t>Vymezení závazných parametrů řešení projektu je uvedeno v </w:t>
      </w:r>
      <w:r w:rsidR="00647AD4" w:rsidRPr="002056AB">
        <w:rPr>
          <w:rFonts w:ascii="Times New Roman" w:hAnsi="Times New Roman"/>
          <w:b/>
          <w:sz w:val="20"/>
          <w:szCs w:val="20"/>
          <w:lang w:val="cs-CZ"/>
        </w:rPr>
        <w:t>Příloze 1</w:t>
      </w:r>
      <w:r w:rsidR="00647AD4" w:rsidRPr="002056AB">
        <w:rPr>
          <w:rFonts w:ascii="Times New Roman" w:hAnsi="Times New Roman"/>
          <w:sz w:val="20"/>
          <w:szCs w:val="20"/>
          <w:lang w:val="cs-CZ"/>
        </w:rPr>
        <w:t xml:space="preserve"> této smlouvy. </w:t>
      </w:r>
    </w:p>
    <w:p w:rsidR="00647AD4" w:rsidRPr="001700FA" w:rsidRDefault="00647AD4" w:rsidP="008A2775">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rsidR="00647AD4" w:rsidRPr="00C105B5" w:rsidRDefault="00647AD4" w:rsidP="008A2775">
      <w:pPr>
        <w:pStyle w:val="Zkladntext"/>
        <w:numPr>
          <w:ilvl w:val="0"/>
          <w:numId w:val="1"/>
        </w:numPr>
        <w:ind w:hanging="720"/>
        <w:rPr>
          <w:rFonts w:ascii="Times New Roman" w:eastAsia="Calibri" w:hAnsi="Times New Roman"/>
          <w:sz w:val="20"/>
          <w:szCs w:val="20"/>
          <w:lang w:val="cs-CZ"/>
        </w:rPr>
      </w:pPr>
      <w:r w:rsidRPr="00C105B5">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Smlouvě o využití výsledků, jejíž návrh bude schválen nejméně třicet (30) dní před ukončením </w:t>
      </w:r>
      <w:r w:rsidR="00805940" w:rsidRPr="00C105B5">
        <w:rPr>
          <w:rFonts w:ascii="Times New Roman" w:eastAsia="Calibri" w:hAnsi="Times New Roman"/>
          <w:sz w:val="20"/>
          <w:szCs w:val="20"/>
          <w:lang w:val="cs-CZ"/>
        </w:rPr>
        <w:t>řešení projektu</w:t>
      </w:r>
      <w:r w:rsidRPr="00C105B5">
        <w:rPr>
          <w:rFonts w:ascii="Times New Roman" w:eastAsia="Calibri" w:hAnsi="Times New Roman"/>
          <w:sz w:val="20"/>
          <w:szCs w:val="20"/>
          <w:lang w:val="cs-CZ"/>
        </w:rPr>
        <w:t xml:space="preserve">. Smlouva bude respektovat ustanovení o právech k duševnímu vlastnictví dle čl. </w:t>
      </w:r>
      <w:r w:rsidR="00D03BCA" w:rsidRPr="00C105B5">
        <w:rPr>
          <w:rFonts w:ascii="Times New Roman" w:eastAsia="Calibri" w:hAnsi="Times New Roman"/>
          <w:sz w:val="20"/>
          <w:szCs w:val="20"/>
          <w:lang w:val="cs-CZ"/>
        </w:rPr>
        <w:t>I</w:t>
      </w:r>
      <w:r w:rsidR="00816DC9" w:rsidRPr="00C105B5">
        <w:rPr>
          <w:rFonts w:ascii="Times New Roman" w:eastAsia="Calibri" w:hAnsi="Times New Roman"/>
          <w:sz w:val="20"/>
          <w:szCs w:val="20"/>
          <w:lang w:val="cs-CZ"/>
        </w:rPr>
        <w:t>X</w:t>
      </w:r>
      <w:r w:rsidRPr="00C105B5">
        <w:rPr>
          <w:rFonts w:ascii="Times New Roman" w:eastAsia="Calibri" w:hAnsi="Times New Roman"/>
          <w:sz w:val="20"/>
          <w:szCs w:val="20"/>
          <w:lang w:val="cs-CZ"/>
        </w:rPr>
        <w:t xml:space="preserve"> této smlouvy.</w:t>
      </w:r>
    </w:p>
    <w:p w:rsidR="00647AD4" w:rsidRPr="003260CB" w:rsidRDefault="009E7AE4" w:rsidP="008A2775">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rsidR="00664A8E" w:rsidRPr="001700FA" w:rsidRDefault="00664A8E" w:rsidP="00B30BE2">
      <w:pPr>
        <w:pStyle w:val="Zkladntext"/>
        <w:jc w:val="center"/>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664A8E" w:rsidRPr="003260CB" w:rsidRDefault="00664A8E" w:rsidP="008A2775">
      <w:pPr>
        <w:pStyle w:val="Zkladntext"/>
        <w:numPr>
          <w:ilvl w:val="0"/>
          <w:numId w:val="2"/>
        </w:numPr>
        <w:ind w:hanging="720"/>
        <w:rPr>
          <w:rFonts w:ascii="Times New Roman" w:hAnsi="Times New Roman"/>
          <w:sz w:val="20"/>
          <w:szCs w:val="20"/>
          <w:lang w:val="cs-CZ"/>
        </w:rPr>
      </w:pPr>
      <w:r w:rsidRPr="003260CB">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544FA2">
        <w:rPr>
          <w:rFonts w:ascii="Times New Roman" w:hAnsi="Times New Roman"/>
          <w:sz w:val="20"/>
          <w:szCs w:val="20"/>
          <w:lang w:val="cs-CZ"/>
        </w:rPr>
        <w:t>xxx</w:t>
      </w:r>
      <w:r w:rsidR="00D10B17" w:rsidRPr="003260CB">
        <w:rPr>
          <w:rFonts w:ascii="Times New Roman" w:hAnsi="Times New Roman"/>
          <w:sz w:val="20"/>
          <w:szCs w:val="20"/>
          <w:lang w:val="cs-CZ"/>
        </w:rPr>
        <w:t xml:space="preserve"> </w:t>
      </w:r>
      <w:r w:rsidRPr="003260CB">
        <w:rPr>
          <w:rFonts w:ascii="Times New Roman" w:hAnsi="Times New Roman"/>
          <w:sz w:val="20"/>
          <w:szCs w:val="20"/>
          <w:lang w:val="cs-CZ"/>
        </w:rPr>
        <w:t>(dále jen „</w:t>
      </w:r>
      <w:r w:rsidRPr="003260CB">
        <w:rPr>
          <w:rFonts w:ascii="Times New Roman" w:hAnsi="Times New Roman"/>
          <w:b/>
          <w:sz w:val="20"/>
          <w:szCs w:val="20"/>
          <w:lang w:val="cs-CZ"/>
        </w:rPr>
        <w:t>hlavní řešitel</w:t>
      </w:r>
      <w:r w:rsidRPr="003260CB">
        <w:rPr>
          <w:rFonts w:ascii="Times New Roman" w:hAnsi="Times New Roman"/>
          <w:sz w:val="20"/>
          <w:szCs w:val="20"/>
          <w:lang w:val="cs-CZ"/>
        </w:rPr>
        <w:t>“). Hlavnímu řešiteli projektu bude přímo podřízen řešitel na straně dalšího účastníka</w:t>
      </w:r>
      <w:r w:rsidR="00547444" w:rsidRPr="003260CB">
        <w:rPr>
          <w:rFonts w:ascii="Times New Roman" w:hAnsi="Times New Roman"/>
          <w:sz w:val="20"/>
          <w:szCs w:val="20"/>
          <w:lang w:val="cs-CZ"/>
        </w:rPr>
        <w:t xml:space="preserve"> </w:t>
      </w:r>
      <w:r w:rsidR="00544FA2">
        <w:rPr>
          <w:rFonts w:ascii="Times New Roman" w:hAnsi="Times New Roman"/>
          <w:sz w:val="20"/>
          <w:szCs w:val="20"/>
          <w:lang w:val="cs-CZ"/>
        </w:rPr>
        <w:t>xxx</w:t>
      </w:r>
      <w:r w:rsidR="003260CB" w:rsidRPr="003260CB">
        <w:rPr>
          <w:rFonts w:ascii="Times New Roman" w:hAnsi="Times New Roman"/>
          <w:sz w:val="20"/>
          <w:szCs w:val="20"/>
          <w:lang w:val="cs-CZ"/>
        </w:rPr>
        <w:t xml:space="preserve"> </w:t>
      </w:r>
      <w:r w:rsidRPr="003260CB">
        <w:rPr>
          <w:rFonts w:ascii="Times New Roman" w:hAnsi="Times New Roman"/>
          <w:sz w:val="20"/>
          <w:szCs w:val="20"/>
          <w:lang w:val="cs-CZ"/>
        </w:rPr>
        <w:t>(dále jen „</w:t>
      </w:r>
      <w:r w:rsidRPr="003260CB">
        <w:rPr>
          <w:rFonts w:ascii="Times New Roman" w:hAnsi="Times New Roman"/>
          <w:b/>
          <w:sz w:val="20"/>
          <w:szCs w:val="20"/>
          <w:lang w:val="cs-CZ"/>
        </w:rPr>
        <w:t>další řešitel</w:t>
      </w:r>
      <w:r w:rsidRPr="003260CB">
        <w:rPr>
          <w:rFonts w:ascii="Times New Roman" w:hAnsi="Times New Roman"/>
          <w:sz w:val="20"/>
          <w:szCs w:val="20"/>
          <w:lang w:val="cs-CZ"/>
        </w:rPr>
        <w:t>“). Hlavní řešitel zajistí koordinaci projektu tak, aby plnění jednotlivých úkolů probíhalo v souladu se schváleným návrhem projektu</w:t>
      </w:r>
      <w:r w:rsidRPr="003260CB">
        <w:rPr>
          <w:rFonts w:ascii="Times New Roman" w:eastAsia="Calibri" w:hAnsi="Times New Roman"/>
          <w:sz w:val="20"/>
          <w:szCs w:val="20"/>
          <w:lang w:val="cs-CZ"/>
        </w:rPr>
        <w:t>.</w:t>
      </w:r>
    </w:p>
    <w:p w:rsidR="00664A8E" w:rsidRPr="001700FA" w:rsidRDefault="00664A8E" w:rsidP="008A2775">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3402FE" w:rsidRPr="001700FA" w:rsidRDefault="003402FE" w:rsidP="00B30BE2">
      <w:pPr>
        <w:rPr>
          <w:rFonts w:ascii="Times New Roman" w:hAnsi="Times New Roman" w:cs="Times New Roman"/>
          <w:lang w:val="cs-CZ"/>
        </w:rPr>
      </w:pPr>
    </w:p>
    <w:p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lastRenderedPageBreak/>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45358D" w:rsidRPr="001700FA" w:rsidRDefault="0045358D"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45358D" w:rsidRPr="001700FA" w:rsidRDefault="0045358D"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rsidR="0045358D" w:rsidRPr="001700FA" w:rsidRDefault="0045358D"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rsidR="0045358D" w:rsidRPr="001700FA" w:rsidRDefault="0045358D"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996DCE" w:rsidRPr="001700FA" w:rsidRDefault="00996DCE"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E530A6" w:rsidRPr="001700FA" w:rsidRDefault="0045358D"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rsidR="0045358D" w:rsidRPr="001700FA" w:rsidRDefault="0045358D" w:rsidP="008A2775">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45358D" w:rsidRPr="001700FA" w:rsidRDefault="0045358D" w:rsidP="008A2775">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rsidR="0045358D" w:rsidRPr="001700FA" w:rsidRDefault="00407220" w:rsidP="008A2775">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rsidR="0045358D" w:rsidRPr="001700FA" w:rsidRDefault="00407220" w:rsidP="008A2775">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rsidR="0045358D" w:rsidRPr="001700FA" w:rsidRDefault="00407220" w:rsidP="008A2775">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rsidR="0045358D" w:rsidRPr="001700FA" w:rsidRDefault="00407220" w:rsidP="008A2775">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rsidR="0045358D" w:rsidRPr="001700FA" w:rsidRDefault="001854A7" w:rsidP="008A2775">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rsidR="0045358D" w:rsidRPr="001700FA" w:rsidRDefault="0045358D" w:rsidP="008A2775">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rsidR="0045358D" w:rsidRPr="001700FA" w:rsidRDefault="0045358D" w:rsidP="008A2775">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rsidR="0047481D" w:rsidRPr="001700FA" w:rsidRDefault="0045358D" w:rsidP="008A2775">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rsidR="00477F4F" w:rsidRPr="001700FA" w:rsidRDefault="0045358D" w:rsidP="008A2775">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rsidR="00477F4F" w:rsidRPr="001700FA" w:rsidRDefault="0045358D" w:rsidP="008A2775">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477F4F" w:rsidRPr="001700FA" w:rsidRDefault="00022FC8" w:rsidP="008A2775">
      <w:pPr>
        <w:pStyle w:val="Odstavecseseznamem"/>
        <w:numPr>
          <w:ilvl w:val="0"/>
          <w:numId w:val="3"/>
        </w:numPr>
        <w:ind w:hanging="720"/>
        <w:jc w:val="both"/>
        <w:rPr>
          <w:sz w:val="20"/>
        </w:rPr>
      </w:pPr>
      <w:r w:rsidRPr="001700FA">
        <w:rPr>
          <w:sz w:val="20"/>
        </w:rPr>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rsidR="00510A71" w:rsidRPr="001700FA" w:rsidRDefault="00542698" w:rsidP="008A2775">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62CDC" w:rsidRPr="001700FA" w:rsidRDefault="00062CDC" w:rsidP="008A2775">
      <w:pPr>
        <w:pStyle w:val="Odstavecseseznamem"/>
        <w:numPr>
          <w:ilvl w:val="0"/>
          <w:numId w:val="3"/>
        </w:numPr>
        <w:ind w:hanging="720"/>
        <w:jc w:val="both"/>
        <w:rPr>
          <w:sz w:val="20"/>
        </w:rPr>
      </w:pPr>
      <w:r w:rsidRPr="001700FA">
        <w:rPr>
          <w:sz w:val="20"/>
        </w:rPr>
        <w:t>Jednotlivé kategorie způsobilých nákladů:</w:t>
      </w:r>
    </w:p>
    <w:p w:rsidR="00062CDC" w:rsidRPr="001700FA" w:rsidRDefault="00062CDC" w:rsidP="00062CDC">
      <w:pPr>
        <w:pStyle w:val="Odstavecseseznamem"/>
        <w:jc w:val="both"/>
        <w:rPr>
          <w:sz w:val="20"/>
        </w:rPr>
      </w:pPr>
      <w:r w:rsidRPr="001700FA">
        <w:rPr>
          <w:sz w:val="20"/>
        </w:rPr>
        <w:t>a) osobní náklady,</w:t>
      </w:r>
    </w:p>
    <w:p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rsidR="00B30BE2" w:rsidRPr="001700FA" w:rsidRDefault="00EA1439" w:rsidP="009600C7">
      <w:pPr>
        <w:pStyle w:val="Odstavecseseznamem"/>
        <w:jc w:val="both"/>
        <w:rPr>
          <w:sz w:val="20"/>
        </w:rPr>
      </w:pPr>
      <w:r>
        <w:rPr>
          <w:sz w:val="20"/>
        </w:rPr>
        <w:t>d</w:t>
      </w:r>
      <w:r w:rsidR="00062CDC" w:rsidRPr="001700FA">
        <w:rPr>
          <w:sz w:val="20"/>
        </w:rPr>
        <w:t>) ostatní nepřímé náklady.</w:t>
      </w:r>
    </w:p>
    <w:p w:rsidR="003B4992" w:rsidRPr="001700FA" w:rsidRDefault="003B4992" w:rsidP="00B30BE2">
      <w:pPr>
        <w:adjustRightInd w:val="0"/>
        <w:rPr>
          <w:rFonts w:ascii="Times New Roman" w:hAnsi="Times New Roman" w:cs="Times New Roman"/>
          <w:bCs/>
          <w:color w:val="000000"/>
          <w:lang w:val="cs-CZ"/>
        </w:rPr>
      </w:pPr>
    </w:p>
    <w:p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56588E" w:rsidRPr="001700FA" w:rsidRDefault="0056588E" w:rsidP="00B30BE2">
      <w:pPr>
        <w:adjustRightInd w:val="0"/>
        <w:jc w:val="both"/>
        <w:rPr>
          <w:rFonts w:ascii="Times New Roman" w:hAnsi="Times New Roman" w:cs="Times New Roman"/>
          <w:b/>
          <w:bCs/>
          <w:color w:val="000000"/>
          <w:lang w:val="cs-CZ"/>
        </w:rPr>
      </w:pPr>
    </w:p>
    <w:p w:rsidR="0056588E" w:rsidRPr="001700FA" w:rsidRDefault="0056588E" w:rsidP="008A2775">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rsidR="0056588E" w:rsidRPr="001700FA" w:rsidRDefault="0056588E" w:rsidP="008A2775">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rsidR="0056588E" w:rsidRPr="001700FA" w:rsidRDefault="0056588E" w:rsidP="008A2775">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Pro tento účel je další účastník povinen zřídit si samostatný bankovní účet určený výlučně pro příjem a čerpání účelové podpory.</w:t>
      </w:r>
      <w:r w:rsidRPr="001700FA">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rsidR="003402FE" w:rsidRPr="001700FA" w:rsidRDefault="003402FE" w:rsidP="00B30BE2">
      <w:pPr>
        <w:rPr>
          <w:rFonts w:ascii="Times New Roman" w:hAnsi="Times New Roman" w:cs="Times New Roman"/>
          <w:lang w:val="cs-CZ"/>
        </w:rPr>
      </w:pPr>
    </w:p>
    <w:p w:rsidR="004644E3" w:rsidRPr="007A00B0" w:rsidRDefault="00EA18C7" w:rsidP="00B30BE2">
      <w:pPr>
        <w:adjustRightInd w:val="0"/>
        <w:jc w:val="center"/>
        <w:rPr>
          <w:rFonts w:ascii="Times New Roman" w:hAnsi="Times New Roman" w:cs="Times New Roman"/>
          <w:bCs/>
          <w:color w:val="000000"/>
          <w:lang w:val="cs-CZ"/>
        </w:rPr>
      </w:pPr>
      <w:r w:rsidRPr="007A00B0">
        <w:rPr>
          <w:rFonts w:ascii="Times New Roman" w:hAnsi="Times New Roman" w:cs="Times New Roman"/>
          <w:bCs/>
          <w:color w:val="000000"/>
          <w:lang w:val="cs-CZ"/>
        </w:rPr>
        <w:t>V</w:t>
      </w:r>
      <w:r w:rsidR="004644E3" w:rsidRPr="007A00B0">
        <w:rPr>
          <w:rFonts w:ascii="Times New Roman" w:hAnsi="Times New Roman" w:cs="Times New Roman"/>
          <w:bCs/>
          <w:color w:val="000000"/>
          <w:lang w:val="cs-CZ"/>
        </w:rPr>
        <w:t>.</w:t>
      </w:r>
    </w:p>
    <w:p w:rsidR="004644E3" w:rsidRPr="007A00B0" w:rsidRDefault="004644E3" w:rsidP="00B30BE2">
      <w:pPr>
        <w:adjustRightInd w:val="0"/>
        <w:jc w:val="center"/>
        <w:rPr>
          <w:rFonts w:ascii="Times New Roman" w:hAnsi="Times New Roman" w:cs="Times New Roman"/>
          <w:b/>
          <w:bCs/>
          <w:color w:val="000000"/>
          <w:lang w:val="cs-CZ"/>
        </w:rPr>
      </w:pPr>
      <w:r w:rsidRPr="007A00B0">
        <w:rPr>
          <w:rFonts w:ascii="Times New Roman" w:hAnsi="Times New Roman" w:cs="Times New Roman"/>
          <w:b/>
          <w:bCs/>
          <w:color w:val="000000"/>
          <w:lang w:val="cs-CZ"/>
        </w:rPr>
        <w:lastRenderedPageBreak/>
        <w:t>Závazky dalšího účastníka</w:t>
      </w:r>
    </w:p>
    <w:p w:rsidR="004644E3" w:rsidRPr="007A00B0" w:rsidRDefault="004644E3" w:rsidP="00B30BE2">
      <w:pPr>
        <w:adjustRightInd w:val="0"/>
        <w:jc w:val="both"/>
        <w:rPr>
          <w:rFonts w:ascii="Times New Roman" w:hAnsi="Times New Roman" w:cs="Times New Roman"/>
          <w:b/>
          <w:bCs/>
          <w:color w:val="000000"/>
          <w:lang w:val="cs-CZ"/>
        </w:rPr>
      </w:pPr>
    </w:p>
    <w:p w:rsidR="00844090" w:rsidRPr="007A00B0" w:rsidRDefault="00844090" w:rsidP="00B30BE2">
      <w:pPr>
        <w:adjustRightInd w:val="0"/>
        <w:ind w:left="709" w:hanging="709"/>
        <w:jc w:val="both"/>
        <w:rPr>
          <w:rFonts w:ascii="Times New Roman" w:hAnsi="Times New Roman" w:cs="Times New Roman"/>
          <w:color w:val="000000"/>
          <w:lang w:val="cs-CZ"/>
        </w:rPr>
      </w:pPr>
      <w:r w:rsidRPr="007A00B0">
        <w:rPr>
          <w:rFonts w:ascii="Times New Roman" w:hAnsi="Times New Roman" w:cs="Times New Roman"/>
          <w:color w:val="000000"/>
          <w:lang w:val="cs-CZ"/>
        </w:rPr>
        <w:t>5</w:t>
      </w:r>
      <w:r w:rsidR="000C009D" w:rsidRPr="007A00B0">
        <w:rPr>
          <w:rFonts w:ascii="Times New Roman" w:hAnsi="Times New Roman" w:cs="Times New Roman"/>
          <w:color w:val="000000"/>
          <w:lang w:val="cs-CZ"/>
        </w:rPr>
        <w:t xml:space="preserve">.1. </w:t>
      </w:r>
      <w:r w:rsidR="002C39CA" w:rsidRPr="007A00B0">
        <w:rPr>
          <w:rFonts w:ascii="Times New Roman" w:hAnsi="Times New Roman" w:cs="Times New Roman"/>
          <w:color w:val="000000"/>
          <w:lang w:val="cs-CZ"/>
        </w:rPr>
        <w:t xml:space="preserve"> </w:t>
      </w:r>
      <w:r w:rsidR="00644BBB" w:rsidRPr="007A00B0">
        <w:rPr>
          <w:rFonts w:ascii="Times New Roman" w:hAnsi="Times New Roman" w:cs="Times New Roman"/>
          <w:color w:val="000000"/>
          <w:lang w:val="cs-CZ"/>
        </w:rPr>
        <w:tab/>
      </w:r>
      <w:r w:rsidR="004644E3" w:rsidRPr="007A00B0">
        <w:rPr>
          <w:rFonts w:ascii="Times New Roman" w:hAnsi="Times New Roman" w:cs="Times New Roman"/>
          <w:color w:val="000000"/>
          <w:lang w:val="cs-CZ"/>
        </w:rPr>
        <w:t>Další účastník je povinen přiměřeně dodržovat veškeré povinnosti stanoven</w:t>
      </w:r>
      <w:r w:rsidR="000C009D" w:rsidRPr="007A00B0">
        <w:rPr>
          <w:rFonts w:ascii="Times New Roman" w:hAnsi="Times New Roman" w:cs="Times New Roman"/>
          <w:color w:val="000000"/>
          <w:lang w:val="cs-CZ"/>
        </w:rPr>
        <w:t>é v čl. 4 Všeobecných podmínek</w:t>
      </w:r>
      <w:r w:rsidR="00E20860" w:rsidRPr="007A00B0">
        <w:rPr>
          <w:rFonts w:ascii="Times New Roman" w:hAnsi="Times New Roman" w:cs="Times New Roman"/>
          <w:color w:val="000000"/>
          <w:lang w:val="cs-CZ"/>
        </w:rPr>
        <w:t xml:space="preserve"> (Příloha č. 2) </w:t>
      </w:r>
      <w:r w:rsidRPr="007A00B0">
        <w:rPr>
          <w:rFonts w:ascii="Times New Roman" w:hAnsi="Times New Roman" w:cs="Times New Roman"/>
          <w:color w:val="000000"/>
          <w:lang w:val="cs-CZ"/>
        </w:rPr>
        <w:t>resp. všechny povinnosti stanovené projektem a poskytovatelskou smlouvou</w:t>
      </w:r>
      <w:r w:rsidR="00121928" w:rsidRPr="007A00B0">
        <w:rPr>
          <w:rFonts w:ascii="Times New Roman" w:hAnsi="Times New Roman" w:cs="Times New Roman"/>
          <w:color w:val="000000"/>
          <w:lang w:val="cs-CZ"/>
        </w:rPr>
        <w:t xml:space="preserve"> a to v</w:t>
      </w:r>
      <w:r w:rsidR="00655B29" w:rsidRPr="007A00B0">
        <w:rPr>
          <w:rFonts w:ascii="Times New Roman" w:hAnsi="Times New Roman" w:cs="Times New Roman"/>
          <w:color w:val="000000"/>
          <w:lang w:val="cs-CZ"/>
        </w:rPr>
        <w:t> </w:t>
      </w:r>
      <w:r w:rsidR="00121928" w:rsidRPr="007A00B0">
        <w:rPr>
          <w:rFonts w:ascii="Times New Roman" w:hAnsi="Times New Roman" w:cs="Times New Roman"/>
          <w:color w:val="000000"/>
          <w:lang w:val="cs-CZ"/>
        </w:rPr>
        <w:t>termínech</w:t>
      </w:r>
      <w:r w:rsidR="00655B29" w:rsidRPr="007A00B0">
        <w:rPr>
          <w:rFonts w:ascii="Times New Roman" w:hAnsi="Times New Roman" w:cs="Times New Roman"/>
          <w:color w:val="000000"/>
          <w:lang w:val="cs-CZ"/>
        </w:rPr>
        <w:t xml:space="preserve"> </w:t>
      </w:r>
      <w:r w:rsidR="00E20860" w:rsidRPr="007A00B0">
        <w:rPr>
          <w:rFonts w:ascii="Times New Roman" w:hAnsi="Times New Roman" w:cs="Times New Roman"/>
          <w:color w:val="000000"/>
          <w:lang w:val="cs-CZ"/>
        </w:rPr>
        <w:t xml:space="preserve">a v rozsahu </w:t>
      </w:r>
      <w:r w:rsidR="00655B29" w:rsidRPr="007A00B0">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7A00B0">
        <w:rPr>
          <w:rFonts w:ascii="Times New Roman" w:hAnsi="Times New Roman" w:cs="Times New Roman"/>
          <w:color w:val="000000"/>
          <w:lang w:val="cs-CZ"/>
        </w:rPr>
        <w:t>.</w:t>
      </w:r>
    </w:p>
    <w:p w:rsidR="00844090" w:rsidRPr="007A00B0" w:rsidRDefault="00844090" w:rsidP="00B30BE2">
      <w:pPr>
        <w:adjustRightInd w:val="0"/>
        <w:ind w:left="709" w:hanging="709"/>
        <w:jc w:val="both"/>
        <w:rPr>
          <w:rFonts w:ascii="Times New Roman" w:hAnsi="Times New Roman" w:cs="Times New Roman"/>
          <w:color w:val="000000"/>
          <w:lang w:val="cs-CZ"/>
        </w:rPr>
      </w:pPr>
      <w:r w:rsidRPr="007A00B0">
        <w:rPr>
          <w:rFonts w:ascii="Times New Roman" w:hAnsi="Times New Roman" w:cs="Times New Roman"/>
          <w:color w:val="000000"/>
          <w:lang w:val="cs-CZ"/>
        </w:rPr>
        <w:t xml:space="preserve">5.2. </w:t>
      </w:r>
      <w:r w:rsidRPr="007A00B0">
        <w:rPr>
          <w:rFonts w:ascii="Times New Roman" w:hAnsi="Times New Roman" w:cs="Times New Roman"/>
          <w:color w:val="000000"/>
          <w:lang w:val="cs-CZ"/>
        </w:rPr>
        <w:tab/>
        <w:t>Další účastník je povinen poskytovat příjemci potřebnou součinnost</w:t>
      </w:r>
      <w:r w:rsidR="00081637" w:rsidRPr="007A00B0">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rsidR="007571F6" w:rsidRPr="007A00B0" w:rsidRDefault="00081637" w:rsidP="003260CB">
      <w:pPr>
        <w:adjustRightInd w:val="0"/>
        <w:ind w:left="709" w:hanging="709"/>
        <w:jc w:val="both"/>
        <w:rPr>
          <w:rFonts w:ascii="Times New Roman" w:hAnsi="Times New Roman" w:cs="Times New Roman"/>
          <w:color w:val="000000"/>
          <w:lang w:val="cs-CZ"/>
        </w:rPr>
      </w:pPr>
      <w:r w:rsidRPr="007A00B0">
        <w:rPr>
          <w:rFonts w:ascii="Times New Roman" w:hAnsi="Times New Roman" w:cs="Times New Roman"/>
          <w:color w:val="000000"/>
          <w:lang w:val="cs-CZ"/>
        </w:rPr>
        <w:t xml:space="preserve">5.3. </w:t>
      </w:r>
      <w:r w:rsidRPr="007A00B0">
        <w:rPr>
          <w:rFonts w:ascii="Times New Roman" w:hAnsi="Times New Roman" w:cs="Times New Roman"/>
          <w:color w:val="000000"/>
          <w:lang w:val="cs-CZ"/>
        </w:rPr>
        <w:tab/>
      </w:r>
      <w:r w:rsidR="008546AE" w:rsidRPr="007A00B0">
        <w:rPr>
          <w:rFonts w:ascii="Times New Roman" w:hAnsi="Times New Roman" w:cs="Times New Roman"/>
          <w:color w:val="000000"/>
          <w:lang w:val="cs-CZ"/>
        </w:rPr>
        <w:t>Poskytovatel resp. příjemce nebo osoba pověřená je oprávněn provádět u dalšího účastníka po dobu</w:t>
      </w:r>
      <w:r w:rsidR="00E20860" w:rsidRPr="007A00B0">
        <w:rPr>
          <w:rFonts w:ascii="Times New Roman" w:hAnsi="Times New Roman" w:cs="Times New Roman"/>
          <w:color w:val="000000"/>
          <w:lang w:val="cs-CZ"/>
        </w:rPr>
        <w:t xml:space="preserve"> 10-ti let</w:t>
      </w:r>
      <w:r w:rsidR="008546AE" w:rsidRPr="007A00B0">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rsidR="003402FE" w:rsidRPr="007A00B0" w:rsidRDefault="003402FE" w:rsidP="00B30BE2">
      <w:pPr>
        <w:adjustRightInd w:val="0"/>
        <w:ind w:left="709" w:hanging="425"/>
        <w:jc w:val="center"/>
        <w:rPr>
          <w:rFonts w:ascii="Times New Roman" w:eastAsiaTheme="minorHAnsi" w:hAnsi="Times New Roman" w:cs="Times New Roman"/>
          <w:lang w:val="cs-CZ" w:eastAsia="en-US"/>
        </w:rPr>
      </w:pPr>
    </w:p>
    <w:p w:rsidR="000E1343" w:rsidRPr="007A00B0" w:rsidRDefault="00D71837" w:rsidP="00B30BE2">
      <w:pPr>
        <w:adjustRightInd w:val="0"/>
        <w:ind w:left="709" w:hanging="425"/>
        <w:jc w:val="center"/>
        <w:rPr>
          <w:rFonts w:ascii="Times New Roman" w:eastAsiaTheme="minorHAnsi" w:hAnsi="Times New Roman" w:cs="Times New Roman"/>
          <w:lang w:val="cs-CZ" w:eastAsia="en-US"/>
        </w:rPr>
      </w:pPr>
      <w:r w:rsidRPr="007A00B0">
        <w:rPr>
          <w:rFonts w:ascii="Times New Roman" w:eastAsiaTheme="minorHAnsi" w:hAnsi="Times New Roman" w:cs="Times New Roman"/>
          <w:lang w:val="cs-CZ" w:eastAsia="en-US"/>
        </w:rPr>
        <w:t>VI</w:t>
      </w:r>
      <w:r w:rsidR="000E1343" w:rsidRPr="007A00B0">
        <w:rPr>
          <w:rFonts w:ascii="Times New Roman" w:eastAsiaTheme="minorHAnsi" w:hAnsi="Times New Roman" w:cs="Times New Roman"/>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7A00B0">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rsidR="000E1343"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rsidR="000E1343"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rsidR="000E1343"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2F7390" w:rsidRPr="001700FA" w:rsidRDefault="000E1343" w:rsidP="008A2775">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rsidR="00D2745F" w:rsidRPr="001700FA" w:rsidRDefault="002F7390" w:rsidP="008A2775">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rsidR="008D6D39" w:rsidRPr="001700FA" w:rsidRDefault="00964D84" w:rsidP="008A2775">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rsidR="00964D84" w:rsidRPr="001700FA" w:rsidRDefault="008D6D39" w:rsidP="008A2775">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rsidR="007571F6" w:rsidRPr="001700FA" w:rsidRDefault="007571F6" w:rsidP="00F219FD">
      <w:pPr>
        <w:rPr>
          <w:rFonts w:ascii="Times New Roman" w:hAnsi="Times New Roman" w:cs="Times New Roman"/>
          <w:lang w:val="cs-CZ"/>
        </w:rPr>
      </w:pPr>
    </w:p>
    <w:p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F6703B" w:rsidRPr="001700FA" w:rsidRDefault="00F6703B" w:rsidP="00B30BE2">
      <w:pPr>
        <w:ind w:left="567" w:hanging="567"/>
        <w:jc w:val="center"/>
        <w:rPr>
          <w:rFonts w:ascii="Times New Roman" w:hAnsi="Times New Roman" w:cs="Times New Roman"/>
          <w:lang w:val="cs-CZ"/>
        </w:rPr>
      </w:pPr>
    </w:p>
    <w:p w:rsidR="00F6703B" w:rsidRPr="001700FA" w:rsidRDefault="00F6703B" w:rsidP="008A2775">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100597" w:rsidRPr="001700FA" w:rsidRDefault="00F6703B" w:rsidP="008A2775">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0864C6" w:rsidRPr="001700FA" w:rsidRDefault="000864C6" w:rsidP="003260CB">
      <w:pPr>
        <w:pStyle w:val="Zkladntext"/>
        <w:rPr>
          <w:rFonts w:ascii="Times New Roman" w:hAnsi="Times New Roman"/>
          <w:sz w:val="20"/>
          <w:szCs w:val="20"/>
          <w:lang w:val="cs-CZ"/>
        </w:rPr>
      </w:pPr>
    </w:p>
    <w:p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327EE6" w:rsidRPr="001700FA" w:rsidRDefault="00327EE6" w:rsidP="00B30BE2">
      <w:pPr>
        <w:pStyle w:val="Zkladntext"/>
        <w:ind w:left="720"/>
        <w:rPr>
          <w:rFonts w:ascii="Times New Roman" w:hAnsi="Times New Roman"/>
          <w:b/>
          <w:sz w:val="20"/>
          <w:szCs w:val="20"/>
          <w:lang w:val="cs-CZ"/>
        </w:rPr>
      </w:pPr>
    </w:p>
    <w:p w:rsidR="000864C6" w:rsidRPr="001700FA" w:rsidRDefault="000864C6" w:rsidP="008A2775">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w:t>
      </w:r>
      <w:r w:rsidRPr="001700FA">
        <w:rPr>
          <w:rFonts w:ascii="Times New Roman" w:hAnsi="Times New Roman" w:cs="Times New Roman"/>
          <w:lang w:val="cs-CZ"/>
        </w:rPr>
        <w:lastRenderedPageBreak/>
        <w:t>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rsidR="005E1070" w:rsidRPr="001700FA" w:rsidRDefault="005E1070" w:rsidP="008A2775">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5E1070" w:rsidRPr="001700FA" w:rsidRDefault="005E1070" w:rsidP="008A2775">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rsidR="005E1070" w:rsidRPr="001700FA" w:rsidRDefault="005E1070" w:rsidP="008A2775">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5E1070" w:rsidRPr="001700FA" w:rsidRDefault="005E1070" w:rsidP="008A2775">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rsidR="007A00B0" w:rsidRPr="007A00B0" w:rsidRDefault="005E1070" w:rsidP="008A2775">
      <w:pPr>
        <w:pStyle w:val="Odstavecseseznamem"/>
        <w:numPr>
          <w:ilvl w:val="1"/>
          <w:numId w:val="13"/>
        </w:numPr>
        <w:suppressAutoHyphens/>
        <w:jc w:val="both"/>
        <w:rPr>
          <w:sz w:val="20"/>
        </w:rPr>
      </w:pPr>
      <w:r w:rsidRPr="001700FA">
        <w:rPr>
          <w:sz w:val="20"/>
        </w:rPr>
        <w:t>Příjemce:</w:t>
      </w:r>
      <w:r w:rsidR="007A00B0" w:rsidRPr="007A00B0">
        <w:t xml:space="preserve"> </w:t>
      </w:r>
      <w:r w:rsidR="00412C91">
        <w:rPr>
          <w:sz w:val="20"/>
        </w:rPr>
        <w:t>xxx.</w:t>
      </w:r>
    </w:p>
    <w:p w:rsidR="005E1070" w:rsidRPr="003260CB" w:rsidRDefault="005E1070" w:rsidP="008A2775">
      <w:pPr>
        <w:pStyle w:val="Odstavecseseznamem"/>
        <w:numPr>
          <w:ilvl w:val="1"/>
          <w:numId w:val="13"/>
        </w:numPr>
        <w:suppressAutoHyphens/>
        <w:jc w:val="both"/>
        <w:rPr>
          <w:sz w:val="20"/>
        </w:rPr>
      </w:pPr>
      <w:r w:rsidRPr="001700FA">
        <w:rPr>
          <w:sz w:val="20"/>
        </w:rPr>
        <w:t>Další účastník:</w:t>
      </w:r>
      <w:r w:rsidR="007A00B0" w:rsidRPr="007A00B0">
        <w:t xml:space="preserve"> </w:t>
      </w:r>
      <w:r w:rsidR="00412C91">
        <w:rPr>
          <w:sz w:val="20"/>
        </w:rPr>
        <w:t>xxx.</w:t>
      </w:r>
    </w:p>
    <w:p w:rsidR="00AC2CA5" w:rsidRPr="001700FA" w:rsidRDefault="00D16E3B"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rsidR="00D16E3B" w:rsidRPr="001700FA" w:rsidRDefault="001D660B"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rsidR="004F4495" w:rsidRPr="001700FA" w:rsidRDefault="001D660B"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rsidR="00C72297" w:rsidRPr="001700FA" w:rsidRDefault="00C72297"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4405F4" w:rsidRPr="001700FA" w:rsidRDefault="00C72297"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rsidR="004405F4" w:rsidRPr="001700FA" w:rsidRDefault="00C72297"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C72297" w:rsidRPr="001700FA" w:rsidRDefault="00C72297"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C72297" w:rsidRPr="001700FA" w:rsidRDefault="00C72297"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7A00B0" w:rsidRPr="00545B3B" w:rsidRDefault="007A00B0"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se zavazují upravit zvláštní smlouvou (Smlouvou o využití výsledků) </w:t>
      </w:r>
      <w:r>
        <w:rPr>
          <w:rFonts w:eastAsiaTheme="minorHAnsi"/>
          <w:sz w:val="20"/>
          <w:lang w:eastAsia="en-US"/>
        </w:rPr>
        <w:t xml:space="preserve">resp. v implementačním plánu </w:t>
      </w:r>
      <w:r w:rsidRPr="001700FA">
        <w:rPr>
          <w:rFonts w:eastAsiaTheme="minorHAnsi"/>
          <w:sz w:val="20"/>
          <w:lang w:eastAsia="en-US"/>
        </w:rPr>
        <w:t>způsob nakládání s výsledky projektu. Tato smlouva</w:t>
      </w:r>
      <w:r>
        <w:rPr>
          <w:rFonts w:eastAsiaTheme="minorHAnsi"/>
          <w:sz w:val="20"/>
          <w:lang w:eastAsia="en-US"/>
        </w:rPr>
        <w:t>/plán</w:t>
      </w:r>
      <w:r w:rsidRPr="001700FA">
        <w:rPr>
          <w:rFonts w:eastAsiaTheme="minorHAnsi"/>
          <w:sz w:val="20"/>
          <w:lang w:eastAsia="en-US"/>
        </w:rPr>
        <w:t xml:space="preserve"> bude obsahovat především způsob právní ochrany výsledků projektu, rozdělení vlastnických práv k výsledkům, způsob jakým budou výsledky projektu využity a případně jak bude dělen dosažený </w:t>
      </w:r>
      <w:r>
        <w:rPr>
          <w:rFonts w:eastAsiaTheme="minorHAnsi"/>
          <w:sz w:val="20"/>
          <w:lang w:eastAsia="en-US"/>
        </w:rPr>
        <w:t>prospěch</w:t>
      </w:r>
      <w:r w:rsidRPr="001700FA">
        <w:rPr>
          <w:rFonts w:eastAsiaTheme="minorHAnsi"/>
          <w:sz w:val="20"/>
          <w:lang w:eastAsia="en-US"/>
        </w:rPr>
        <w:t>. Smluvní strany jsou povinny využít výsledky vždy v souladu s § 16 ZPVV</w:t>
      </w:r>
      <w:r>
        <w:rPr>
          <w:rFonts w:eastAsiaTheme="minorHAnsi"/>
          <w:sz w:val="20"/>
          <w:lang w:eastAsia="en-US"/>
        </w:rPr>
        <w:t xml:space="preserve"> tj. </w:t>
      </w:r>
      <w:r w:rsidRPr="00545B3B">
        <w:rPr>
          <w:rFonts w:eastAsiaTheme="minorHAnsi"/>
          <w:sz w:val="20"/>
          <w:lang w:eastAsia="en-US"/>
        </w:rPr>
        <w:t xml:space="preserve">výsledky plně financované z veřejných prostředků zpřístupní příjemce za stejných podmínek, stanovených ve smlouvě o využití výsledků všem zájemcům o využití výsledku. Výsledky financované z veřejných prostředků ve výši </w:t>
      </w:r>
      <w:r w:rsidRPr="00181D94">
        <w:rPr>
          <w:sz w:val="20"/>
        </w:rPr>
        <w:t xml:space="preserve">přesahující 50% a nižší než 100% výše nákladů projektu je hlavní příjemce povinen za podmínek stanovených ve smlouvě o využití výsledků přednostně poskytnout výsledky těm subjektům, které se na podpoře z neveřejných zdrojů podílely. </w:t>
      </w:r>
      <w:r>
        <w:rPr>
          <w:sz w:val="20"/>
        </w:rPr>
        <w:t>V</w:t>
      </w:r>
      <w:r w:rsidRPr="00181D94">
        <w:rPr>
          <w:sz w:val="20"/>
        </w:rPr>
        <w:t xml:space="preserve"> případě výsledku podílově financovaného z veř. prostředků ve výši dosahující 50% nebo méně nákladů projektu musí být součástí smlouvy o využití výsledků dohoda o způsobu a termínech využití výsledků s těmi subjekty, které se na podpoře z neveřejných zdrojů podílely.</w:t>
      </w:r>
    </w:p>
    <w:p w:rsidR="00E45171" w:rsidRPr="001700FA" w:rsidRDefault="008E6727" w:rsidP="008A2775">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w:t>
      </w:r>
      <w:r w:rsidR="007A00B0">
        <w:rPr>
          <w:rFonts w:eastAsiaTheme="minorHAnsi"/>
          <w:sz w:val="20"/>
          <w:lang w:eastAsia="en-US"/>
        </w:rPr>
        <w:t xml:space="preserve">příp. nákladové </w:t>
      </w:r>
      <w:r w:rsidR="0065348B" w:rsidRPr="001700FA">
        <w:rPr>
          <w:rFonts w:eastAsiaTheme="minorHAnsi"/>
          <w:sz w:val="20"/>
          <w:lang w:eastAsia="en-US"/>
        </w:rPr>
        <w:t>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rsidR="00E36001" w:rsidRPr="001700FA" w:rsidRDefault="005E1070" w:rsidP="008A2775">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E1070" w:rsidRPr="001700FA" w:rsidRDefault="005E1070" w:rsidP="008A2775">
      <w:pPr>
        <w:pStyle w:val="Odstavecseseznamem"/>
        <w:numPr>
          <w:ilvl w:val="0"/>
          <w:numId w:val="11"/>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rsidR="00335CF1" w:rsidRPr="001700FA" w:rsidRDefault="00335CF1" w:rsidP="00B30BE2">
      <w:pPr>
        <w:ind w:left="709" w:hanging="709"/>
        <w:jc w:val="center"/>
        <w:rPr>
          <w:rFonts w:ascii="Times New Roman" w:hAnsi="Times New Roman" w:cs="Times New Roman"/>
          <w:lang w:val="cs-CZ"/>
        </w:rPr>
      </w:pPr>
    </w:p>
    <w:p w:rsidR="007571F6" w:rsidRPr="001700FA" w:rsidRDefault="007571F6" w:rsidP="00B30BE2">
      <w:pPr>
        <w:ind w:left="709" w:hanging="709"/>
        <w:jc w:val="center"/>
        <w:rPr>
          <w:rFonts w:ascii="Times New Roman" w:hAnsi="Times New Roman" w:cs="Times New Roman"/>
          <w:lang w:val="cs-CZ"/>
        </w:rPr>
      </w:pPr>
    </w:p>
    <w:p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D30F9" w:rsidRPr="001700FA" w:rsidRDefault="000D30F9" w:rsidP="00B30BE2">
      <w:pPr>
        <w:jc w:val="center"/>
        <w:rPr>
          <w:rFonts w:ascii="Times New Roman" w:hAnsi="Times New Roman" w:cs="Times New Roman"/>
          <w:lang w:val="cs-CZ"/>
        </w:rPr>
      </w:pPr>
    </w:p>
    <w:p w:rsidR="000D30F9" w:rsidRPr="001700FA" w:rsidRDefault="00936DEC" w:rsidP="008A2775">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lastRenderedPageBreak/>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rsidR="000D30F9" w:rsidRPr="001700FA" w:rsidRDefault="000D30F9" w:rsidP="008A2775">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rsidR="000D30F9" w:rsidRPr="001700FA" w:rsidRDefault="007B35EC" w:rsidP="008A2775">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D23AD" w:rsidRPr="001700FA">
        <w:rPr>
          <w:rFonts w:eastAsiaTheme="minorHAnsi"/>
          <w:sz w:val="20"/>
          <w:lang w:eastAsia="en-US"/>
        </w:rPr>
        <w:t xml:space="preserve">IX odst. 9.1. </w:t>
      </w:r>
      <w:r w:rsidR="00F10DC8">
        <w:rPr>
          <w:rFonts w:eastAsiaTheme="minorHAnsi"/>
          <w:sz w:val="20"/>
          <w:lang w:eastAsia="en-US"/>
        </w:rPr>
        <w:t xml:space="preserve">smlouvy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rsidR="000D30F9" w:rsidRPr="001700FA" w:rsidRDefault="00E4011B" w:rsidP="008A2775">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rsidR="002A0BB5" w:rsidRDefault="000D30F9" w:rsidP="008A2775">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rsidR="00BD518D" w:rsidRDefault="00BD518D" w:rsidP="00BD518D">
      <w:pPr>
        <w:adjustRightInd w:val="0"/>
        <w:jc w:val="both"/>
        <w:rPr>
          <w:rFonts w:eastAsiaTheme="minorHAnsi"/>
          <w:lang w:eastAsia="en-US"/>
        </w:rPr>
      </w:pPr>
    </w:p>
    <w:p w:rsidR="00BD518D" w:rsidRDefault="00BD518D" w:rsidP="00BD518D">
      <w:pPr>
        <w:adjustRightInd w:val="0"/>
        <w:jc w:val="both"/>
        <w:rPr>
          <w:rFonts w:eastAsiaTheme="minorHAnsi"/>
          <w:lang w:eastAsia="en-US"/>
        </w:rPr>
      </w:pPr>
    </w:p>
    <w:p w:rsidR="00BD518D" w:rsidRPr="00BD518D" w:rsidRDefault="00BD518D" w:rsidP="00BD518D">
      <w:pPr>
        <w:adjustRightInd w:val="0"/>
        <w:jc w:val="both"/>
        <w:rPr>
          <w:rFonts w:eastAsiaTheme="minorHAnsi"/>
          <w:lang w:eastAsia="en-US"/>
        </w:rPr>
      </w:pPr>
    </w:p>
    <w:p w:rsidR="002A0BB5" w:rsidRPr="001700FA" w:rsidRDefault="002A0BB5" w:rsidP="00B30BE2">
      <w:pPr>
        <w:adjustRightInd w:val="0"/>
        <w:jc w:val="center"/>
        <w:rPr>
          <w:rFonts w:ascii="Times New Roman" w:hAnsi="Times New Roman" w:cs="Times New Roman"/>
          <w:b/>
          <w:bCs/>
          <w:color w:val="000000"/>
          <w:lang w:val="cs-CZ"/>
        </w:rPr>
      </w:pPr>
    </w:p>
    <w:p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rsidR="00B5050A" w:rsidRPr="001700FA" w:rsidRDefault="00B5050A" w:rsidP="00B30BE2">
      <w:pPr>
        <w:adjustRightInd w:val="0"/>
        <w:rPr>
          <w:rFonts w:ascii="Times New Roman" w:hAnsi="Times New Roman" w:cs="Times New Roman"/>
          <w:b/>
          <w:bCs/>
          <w:color w:val="000000"/>
          <w:lang w:val="cs-CZ"/>
        </w:rPr>
      </w:pPr>
    </w:p>
    <w:p w:rsidR="007571F6" w:rsidRPr="003260CB" w:rsidRDefault="00B5050A" w:rsidP="008A2775">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3B4992" w:rsidRPr="001700FA" w:rsidRDefault="003B4992" w:rsidP="00B30BE2">
      <w:pPr>
        <w:adjustRightInd w:val="0"/>
        <w:jc w:val="center"/>
        <w:rPr>
          <w:rFonts w:ascii="Times New Roman" w:hAnsi="Times New Roman" w:cs="Times New Roman"/>
          <w:b/>
          <w:bCs/>
          <w:color w:val="000000"/>
          <w:lang w:val="cs-CZ"/>
        </w:rPr>
      </w:pPr>
    </w:p>
    <w:p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541488" w:rsidRPr="001700FA" w:rsidRDefault="00541488" w:rsidP="008A2775">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rsidR="00541488" w:rsidRPr="001700FA" w:rsidRDefault="00541488" w:rsidP="008A2775">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rsidR="006D170E" w:rsidRPr="001700FA" w:rsidRDefault="00541488"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rsidR="006D170E" w:rsidRPr="001700FA" w:rsidRDefault="006D170E"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rsidR="00541488" w:rsidRPr="001700FA" w:rsidRDefault="00541488"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rsidR="00541488" w:rsidRPr="001700FA" w:rsidRDefault="00541488"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rsidR="009664D5" w:rsidRPr="001700FA" w:rsidRDefault="00541488"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rsidR="00541488" w:rsidRPr="001700FA" w:rsidRDefault="00541488"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rsidR="00A02825" w:rsidRPr="001700FA" w:rsidRDefault="00541488" w:rsidP="008A2775">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w:t>
      </w:r>
      <w:r w:rsidR="00B84288">
        <w:rPr>
          <w:rFonts w:ascii="Times New Roman" w:hAnsi="Times New Roman" w:cs="Times New Roman"/>
          <w:color w:val="000000"/>
          <w:lang w:val="cs-CZ"/>
        </w:rPr>
        <w:t>smlouva je vyhotovena ve 3</w:t>
      </w:r>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aždá smluvní strana obdrží po jednom vyhotovení.</w:t>
      </w:r>
    </w:p>
    <w:p w:rsidR="007E17D7" w:rsidRPr="001700FA" w:rsidRDefault="007E17D7" w:rsidP="007E17D7">
      <w:pPr>
        <w:adjustRightInd w:val="0"/>
        <w:jc w:val="both"/>
        <w:rPr>
          <w:rFonts w:ascii="Times New Roman" w:hAnsi="Times New Roman" w:cs="Times New Roman"/>
          <w:color w:val="000000"/>
          <w:lang w:val="cs-CZ"/>
        </w:rPr>
      </w:pPr>
    </w:p>
    <w:p w:rsidR="007E17D7" w:rsidRPr="001700FA"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1700FA" w:rsidTr="007D0BD6">
        <w:trPr>
          <w:trHeight w:val="1640"/>
        </w:trPr>
        <w:tc>
          <w:tcPr>
            <w:tcW w:w="4846" w:type="dxa"/>
            <w:tcBorders>
              <w:top w:val="single" w:sz="18" w:space="0" w:color="000000"/>
              <w:left w:val="single" w:sz="18" w:space="0" w:color="000000"/>
              <w:bottom w:val="single" w:sz="18" w:space="0" w:color="000000"/>
            </w:tcBorders>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příjemce</w:t>
            </w:r>
          </w:p>
          <w:p w:rsidR="007D0BD6" w:rsidRPr="001700FA" w:rsidRDefault="007D0BD6"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7D0BD6" w:rsidRPr="001700FA" w:rsidRDefault="00544FA2" w:rsidP="007D0BD6">
            <w:pPr>
              <w:spacing w:after="60"/>
              <w:jc w:val="center"/>
              <w:rPr>
                <w:rFonts w:ascii="Times New Roman" w:hAnsi="Times New Roman" w:cs="Times New Roman"/>
              </w:rPr>
            </w:pPr>
            <w:r>
              <w:rPr>
                <w:rFonts w:ascii="Times New Roman" w:hAnsi="Times New Roman" w:cs="Times New Roman"/>
              </w:rPr>
              <w:t>xxx</w:t>
            </w:r>
          </w:p>
          <w:p w:rsidR="007D0BD6" w:rsidRPr="001700FA" w:rsidRDefault="007D0BD6" w:rsidP="008A2775">
            <w:pPr>
              <w:spacing w:after="60"/>
              <w:jc w:val="center"/>
              <w:rPr>
                <w:rFonts w:ascii="Times New Roman" w:hAnsi="Times New Roman" w:cs="Times New Roman"/>
              </w:rPr>
            </w:pPr>
            <w:r w:rsidRPr="001700FA">
              <w:rPr>
                <w:rFonts w:ascii="Times New Roman" w:hAnsi="Times New Roman" w:cs="Times New Roman"/>
              </w:rPr>
              <w:t xml:space="preserve">V </w:t>
            </w:r>
            <w:r w:rsidR="00B84288">
              <w:rPr>
                <w:rFonts w:ascii="Times New Roman" w:hAnsi="Times New Roman" w:cs="Times New Roman"/>
              </w:rPr>
              <w:t>Liberci</w:t>
            </w:r>
            <w:r w:rsidRPr="001700FA">
              <w:rPr>
                <w:rFonts w:ascii="Times New Roman" w:hAnsi="Times New Roman" w:cs="Times New Roman"/>
              </w:rPr>
              <w:t xml:space="preserve"> dne</w:t>
            </w:r>
            <w:r w:rsidR="008A2775">
              <w:rPr>
                <w:rFonts w:ascii="Times New Roman" w:hAnsi="Times New Roman" w:cs="Times New Roman"/>
              </w:rPr>
              <w:t xml:space="preserve"> 9. 12. 2016</w:t>
            </w:r>
            <w:r w:rsidRPr="001700FA">
              <w:rPr>
                <w:rFonts w:ascii="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rsidR="007D0BD6" w:rsidRPr="001700FA" w:rsidRDefault="007D0BD6"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7D0BD6" w:rsidRPr="001700FA" w:rsidRDefault="00544FA2" w:rsidP="007D0BD6">
            <w:pPr>
              <w:jc w:val="center"/>
              <w:rPr>
                <w:rFonts w:ascii="Times New Roman" w:hAnsi="Times New Roman" w:cs="Times New Roman"/>
              </w:rPr>
            </w:pPr>
            <w:r>
              <w:rPr>
                <w:rFonts w:ascii="Times New Roman" w:hAnsi="Times New Roman" w:cs="Times New Roman"/>
              </w:rPr>
              <w:t>xxx</w:t>
            </w:r>
          </w:p>
          <w:p w:rsidR="007D0BD6" w:rsidRPr="001700FA" w:rsidRDefault="007D0BD6" w:rsidP="007A00B0">
            <w:pPr>
              <w:jc w:val="center"/>
              <w:rPr>
                <w:rFonts w:ascii="Times New Roman" w:hAnsi="Times New Roman" w:cs="Times New Roman"/>
              </w:rPr>
            </w:pPr>
            <w:r w:rsidRPr="001700FA">
              <w:rPr>
                <w:rFonts w:ascii="Times New Roman" w:hAnsi="Times New Roman" w:cs="Times New Roman"/>
              </w:rPr>
              <w:t xml:space="preserve">V </w:t>
            </w:r>
            <w:r w:rsidR="007A00B0">
              <w:rPr>
                <w:rFonts w:ascii="Times New Roman" w:hAnsi="Times New Roman" w:cs="Times New Roman"/>
              </w:rPr>
              <w:fldChar w:fldCharType="begin">
                <w:ffData>
                  <w:name w:val="Text15"/>
                  <w:enabled/>
                  <w:calcOnExit w:val="0"/>
                  <w:textInput>
                    <w:default w:val="Liberci"/>
                  </w:textInput>
                </w:ffData>
              </w:fldChar>
            </w:r>
            <w:bookmarkStart w:id="2" w:name="Text15"/>
            <w:r w:rsidR="007A00B0">
              <w:rPr>
                <w:rFonts w:ascii="Times New Roman" w:hAnsi="Times New Roman" w:cs="Times New Roman"/>
              </w:rPr>
              <w:instrText xml:space="preserve"> FORMTEXT </w:instrText>
            </w:r>
            <w:r w:rsidR="007A00B0">
              <w:rPr>
                <w:rFonts w:ascii="Times New Roman" w:hAnsi="Times New Roman" w:cs="Times New Roman"/>
              </w:rPr>
            </w:r>
            <w:r w:rsidR="007A00B0">
              <w:rPr>
                <w:rFonts w:ascii="Times New Roman" w:hAnsi="Times New Roman" w:cs="Times New Roman"/>
              </w:rPr>
              <w:fldChar w:fldCharType="separate"/>
            </w:r>
            <w:r w:rsidR="007A00B0">
              <w:rPr>
                <w:rFonts w:ascii="Times New Roman" w:hAnsi="Times New Roman" w:cs="Times New Roman"/>
                <w:noProof/>
              </w:rPr>
              <w:t>Liberci</w:t>
            </w:r>
            <w:r w:rsidR="007A00B0">
              <w:rPr>
                <w:rFonts w:ascii="Times New Roman" w:hAnsi="Times New Roman" w:cs="Times New Roman"/>
              </w:rPr>
              <w:fldChar w:fldCharType="end"/>
            </w:r>
            <w:bookmarkEnd w:id="2"/>
            <w:r w:rsidRPr="001700FA">
              <w:rPr>
                <w:rFonts w:ascii="Times New Roman" w:hAnsi="Times New Roman" w:cs="Times New Roman"/>
              </w:rPr>
              <w:t xml:space="preserve"> dne</w:t>
            </w:r>
            <w:r w:rsidR="008A2775">
              <w:rPr>
                <w:rFonts w:ascii="Times New Roman" w:hAnsi="Times New Roman" w:cs="Times New Roman"/>
              </w:rPr>
              <w:t xml:space="preserve"> 5. 12. 2016</w:t>
            </w:r>
            <w:r w:rsidRPr="001700FA">
              <w:rPr>
                <w:rFonts w:ascii="Times New Roman" w:hAnsi="Times New Roman" w:cs="Times New Roman"/>
              </w:rPr>
              <w:t xml:space="preserve">      </w:t>
            </w:r>
          </w:p>
        </w:tc>
      </w:tr>
    </w:tbl>
    <w:p w:rsidR="00A02825" w:rsidRPr="001700FA" w:rsidRDefault="00A02825" w:rsidP="007E17D7">
      <w:pPr>
        <w:jc w:val="both"/>
        <w:rPr>
          <w:rFonts w:ascii="Times New Roman" w:hAnsi="Times New Roman" w:cs="Times New Roman"/>
          <w:lang w:val="cs-CZ"/>
        </w:rPr>
      </w:pPr>
    </w:p>
    <w:p w:rsidR="007E17D7" w:rsidRPr="001700FA" w:rsidRDefault="007E17D7" w:rsidP="007E17D7">
      <w:pPr>
        <w:jc w:val="both"/>
        <w:rPr>
          <w:rFonts w:ascii="Times New Roman" w:hAnsi="Times New Roman" w:cs="Times New Roman"/>
          <w:lang w:val="cs-CZ"/>
        </w:rPr>
      </w:pPr>
    </w:p>
    <w:p w:rsidR="003260CB" w:rsidRPr="001700FA" w:rsidRDefault="007E17D7" w:rsidP="003260CB">
      <w:pPr>
        <w:ind w:left="708"/>
        <w:jc w:val="both"/>
        <w:rPr>
          <w:rFonts w:ascii="Times New Roman" w:hAnsi="Times New Roman" w:cs="Times New Roman"/>
          <w:lang w:val="cs-CZ"/>
        </w:rPr>
      </w:pPr>
      <w:r w:rsidRPr="001700FA">
        <w:rPr>
          <w:rFonts w:ascii="Times New Roman" w:hAnsi="Times New Roman" w:cs="Times New Roman"/>
          <w:lang w:val="cs-CZ"/>
        </w:rPr>
        <w:br w:type="textWrapping" w:clear="all"/>
      </w:r>
    </w:p>
    <w:p w:rsidR="00B5050A" w:rsidRDefault="00B5050A"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3" w:name="page1"/>
      <w:bookmarkEnd w:id="3"/>
      <w:r>
        <w:rPr>
          <w:noProof/>
          <w:lang w:val="cs-CZ"/>
        </w:rPr>
        <w:drawing>
          <wp:anchor distT="0" distB="0" distL="114300" distR="114300" simplePos="0" relativeHeight="251659264" behindDoc="1" locked="0" layoutInCell="0" allowOverlap="1" wp14:anchorId="40CF6578" wp14:editId="6F7474BF">
            <wp:simplePos x="0" y="0"/>
            <wp:positionH relativeFrom="page">
              <wp:posOffset>539750</wp:posOffset>
            </wp:positionH>
            <wp:positionV relativeFrom="page">
              <wp:posOffset>370205</wp:posOffset>
            </wp:positionV>
            <wp:extent cx="2005330" cy="548640"/>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46" w:lineRule="exact"/>
        <w:rPr>
          <w:rFonts w:ascii="Times New Roman" w:hAnsi="Times New Roman" w:cs="Times New Roman"/>
          <w:sz w:val="24"/>
          <w:szCs w:val="24"/>
        </w:rPr>
      </w:pPr>
    </w:p>
    <w:p w:rsidR="008A2775" w:rsidRDefault="008A2775" w:rsidP="008A2775">
      <w:pPr>
        <w:widowControl w:val="0"/>
        <w:adjustRightInd w:val="0"/>
        <w:ind w:left="2020"/>
        <w:rPr>
          <w:rFonts w:ascii="Times New Roman" w:hAnsi="Times New Roman" w:cs="Times New Roman"/>
          <w:sz w:val="24"/>
          <w:szCs w:val="24"/>
        </w:rPr>
      </w:pPr>
      <w:r>
        <w:rPr>
          <w:rFonts w:ascii="Cambria" w:hAnsi="Cambria" w:cs="Cambria"/>
          <w:b/>
          <w:bCs/>
          <w:sz w:val="28"/>
          <w:szCs w:val="28"/>
        </w:rPr>
        <w:t>Příloha č. 1 - Závazné parametry řešení projektu</w:t>
      </w:r>
    </w:p>
    <w:p w:rsidR="008A2775" w:rsidRDefault="008A2775" w:rsidP="008A2775">
      <w:pPr>
        <w:widowControl w:val="0"/>
        <w:adjustRightInd w:val="0"/>
        <w:spacing w:line="191"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1) Název projektu v původním jazyce projektu</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Název projektu v původním jazyce projektu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0288" behindDoc="1" locked="0" layoutInCell="0" allowOverlap="1" wp14:anchorId="61AFC084" wp14:editId="2E796ED5">
            <wp:simplePos x="0" y="0"/>
            <wp:positionH relativeFrom="column">
              <wp:posOffset>3175</wp:posOffset>
            </wp:positionH>
            <wp:positionV relativeFrom="paragraph">
              <wp:posOffset>-70485</wp:posOffset>
            </wp:positionV>
            <wp:extent cx="6630035" cy="11557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80"/>
        <w:rPr>
          <w:rFonts w:ascii="Times New Roman" w:hAnsi="Times New Roman" w:cs="Times New Roman"/>
          <w:sz w:val="24"/>
          <w:szCs w:val="24"/>
        </w:rPr>
      </w:pPr>
      <w:r>
        <w:rPr>
          <w:rFonts w:ascii="Cambria" w:hAnsi="Cambria" w:cs="Cambria"/>
          <w:sz w:val="16"/>
          <w:szCs w:val="16"/>
        </w:rPr>
        <w:t>Membránové čištění odpadních vod v potravinářském průmyslu</w:t>
      </w:r>
    </w:p>
    <w:p w:rsidR="008A2775" w:rsidRDefault="008A2775" w:rsidP="008A2775">
      <w:pPr>
        <w:widowControl w:val="0"/>
        <w:adjustRightInd w:val="0"/>
        <w:spacing w:line="235" w:lineRule="exact"/>
        <w:rPr>
          <w:rFonts w:ascii="Times New Roman" w:hAnsi="Times New Roman" w:cs="Times New Roman"/>
          <w:sz w:val="24"/>
          <w:szCs w:val="24"/>
        </w:rPr>
      </w:pPr>
      <w:r>
        <w:rPr>
          <w:noProof/>
          <w:lang w:val="cs-CZ"/>
        </w:rPr>
        <w:drawing>
          <wp:anchor distT="0" distB="0" distL="114300" distR="114300" simplePos="0" relativeHeight="251661312" behindDoc="1" locked="0" layoutInCell="0" allowOverlap="1" wp14:anchorId="039DA3EB" wp14:editId="51A62D3C">
            <wp:simplePos x="0" y="0"/>
            <wp:positionH relativeFrom="column">
              <wp:posOffset>3175</wp:posOffset>
            </wp:positionH>
            <wp:positionV relativeFrom="paragraph">
              <wp:posOffset>95250</wp:posOffset>
            </wp:positionV>
            <wp:extent cx="6630035" cy="63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2) Datum zahájení a ukončení projektu</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Datum zahájení a ukončení projektu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2336" behindDoc="1" locked="0" layoutInCell="0" allowOverlap="1" wp14:anchorId="6F223FD8" wp14:editId="0FF834A3">
            <wp:simplePos x="0" y="0"/>
            <wp:positionH relativeFrom="column">
              <wp:posOffset>3175</wp:posOffset>
            </wp:positionH>
            <wp:positionV relativeFrom="paragraph">
              <wp:posOffset>-70485</wp:posOffset>
            </wp:positionV>
            <wp:extent cx="6630035" cy="1155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80"/>
        <w:rPr>
          <w:rFonts w:ascii="Times New Roman" w:hAnsi="Times New Roman" w:cs="Times New Roman"/>
          <w:sz w:val="24"/>
          <w:szCs w:val="24"/>
        </w:rPr>
      </w:pPr>
      <w:r>
        <w:rPr>
          <w:rFonts w:ascii="Cambria" w:hAnsi="Cambria" w:cs="Cambria"/>
          <w:sz w:val="16"/>
          <w:szCs w:val="16"/>
        </w:rPr>
        <w:t>01/2017 - 06/2020</w:t>
      </w:r>
    </w:p>
    <w:p w:rsidR="008A2775" w:rsidRDefault="008A2775" w:rsidP="008A2775">
      <w:pPr>
        <w:widowControl w:val="0"/>
        <w:adjustRightInd w:val="0"/>
        <w:spacing w:line="235" w:lineRule="exact"/>
        <w:rPr>
          <w:rFonts w:ascii="Times New Roman" w:hAnsi="Times New Roman" w:cs="Times New Roman"/>
          <w:sz w:val="24"/>
          <w:szCs w:val="24"/>
        </w:rPr>
      </w:pPr>
      <w:r>
        <w:rPr>
          <w:noProof/>
          <w:lang w:val="cs-CZ"/>
        </w:rPr>
        <w:drawing>
          <wp:anchor distT="0" distB="0" distL="114300" distR="114300" simplePos="0" relativeHeight="251663360" behindDoc="1" locked="0" layoutInCell="0" allowOverlap="1" wp14:anchorId="40080BBC" wp14:editId="0FB6FFD2">
            <wp:simplePos x="0" y="0"/>
            <wp:positionH relativeFrom="column">
              <wp:posOffset>3175</wp:posOffset>
            </wp:positionH>
            <wp:positionV relativeFrom="paragraph">
              <wp:posOffset>95250</wp:posOffset>
            </wp:positionV>
            <wp:extent cx="6630035" cy="63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3) Předmět řešení návrhu projektu</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Předmět řešení návrhu projektu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4384" behindDoc="1" locked="0" layoutInCell="0" allowOverlap="1" wp14:anchorId="7A80CA91" wp14:editId="39E80E1E">
            <wp:simplePos x="0" y="0"/>
            <wp:positionH relativeFrom="column">
              <wp:posOffset>3175</wp:posOffset>
            </wp:positionH>
            <wp:positionV relativeFrom="paragraph">
              <wp:posOffset>-70485</wp:posOffset>
            </wp:positionV>
            <wp:extent cx="6630035" cy="11557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overflowPunct w:val="0"/>
        <w:adjustRightInd w:val="0"/>
        <w:spacing w:line="340" w:lineRule="auto"/>
        <w:ind w:left="100" w:right="40" w:hanging="35"/>
        <w:jc w:val="both"/>
        <w:rPr>
          <w:rFonts w:ascii="Times New Roman" w:hAnsi="Times New Roman" w:cs="Times New Roman"/>
          <w:sz w:val="24"/>
          <w:szCs w:val="24"/>
        </w:rPr>
      </w:pPr>
      <w:r>
        <w:rPr>
          <w:rFonts w:ascii="Cambria" w:hAnsi="Cambria" w:cs="Cambria"/>
          <w:sz w:val="16"/>
          <w:szCs w:val="16"/>
        </w:rPr>
        <w:t>Předmětem projektu je řešení problému čištění specificky znečištěných vod, které jsou obtížně čistitelné standardními metodami. Výsledkem je prototyp modulárního čistírny vody. Zařízení se bude sestávat z modulu předčištění, modulu membránové filtrace využívající nově vyvíjenou nanovlákennou membránu a modulu finální úpravy vody.</w:t>
      </w:r>
    </w:p>
    <w:p w:rsidR="008A2775" w:rsidRDefault="008A2775" w:rsidP="008A2775">
      <w:pPr>
        <w:widowControl w:val="0"/>
        <w:adjustRightInd w:val="0"/>
        <w:spacing w:line="9" w:lineRule="exact"/>
        <w:rPr>
          <w:rFonts w:ascii="Times New Roman" w:hAnsi="Times New Roman" w:cs="Times New Roman"/>
          <w:sz w:val="24"/>
          <w:szCs w:val="24"/>
        </w:rPr>
      </w:pPr>
      <w:r>
        <w:rPr>
          <w:noProof/>
          <w:lang w:val="cs-CZ"/>
        </w:rPr>
        <w:drawing>
          <wp:anchor distT="0" distB="0" distL="114300" distR="114300" simplePos="0" relativeHeight="251665408" behindDoc="1" locked="0" layoutInCell="0" allowOverlap="1" wp14:anchorId="16726EE4" wp14:editId="3F14DA13">
            <wp:simplePos x="0" y="0"/>
            <wp:positionH relativeFrom="column">
              <wp:posOffset>3175</wp:posOffset>
            </wp:positionH>
            <wp:positionV relativeFrom="paragraph">
              <wp:posOffset>-47625</wp:posOffset>
            </wp:positionV>
            <wp:extent cx="6630035" cy="63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4) Cíl projektu (účel podpory)</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Představení projektu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6432" behindDoc="1" locked="0" layoutInCell="0" allowOverlap="1" wp14:anchorId="1DFEDC0D" wp14:editId="554CADB2">
            <wp:simplePos x="0" y="0"/>
            <wp:positionH relativeFrom="column">
              <wp:posOffset>3175</wp:posOffset>
            </wp:positionH>
            <wp:positionV relativeFrom="paragraph">
              <wp:posOffset>-70485</wp:posOffset>
            </wp:positionV>
            <wp:extent cx="6630035" cy="11557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overflowPunct w:val="0"/>
        <w:adjustRightInd w:val="0"/>
        <w:spacing w:line="245" w:lineRule="auto"/>
        <w:ind w:left="100" w:right="60" w:hanging="31"/>
        <w:jc w:val="both"/>
        <w:rPr>
          <w:rFonts w:ascii="Times New Roman" w:hAnsi="Times New Roman" w:cs="Times New Roman"/>
          <w:sz w:val="24"/>
          <w:szCs w:val="24"/>
        </w:rPr>
      </w:pPr>
      <w:r>
        <w:rPr>
          <w:rFonts w:ascii="Cambria" w:hAnsi="Cambria" w:cs="Cambria"/>
          <w:sz w:val="16"/>
          <w:szCs w:val="16"/>
        </w:rPr>
        <w:t>Cílem projektu je vývoj a optimalizace systému pro čištění odpadní vody v potravinářském průmyslu. Voda upravená navrženým způsobem bude vhodná pro opakované technické použití. Rovněž budou i výrazně sníženy objemy kalů, které by vznikly standardním řešením. Vstupem procesu je voda znečištěná při zpracování masa, dalších živočišných produktů, zeleniny a ovoce. Výstupem procesu je voda zbavená veškerých nerozpuštěných látek s radikálně sníženými hodnotami BSK5. Předpokládaný výkon v rozsahu od 1 m3/den.</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overflowPunct w:val="0"/>
        <w:adjustRightInd w:val="0"/>
        <w:spacing w:line="392" w:lineRule="auto"/>
        <w:ind w:left="100" w:right="60" w:hanging="35"/>
        <w:jc w:val="both"/>
        <w:rPr>
          <w:rFonts w:ascii="Times New Roman" w:hAnsi="Times New Roman" w:cs="Times New Roman"/>
          <w:sz w:val="24"/>
          <w:szCs w:val="24"/>
        </w:rPr>
      </w:pPr>
      <w:r>
        <w:rPr>
          <w:rFonts w:ascii="Cambria" w:hAnsi="Cambria" w:cs="Cambria"/>
          <w:sz w:val="16"/>
          <w:szCs w:val="16"/>
        </w:rPr>
        <w:t>Výsledný produkt povede k úspoře nákladů firem na pořízení a provoz nové technologie ČOV, nebo k úpravě systému stávajícího. V rámci projektu bude vytvořen prototyp zařízení pro úpravu odpadních vod. Prototyp se sestává z více modulů, jež mohou být zapojeny podle aktuálních požadavků.</w:t>
      </w:r>
    </w:p>
    <w:p w:rsidR="008A2775" w:rsidRDefault="008A2775" w:rsidP="008A2775">
      <w:pPr>
        <w:widowControl w:val="0"/>
        <w:adjustRightInd w:val="0"/>
        <w:spacing w:line="1" w:lineRule="exact"/>
        <w:rPr>
          <w:rFonts w:ascii="Times New Roman" w:hAnsi="Times New Roman" w:cs="Times New Roman"/>
          <w:sz w:val="24"/>
          <w:szCs w:val="24"/>
        </w:rPr>
      </w:pPr>
      <w:r>
        <w:rPr>
          <w:noProof/>
          <w:lang w:val="cs-CZ"/>
        </w:rPr>
        <w:drawing>
          <wp:anchor distT="0" distB="0" distL="114300" distR="114300" simplePos="0" relativeHeight="251667456" behindDoc="1" locked="0" layoutInCell="0" allowOverlap="1" wp14:anchorId="79B070BC" wp14:editId="00E1CBCB">
            <wp:simplePos x="0" y="0"/>
            <wp:positionH relativeFrom="column">
              <wp:posOffset>3175</wp:posOffset>
            </wp:positionH>
            <wp:positionV relativeFrom="paragraph">
              <wp:posOffset>-52070</wp:posOffset>
            </wp:positionV>
            <wp:extent cx="6630035" cy="635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5) Klíčová osoba řešitelského týmu</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lastRenderedPageBreak/>
        <w:t>Klíčová osoba řešitelského týmu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68480" behindDoc="1" locked="0" layoutInCell="0" allowOverlap="1" wp14:anchorId="7153E902" wp14:editId="3B1EEFC2">
            <wp:simplePos x="0" y="0"/>
            <wp:positionH relativeFrom="column">
              <wp:posOffset>3175</wp:posOffset>
            </wp:positionH>
            <wp:positionV relativeFrom="paragraph">
              <wp:posOffset>-70485</wp:posOffset>
            </wp:positionV>
            <wp:extent cx="6630035" cy="11557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80"/>
        <w:rPr>
          <w:rFonts w:ascii="Times New Roman" w:hAnsi="Times New Roman" w:cs="Times New Roman"/>
          <w:sz w:val="24"/>
          <w:szCs w:val="24"/>
        </w:rPr>
      </w:pPr>
      <w:r>
        <w:rPr>
          <w:rFonts w:ascii="Cambria" w:hAnsi="Cambria" w:cs="Cambria"/>
          <w:sz w:val="16"/>
          <w:szCs w:val="16"/>
        </w:rPr>
        <w:t>Ing. Jakub Hrůza Ph.D.</w:t>
      </w:r>
    </w:p>
    <w:p w:rsidR="008A2775" w:rsidRDefault="008A2775" w:rsidP="008A2775">
      <w:pPr>
        <w:widowControl w:val="0"/>
        <w:adjustRightInd w:val="0"/>
        <w:spacing w:line="235" w:lineRule="exact"/>
        <w:rPr>
          <w:rFonts w:ascii="Times New Roman" w:hAnsi="Times New Roman" w:cs="Times New Roman"/>
          <w:sz w:val="24"/>
          <w:szCs w:val="24"/>
        </w:rPr>
      </w:pPr>
      <w:r>
        <w:rPr>
          <w:noProof/>
          <w:lang w:val="cs-CZ"/>
        </w:rPr>
        <w:drawing>
          <wp:anchor distT="0" distB="0" distL="114300" distR="114300" simplePos="0" relativeHeight="251669504" behindDoc="1" locked="0" layoutInCell="0" allowOverlap="1" wp14:anchorId="2CE0B86C" wp14:editId="440FE3FF">
            <wp:simplePos x="0" y="0"/>
            <wp:positionH relativeFrom="column">
              <wp:posOffset>3175</wp:posOffset>
            </wp:positionH>
            <wp:positionV relativeFrom="paragraph">
              <wp:posOffset>95250</wp:posOffset>
            </wp:positionV>
            <wp:extent cx="6630035" cy="635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overflowPunct w:val="0"/>
        <w:adjustRightInd w:val="0"/>
        <w:spacing w:line="419" w:lineRule="auto"/>
        <w:ind w:left="120" w:right="6060"/>
        <w:rPr>
          <w:rFonts w:ascii="Times New Roman" w:hAnsi="Times New Roman" w:cs="Times New Roman"/>
          <w:sz w:val="24"/>
          <w:szCs w:val="24"/>
        </w:rPr>
      </w:pPr>
      <w:r>
        <w:rPr>
          <w:rFonts w:ascii="Cambria" w:hAnsi="Cambria" w:cs="Cambria"/>
          <w:b/>
          <w:bCs/>
        </w:rPr>
        <w:t>6) Harmonogram a výstupy/výsledky projektu Název období a rok</w:t>
      </w:r>
    </w:p>
    <w:p w:rsidR="008A2775" w:rsidRDefault="008A2775" w:rsidP="008A2775">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8A2775" w:rsidTr="00FA1561">
        <w:trPr>
          <w:trHeight w:val="28"/>
        </w:trPr>
        <w:tc>
          <w:tcPr>
            <w:tcW w:w="9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93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8A2775" w:rsidTr="00FA1561">
        <w:trPr>
          <w:trHeight w:val="336"/>
        </w:trPr>
        <w:tc>
          <w:tcPr>
            <w:tcW w:w="93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Upřesnění požadavků a materiálová příprava</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70"/>
              <w:jc w:val="right"/>
              <w:rPr>
                <w:rFonts w:ascii="Times New Roman" w:hAnsi="Times New Roman" w:cs="Times New Roman"/>
                <w:sz w:val="24"/>
                <w:szCs w:val="24"/>
              </w:rPr>
            </w:pPr>
            <w:r>
              <w:rPr>
                <w:rFonts w:ascii="Cambria" w:hAnsi="Cambria" w:cs="Cambria"/>
                <w:sz w:val="16"/>
                <w:szCs w:val="16"/>
              </w:rPr>
              <w:t>2017</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70528" behindDoc="1" locked="0" layoutInCell="0" allowOverlap="1" wp14:anchorId="30AA8288" wp14:editId="185E6D88">
            <wp:simplePos x="0" y="0"/>
            <wp:positionH relativeFrom="column">
              <wp:posOffset>3175</wp:posOffset>
            </wp:positionH>
            <wp:positionV relativeFrom="paragraph">
              <wp:posOffset>-70485</wp:posOffset>
            </wp:positionV>
            <wp:extent cx="6630035" cy="11557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numPr>
          <w:ilvl w:val="0"/>
          <w:numId w:val="15"/>
        </w:numPr>
        <w:tabs>
          <w:tab w:val="clear" w:pos="720"/>
          <w:tab w:val="num" w:pos="272"/>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Upřesnění požadavků daných aplikací v potravinářském průmyslu: složení kontaminované vody, složení upravené vody, průtoky, tlaky, teploty, provozní požadavky atd; plán činností. </w:t>
      </w:r>
    </w:p>
    <w:p w:rsidR="008A2775" w:rsidRDefault="008A2775" w:rsidP="008A2775">
      <w:pPr>
        <w:widowControl w:val="0"/>
        <w:adjustRightInd w:val="0"/>
        <w:spacing w:line="1" w:lineRule="exact"/>
        <w:rPr>
          <w:rFonts w:ascii="Cambria" w:hAnsi="Cambria" w:cs="Cambria"/>
          <w:sz w:val="16"/>
          <w:szCs w:val="16"/>
        </w:rPr>
      </w:pPr>
    </w:p>
    <w:p w:rsidR="008A2775" w:rsidRDefault="008A2775" w:rsidP="008A2775">
      <w:pPr>
        <w:widowControl w:val="0"/>
        <w:numPr>
          <w:ilvl w:val="0"/>
          <w:numId w:val="15"/>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Volba a vývoj materiálů vhodných pro přípravu nanovlákenných membrán i jednotlivých čisticích modulů.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5"/>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Optimalizace a vývoj specializovaných testovacích tratí.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5"/>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Příprava a testování jednotlivých filtračních membrán, jejich povrchová modifikace. </w:t>
      </w:r>
    </w:p>
    <w:p w:rsidR="008A2775" w:rsidRDefault="008A2775" w:rsidP="008A2775">
      <w:pPr>
        <w:widowControl w:val="0"/>
        <w:adjustRightInd w:val="0"/>
        <w:spacing w:line="241" w:lineRule="exact"/>
        <w:rPr>
          <w:rFonts w:ascii="Times New Roman" w:hAnsi="Times New Roman" w:cs="Times New Roman"/>
          <w:sz w:val="24"/>
          <w:szCs w:val="24"/>
        </w:rPr>
      </w:pPr>
      <w:r>
        <w:rPr>
          <w:noProof/>
          <w:lang w:val="cs-CZ"/>
        </w:rPr>
        <w:drawing>
          <wp:anchor distT="0" distB="0" distL="114300" distR="114300" simplePos="0" relativeHeight="251671552" behindDoc="1" locked="0" layoutInCell="0" allowOverlap="1" wp14:anchorId="239AB511" wp14:editId="0121053A">
            <wp:simplePos x="0" y="0"/>
            <wp:positionH relativeFrom="column">
              <wp:posOffset>3175</wp:posOffset>
            </wp:positionH>
            <wp:positionV relativeFrom="paragraph">
              <wp:posOffset>95250</wp:posOffset>
            </wp:positionV>
            <wp:extent cx="6630035" cy="635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8A2775" w:rsidRDefault="008A2775" w:rsidP="008A2775">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8A2775" w:rsidTr="00FA1561">
        <w:trPr>
          <w:trHeight w:val="28"/>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90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TH02030720-2017V001</w:t>
            </w:r>
          </w:p>
        </w:tc>
        <w:tc>
          <w:tcPr>
            <w:tcW w:w="3800" w:type="dxa"/>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single" w:sz="8" w:space="0" w:color="auto"/>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5700" w:type="dxa"/>
            <w:gridSpan w:val="2"/>
            <w:tcBorders>
              <w:top w:val="nil"/>
              <w:left w:val="single" w:sz="8" w:space="0" w:color="auto"/>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5700" w:type="dxa"/>
            <w:gridSpan w:val="2"/>
            <w:tcBorders>
              <w:top w:val="nil"/>
              <w:left w:val="single" w:sz="8" w:space="0" w:color="auto"/>
              <w:bottom w:val="nil"/>
              <w:right w:val="single" w:sz="8" w:space="0" w:color="auto"/>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gridSpan w:val="2"/>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2017</w:t>
            </w: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850"/>
              <w:jc w:val="right"/>
              <w:rPr>
                <w:rFonts w:ascii="Times New Roman" w:hAnsi="Times New Roman" w:cs="Times New Roman"/>
                <w:sz w:val="24"/>
                <w:szCs w:val="24"/>
              </w:rPr>
            </w:pPr>
            <w:r>
              <w:rPr>
                <w:rFonts w:ascii="Cambria" w:hAnsi="Cambria" w:cs="Cambria"/>
                <w:sz w:val="16"/>
                <w:szCs w:val="16"/>
              </w:rPr>
              <w:t>2017</w:t>
            </w:r>
          </w:p>
        </w:tc>
      </w:tr>
    </w:tbl>
    <w:p w:rsidR="008A2775" w:rsidRDefault="008A2775" w:rsidP="008A2775">
      <w:pPr>
        <w:widowControl w:val="0"/>
        <w:adjustRightInd w:val="0"/>
        <w:rPr>
          <w:rFonts w:ascii="Times New Roman" w:hAnsi="Times New Roman" w:cs="Times New Roman"/>
          <w:sz w:val="24"/>
          <w:szCs w:val="24"/>
        </w:rPr>
        <w:sectPr w:rsidR="008A2775">
          <w:pgSz w:w="11900" w:h="16838"/>
          <w:pgMar w:top="723" w:right="620" w:bottom="148" w:left="840" w:header="720" w:footer="720" w:gutter="0"/>
          <w:cols w:space="720" w:equalWidth="0">
            <w:col w:w="1044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22" w:lineRule="exact"/>
        <w:rPr>
          <w:rFonts w:ascii="Times New Roman" w:hAnsi="Times New Roman" w:cs="Times New Roman"/>
          <w:sz w:val="24"/>
          <w:szCs w:val="24"/>
        </w:rPr>
      </w:pPr>
    </w:p>
    <w:p w:rsidR="008A2775" w:rsidRDefault="008A2775" w:rsidP="008A2775">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1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sectPr w:rsidR="008A2775">
          <w:type w:val="continuous"/>
          <w:pgSz w:w="11900" w:h="16838"/>
          <w:pgMar w:top="723" w:right="900" w:bottom="148" w:left="860" w:header="720" w:footer="720" w:gutter="0"/>
          <w:cols w:space="720" w:equalWidth="0">
            <w:col w:w="10140"/>
          </w:cols>
          <w:noEndnote/>
        </w:sect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4" w:name="page3"/>
      <w:bookmarkEnd w:id="4"/>
      <w:r>
        <w:rPr>
          <w:noProof/>
          <w:lang w:val="cs-CZ"/>
        </w:rPr>
        <w:lastRenderedPageBreak/>
        <w:drawing>
          <wp:anchor distT="0" distB="0" distL="114300" distR="114300" simplePos="0" relativeHeight="251672576" behindDoc="1" locked="0" layoutInCell="0" allowOverlap="1" wp14:anchorId="6AD23073" wp14:editId="1C999654">
            <wp:simplePos x="0" y="0"/>
            <wp:positionH relativeFrom="page">
              <wp:posOffset>539750</wp:posOffset>
            </wp:positionH>
            <wp:positionV relativeFrom="page">
              <wp:posOffset>370205</wp:posOffset>
            </wp:positionV>
            <wp:extent cx="2005330" cy="548640"/>
            <wp:effectExtent l="0" t="0" r="0" b="381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53" w:lineRule="exact"/>
        <w:rPr>
          <w:rFonts w:ascii="Times New Roman" w:hAnsi="Times New Roman" w:cs="Times New Roman"/>
          <w:sz w:val="24"/>
          <w:szCs w:val="24"/>
        </w:rPr>
      </w:pP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8A2775" w:rsidRDefault="008A2775" w:rsidP="008A2775">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9000"/>
      </w:tblGrid>
      <w:tr w:rsidR="008A2775" w:rsidTr="00FA1561">
        <w:trPr>
          <w:trHeight w:val="28"/>
        </w:trPr>
        <w:tc>
          <w:tcPr>
            <w:tcW w:w="1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90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440" w:type="dxa"/>
            <w:tcBorders>
              <w:top w:val="nil"/>
              <w:left w:val="nil"/>
              <w:bottom w:val="nil"/>
              <w:right w:val="nil"/>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9000" w:type="dxa"/>
            <w:tcBorders>
              <w:top w:val="nil"/>
              <w:left w:val="nil"/>
              <w:bottom w:val="nil"/>
              <w:right w:val="nil"/>
            </w:tcBorders>
            <w:vAlign w:val="bottom"/>
          </w:tcPr>
          <w:p w:rsidR="008A2775" w:rsidRDefault="008A2775" w:rsidP="00FA1561">
            <w:pPr>
              <w:widowControl w:val="0"/>
              <w:adjustRightInd w:val="0"/>
              <w:spacing w:line="130" w:lineRule="exact"/>
              <w:ind w:left="480"/>
              <w:rPr>
                <w:rFonts w:ascii="Times New Roman" w:hAnsi="Times New Roman" w:cs="Times New Roman"/>
                <w:sz w:val="24"/>
                <w:szCs w:val="24"/>
              </w:rPr>
            </w:pPr>
            <w:r>
              <w:rPr>
                <w:rFonts w:ascii="Cambria" w:hAnsi="Cambria" w:cs="Cambria"/>
                <w:sz w:val="12"/>
                <w:szCs w:val="12"/>
              </w:rPr>
              <w:t>Název výstupu/výsledku</w:t>
            </w:r>
          </w:p>
        </w:tc>
      </w:tr>
      <w:tr w:rsidR="008A2775" w:rsidTr="00FA1561">
        <w:trPr>
          <w:trHeight w:val="309"/>
        </w:trPr>
        <w:tc>
          <w:tcPr>
            <w:tcW w:w="10440" w:type="dxa"/>
            <w:gridSpan w:val="2"/>
            <w:tcBorders>
              <w:top w:val="nil"/>
              <w:left w:val="nil"/>
              <w:bottom w:val="nil"/>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TH02030720-2017V002   Souběžná simulace membránové filtrace.</w:t>
            </w:r>
          </w:p>
        </w:tc>
      </w:tr>
    </w:tbl>
    <w:p w:rsidR="008A2775" w:rsidRDefault="008A2775" w:rsidP="008A2775">
      <w:pPr>
        <w:widowControl w:val="0"/>
        <w:adjustRightInd w:val="0"/>
        <w:ind w:left="40"/>
        <w:rPr>
          <w:rFonts w:ascii="Times New Roman" w:hAnsi="Times New Roman" w:cs="Times New Roman"/>
          <w:sz w:val="24"/>
          <w:szCs w:val="24"/>
        </w:rPr>
      </w:pPr>
      <w:r>
        <w:rPr>
          <w:noProof/>
          <w:lang w:val="cs-CZ"/>
        </w:rPr>
        <w:drawing>
          <wp:anchor distT="0" distB="0" distL="114300" distR="114300" simplePos="0" relativeHeight="251673600" behindDoc="1" locked="0" layoutInCell="0" allowOverlap="1" wp14:anchorId="4B28DEC5" wp14:editId="79F705A1">
            <wp:simplePos x="0" y="0"/>
            <wp:positionH relativeFrom="column">
              <wp:posOffset>1191260</wp:posOffset>
            </wp:positionH>
            <wp:positionV relativeFrom="paragraph">
              <wp:posOffset>-287655</wp:posOffset>
            </wp:positionV>
            <wp:extent cx="3175" cy="112395"/>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74624" behindDoc="1" locked="0" layoutInCell="0" allowOverlap="1" wp14:anchorId="149FD811" wp14:editId="5330D147">
            <wp:simplePos x="0" y="0"/>
            <wp:positionH relativeFrom="column">
              <wp:posOffset>3175</wp:posOffset>
            </wp:positionH>
            <wp:positionV relativeFrom="paragraph">
              <wp:posOffset>-290830</wp:posOffset>
            </wp:positionV>
            <wp:extent cx="6350" cy="11557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75648" behindDoc="1" locked="0" layoutInCell="0" allowOverlap="1" wp14:anchorId="12D9671D" wp14:editId="3955809A">
            <wp:simplePos x="0" y="0"/>
            <wp:positionH relativeFrom="column">
              <wp:posOffset>6627495</wp:posOffset>
            </wp:positionH>
            <wp:positionV relativeFrom="paragraph">
              <wp:posOffset>-290830</wp:posOffset>
            </wp:positionV>
            <wp:extent cx="6350" cy="11557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76672" behindDoc="1" locked="0" layoutInCell="0" allowOverlap="1" wp14:anchorId="20336F36" wp14:editId="703E273B">
            <wp:simplePos x="0" y="0"/>
            <wp:positionH relativeFrom="column">
              <wp:posOffset>3175</wp:posOffset>
            </wp:positionH>
            <wp:positionV relativeFrom="paragraph">
              <wp:posOffset>-70485</wp:posOffset>
            </wp:positionV>
            <wp:extent cx="1191260" cy="635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overflowPunct w:val="0"/>
        <w:adjustRightInd w:val="0"/>
        <w:spacing w:line="320" w:lineRule="auto"/>
        <w:ind w:left="100" w:right="60" w:hanging="35"/>
        <w:rPr>
          <w:rFonts w:ascii="Times New Roman" w:hAnsi="Times New Roman" w:cs="Times New Roman"/>
          <w:sz w:val="24"/>
          <w:szCs w:val="24"/>
        </w:rPr>
      </w:pPr>
      <w:r>
        <w:rPr>
          <w:rFonts w:ascii="Cambria" w:hAnsi="Cambria" w:cs="Cambria"/>
          <w:sz w:val="16"/>
          <w:szCs w:val="16"/>
        </w:rPr>
        <w:t>Funkční vzorek zařízení pro laboratorní souběžnou simulaci membránové filtrace pro 4-6 vzorků najednou. Cílem je rychlé ověření jednotlivých materiálů ve srovnatelném prostředí při zachování základních parametrů regenerovatelnosti filtrů.</w:t>
      </w:r>
    </w:p>
    <w:p w:rsidR="008A2775" w:rsidRDefault="008A2775" w:rsidP="008A2775">
      <w:pPr>
        <w:widowControl w:val="0"/>
        <w:adjustRightInd w:val="0"/>
        <w:spacing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00"/>
      </w:tblGrid>
      <w:tr w:rsidR="008A2775" w:rsidTr="00FA1561">
        <w:trPr>
          <w:trHeight w:val="28"/>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5700" w:type="dxa"/>
            <w:gridSpan w:val="2"/>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8A2775" w:rsidRDefault="008A2775" w:rsidP="00FA1561">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1900" w:type="dxa"/>
            <w:tcBorders>
              <w:top w:val="nil"/>
              <w:left w:val="nil"/>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Gfunk - funkční vzorek</w:t>
            </w:r>
          </w:p>
        </w:tc>
        <w:tc>
          <w:tcPr>
            <w:tcW w:w="38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2017</w:t>
            </w:r>
          </w:p>
        </w:tc>
        <w:tc>
          <w:tcPr>
            <w:tcW w:w="2300" w:type="dxa"/>
            <w:tcBorders>
              <w:top w:val="nil"/>
              <w:left w:val="nil"/>
              <w:bottom w:val="single" w:sz="8" w:space="0" w:color="auto"/>
              <w:right w:val="nil"/>
            </w:tcBorders>
            <w:vAlign w:val="bottom"/>
          </w:tcPr>
          <w:p w:rsidR="008A2775" w:rsidRDefault="008A2775" w:rsidP="00FA1561">
            <w:pPr>
              <w:widowControl w:val="0"/>
              <w:adjustRightInd w:val="0"/>
              <w:ind w:right="1830"/>
              <w:jc w:val="right"/>
              <w:rPr>
                <w:rFonts w:ascii="Times New Roman" w:hAnsi="Times New Roman" w:cs="Times New Roman"/>
                <w:sz w:val="24"/>
                <w:szCs w:val="24"/>
              </w:rPr>
            </w:pPr>
            <w:r>
              <w:rPr>
                <w:rFonts w:ascii="Cambria" w:hAnsi="Cambria" w:cs="Cambria"/>
                <w:sz w:val="16"/>
                <w:szCs w:val="16"/>
              </w:rPr>
              <w:t>2018</w:t>
            </w:r>
          </w:p>
        </w:tc>
      </w:tr>
      <w:tr w:rsidR="008A2775" w:rsidTr="00FA1561">
        <w:trPr>
          <w:trHeight w:val="286"/>
        </w:trPr>
        <w:tc>
          <w:tcPr>
            <w:tcW w:w="5700" w:type="dxa"/>
            <w:gridSpan w:val="2"/>
            <w:tcBorders>
              <w:top w:val="nil"/>
              <w:left w:val="nil"/>
              <w:bottom w:val="nil"/>
              <w:right w:val="nil"/>
            </w:tcBorders>
            <w:vAlign w:val="bottom"/>
          </w:tcPr>
          <w:p w:rsidR="008A2775" w:rsidRDefault="008A2775" w:rsidP="00FA1561">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14"/>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r>
      <w:tr w:rsidR="008A2775" w:rsidTr="00FA1561">
        <w:trPr>
          <w:trHeight w:val="130"/>
        </w:trPr>
        <w:tc>
          <w:tcPr>
            <w:tcW w:w="190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right="2450"/>
              <w:jc w:val="right"/>
              <w:rPr>
                <w:rFonts w:ascii="Times New Roman" w:hAnsi="Times New Roman" w:cs="Times New Roman"/>
                <w:sz w:val="24"/>
                <w:szCs w:val="24"/>
              </w:rPr>
            </w:pPr>
            <w:r>
              <w:rPr>
                <w:rFonts w:ascii="Cambria" w:hAnsi="Cambria" w:cs="Cambria"/>
                <w:w w:val="99"/>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TH02030720-2017V003</w:t>
            </w:r>
          </w:p>
        </w:tc>
        <w:tc>
          <w:tcPr>
            <w:tcW w:w="3800" w:type="dxa"/>
            <w:tcBorders>
              <w:top w:val="nil"/>
              <w:left w:val="nil"/>
              <w:bottom w:val="single" w:sz="8" w:space="0" w:color="auto"/>
              <w:right w:val="nil"/>
            </w:tcBorders>
            <w:vAlign w:val="bottom"/>
          </w:tcPr>
          <w:p w:rsidR="008A2775" w:rsidRDefault="008A2775" w:rsidP="00FA1561">
            <w:pPr>
              <w:widowControl w:val="0"/>
              <w:adjustRightInd w:val="0"/>
              <w:ind w:right="2450"/>
              <w:jc w:val="right"/>
              <w:rPr>
                <w:rFonts w:ascii="Times New Roman" w:hAnsi="Times New Roman" w:cs="Times New Roman"/>
                <w:sz w:val="24"/>
                <w:szCs w:val="24"/>
              </w:rPr>
            </w:pPr>
            <w:r>
              <w:rPr>
                <w:rFonts w:ascii="Cambria" w:hAnsi="Cambria" w:cs="Cambria"/>
                <w:sz w:val="16"/>
                <w:szCs w:val="16"/>
              </w:rPr>
              <w:t>Vzorník materiálů</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nil"/>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229"/>
        </w:trPr>
        <w:tc>
          <w:tcPr>
            <w:tcW w:w="10440" w:type="dxa"/>
            <w:gridSpan w:val="4"/>
            <w:tcBorders>
              <w:top w:val="nil"/>
              <w:left w:val="nil"/>
              <w:bottom w:val="nil"/>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noProof/>
                <w:lang w:val="cs-CZ"/>
              </w:rPr>
              <w:drawing>
                <wp:anchor distT="0" distB="0" distL="114300" distR="114300" simplePos="0" relativeHeight="251677696" behindDoc="1" locked="0" layoutInCell="0" allowOverlap="1" wp14:anchorId="1B74009E" wp14:editId="4C485C61">
                  <wp:simplePos x="0" y="0"/>
                  <wp:positionH relativeFrom="column">
                    <wp:posOffset>3175</wp:posOffset>
                  </wp:positionH>
                  <wp:positionV relativeFrom="paragraph">
                    <wp:posOffset>-404495</wp:posOffset>
                  </wp:positionV>
                  <wp:extent cx="6350" cy="11557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78720" behindDoc="1" locked="0" layoutInCell="0" allowOverlap="1" wp14:anchorId="0F0CCACF" wp14:editId="78CD2B4E">
                  <wp:simplePos x="0" y="0"/>
                  <wp:positionH relativeFrom="column">
                    <wp:posOffset>6627495</wp:posOffset>
                  </wp:positionH>
                  <wp:positionV relativeFrom="paragraph">
                    <wp:posOffset>-404495</wp:posOffset>
                  </wp:positionV>
                  <wp:extent cx="6350" cy="1155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6"/>
                <w:szCs w:val="16"/>
              </w:rPr>
              <w:t>Vzorník materiálů vhodných pro přípravu modulu membránové filtrace včetně výsledků testů velikosti pórů, prodyšnosti, průtočnosti, tlakového spádu</w:t>
            </w:r>
          </w:p>
        </w:tc>
      </w:tr>
      <w:tr w:rsidR="008A2775" w:rsidTr="00FA1561">
        <w:trPr>
          <w:trHeight w:val="300"/>
        </w:trPr>
        <w:tc>
          <w:tcPr>
            <w:tcW w:w="5700" w:type="dxa"/>
            <w:gridSpan w:val="2"/>
            <w:tcBorders>
              <w:top w:val="nil"/>
              <w:left w:val="nil"/>
              <w:bottom w:val="single" w:sz="8" w:space="0" w:color="auto"/>
              <w:right w:val="nil"/>
            </w:tcBorders>
            <w:vAlign w:val="bottom"/>
          </w:tcPr>
          <w:p w:rsidR="008A2775" w:rsidRDefault="008A2775" w:rsidP="00FA1561">
            <w:pPr>
              <w:widowControl w:val="0"/>
              <w:adjustRightInd w:val="0"/>
              <w:ind w:left="100"/>
              <w:rPr>
                <w:rFonts w:ascii="Times New Roman" w:hAnsi="Times New Roman" w:cs="Times New Roman"/>
                <w:sz w:val="24"/>
                <w:szCs w:val="24"/>
              </w:rPr>
            </w:pPr>
            <w:r>
              <w:rPr>
                <w:rFonts w:ascii="Cambria" w:hAnsi="Cambria" w:cs="Cambria"/>
                <w:sz w:val="16"/>
                <w:szCs w:val="16"/>
              </w:rPr>
              <w:t>a pevnosti.</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0"/>
        </w:trPr>
        <w:tc>
          <w:tcPr>
            <w:tcW w:w="5700" w:type="dxa"/>
            <w:gridSpan w:val="2"/>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8A2775" w:rsidRDefault="008A2775" w:rsidP="00FA1561">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2017</w:t>
            </w:r>
          </w:p>
        </w:tc>
        <w:tc>
          <w:tcPr>
            <w:tcW w:w="2300" w:type="dxa"/>
            <w:tcBorders>
              <w:top w:val="nil"/>
              <w:left w:val="nil"/>
              <w:bottom w:val="single" w:sz="8" w:space="0" w:color="auto"/>
              <w:right w:val="nil"/>
            </w:tcBorders>
            <w:vAlign w:val="bottom"/>
          </w:tcPr>
          <w:p w:rsidR="008A2775" w:rsidRDefault="008A2775" w:rsidP="00FA1561">
            <w:pPr>
              <w:widowControl w:val="0"/>
              <w:adjustRightInd w:val="0"/>
              <w:ind w:right="1830"/>
              <w:jc w:val="right"/>
              <w:rPr>
                <w:rFonts w:ascii="Times New Roman" w:hAnsi="Times New Roman" w:cs="Times New Roman"/>
                <w:sz w:val="24"/>
                <w:szCs w:val="24"/>
              </w:rPr>
            </w:pPr>
            <w:r>
              <w:rPr>
                <w:rFonts w:ascii="Cambria" w:hAnsi="Cambria" w:cs="Cambria"/>
                <w:sz w:val="16"/>
                <w:szCs w:val="16"/>
              </w:rPr>
              <w:t>2019</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8A2775" w:rsidRDefault="008A2775" w:rsidP="008A2775">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8A2775" w:rsidTr="00FA1561">
        <w:trPr>
          <w:trHeight w:val="28"/>
        </w:trPr>
        <w:tc>
          <w:tcPr>
            <w:tcW w:w="9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93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8A2775" w:rsidTr="00FA1561">
        <w:trPr>
          <w:trHeight w:val="336"/>
        </w:trPr>
        <w:tc>
          <w:tcPr>
            <w:tcW w:w="93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Vývoj a optimalizace jednotlivých čisticích modulů</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70"/>
              <w:jc w:val="right"/>
              <w:rPr>
                <w:rFonts w:ascii="Times New Roman" w:hAnsi="Times New Roman" w:cs="Times New Roman"/>
                <w:sz w:val="24"/>
                <w:szCs w:val="24"/>
              </w:rPr>
            </w:pPr>
            <w:r>
              <w:rPr>
                <w:rFonts w:ascii="Cambria" w:hAnsi="Cambria" w:cs="Cambria"/>
                <w:sz w:val="16"/>
                <w:szCs w:val="16"/>
              </w:rPr>
              <w:t>2018</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79744" behindDoc="1" locked="0" layoutInCell="0" allowOverlap="1" wp14:anchorId="720353CE" wp14:editId="04B30B70">
            <wp:simplePos x="0" y="0"/>
            <wp:positionH relativeFrom="column">
              <wp:posOffset>3175</wp:posOffset>
            </wp:positionH>
            <wp:positionV relativeFrom="paragraph">
              <wp:posOffset>-70485</wp:posOffset>
            </wp:positionV>
            <wp:extent cx="6630035" cy="1155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numPr>
          <w:ilvl w:val="0"/>
          <w:numId w:val="16"/>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Vývoj a optimalizace poloprovozních testovacích zařízení pro specificky kontaminované vody.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6"/>
        </w:numPr>
        <w:tabs>
          <w:tab w:val="clear" w:pos="720"/>
          <w:tab w:val="num" w:pos="273"/>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Optimalizace modulu předúpravy vody vzhledem k požadavkům membránového modulu (vztah mezi účinnosti oleofobních úprav a účinnosti záchytu tuků. </w:t>
      </w:r>
    </w:p>
    <w:p w:rsidR="008A2775" w:rsidRDefault="008A2775" w:rsidP="008A2775">
      <w:pPr>
        <w:widowControl w:val="0"/>
        <w:adjustRightInd w:val="0"/>
        <w:spacing w:line="1" w:lineRule="exact"/>
        <w:rPr>
          <w:rFonts w:ascii="Cambria" w:hAnsi="Cambria" w:cs="Cambria"/>
          <w:sz w:val="16"/>
          <w:szCs w:val="16"/>
        </w:rPr>
      </w:pPr>
    </w:p>
    <w:p w:rsidR="008A2775" w:rsidRDefault="008A2775" w:rsidP="008A2775">
      <w:pPr>
        <w:widowControl w:val="0"/>
        <w:numPr>
          <w:ilvl w:val="0"/>
          <w:numId w:val="16"/>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Vývoj modulu membránové filtrace na základě poloprovozních testů a dalšího výzkumu a vývoje filtračních materiálů.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6"/>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Vývoj modulu dodatečné úpravy vody podle konkrétních požadavků na dodatečnou eliminaci vybraných látek. </w:t>
      </w:r>
    </w:p>
    <w:p w:rsidR="008A2775" w:rsidRDefault="008A2775" w:rsidP="008A2775">
      <w:pPr>
        <w:widowControl w:val="0"/>
        <w:adjustRightInd w:val="0"/>
        <w:spacing w:line="241" w:lineRule="exact"/>
        <w:rPr>
          <w:rFonts w:ascii="Times New Roman" w:hAnsi="Times New Roman" w:cs="Times New Roman"/>
          <w:sz w:val="24"/>
          <w:szCs w:val="24"/>
        </w:rPr>
      </w:pPr>
      <w:r>
        <w:rPr>
          <w:noProof/>
          <w:lang w:val="cs-CZ"/>
        </w:rPr>
        <w:drawing>
          <wp:anchor distT="0" distB="0" distL="114300" distR="114300" simplePos="0" relativeHeight="251680768" behindDoc="1" locked="0" layoutInCell="0" allowOverlap="1" wp14:anchorId="4B25B414" wp14:editId="007A4161">
            <wp:simplePos x="0" y="0"/>
            <wp:positionH relativeFrom="column">
              <wp:posOffset>3175</wp:posOffset>
            </wp:positionH>
            <wp:positionV relativeFrom="paragraph">
              <wp:posOffset>95250</wp:posOffset>
            </wp:positionV>
            <wp:extent cx="6630035" cy="635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8A2775" w:rsidRDefault="008A2775" w:rsidP="008A2775">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00"/>
        <w:gridCol w:w="20"/>
      </w:tblGrid>
      <w:tr w:rsidR="008A2775" w:rsidTr="00FA1561">
        <w:trPr>
          <w:trHeight w:val="28"/>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20" w:type="dxa"/>
            <w:gridSpan w:val="2"/>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90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gridSpan w:val="2"/>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TH02030720-2018V001</w:t>
            </w:r>
          </w:p>
        </w:tc>
        <w:tc>
          <w:tcPr>
            <w:tcW w:w="3800" w:type="dxa"/>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single" w:sz="8" w:space="0" w:color="auto"/>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gridSpan w:val="2"/>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5700" w:type="dxa"/>
            <w:gridSpan w:val="2"/>
            <w:tcBorders>
              <w:top w:val="nil"/>
              <w:left w:val="single" w:sz="8" w:space="0" w:color="auto"/>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5700" w:type="dxa"/>
            <w:gridSpan w:val="2"/>
            <w:tcBorders>
              <w:top w:val="nil"/>
              <w:left w:val="single" w:sz="8" w:space="0" w:color="auto"/>
              <w:bottom w:val="nil"/>
              <w:right w:val="single" w:sz="8" w:space="0" w:color="auto"/>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8A2775" w:rsidRDefault="008A2775" w:rsidP="00FA1561">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gridSpan w:val="2"/>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2018</w:t>
            </w:r>
          </w:p>
        </w:tc>
        <w:tc>
          <w:tcPr>
            <w:tcW w:w="232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ind w:right="1850"/>
              <w:jc w:val="right"/>
              <w:rPr>
                <w:rFonts w:ascii="Times New Roman" w:hAnsi="Times New Roman" w:cs="Times New Roman"/>
                <w:sz w:val="24"/>
                <w:szCs w:val="24"/>
              </w:rPr>
            </w:pPr>
            <w:r>
              <w:rPr>
                <w:rFonts w:ascii="Cambria" w:hAnsi="Cambria" w:cs="Cambria"/>
                <w:sz w:val="16"/>
                <w:szCs w:val="16"/>
              </w:rPr>
              <w:t>2018</w:t>
            </w:r>
          </w:p>
        </w:tc>
      </w:tr>
      <w:tr w:rsidR="008A2775" w:rsidTr="00FA1561">
        <w:trPr>
          <w:trHeight w:val="286"/>
        </w:trPr>
        <w:tc>
          <w:tcPr>
            <w:tcW w:w="5700" w:type="dxa"/>
            <w:gridSpan w:val="2"/>
            <w:tcBorders>
              <w:top w:val="nil"/>
              <w:left w:val="nil"/>
              <w:bottom w:val="nil"/>
              <w:right w:val="nil"/>
            </w:tcBorders>
            <w:vAlign w:val="bottom"/>
          </w:tcPr>
          <w:p w:rsidR="008A2775" w:rsidRDefault="008A2775" w:rsidP="00FA1561">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gridSpan w:val="2"/>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14"/>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320" w:type="dxa"/>
            <w:gridSpan w:val="2"/>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r>
      <w:tr w:rsidR="008A2775" w:rsidTr="00FA1561">
        <w:trPr>
          <w:trHeight w:val="130"/>
        </w:trPr>
        <w:tc>
          <w:tcPr>
            <w:tcW w:w="190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gridSpan w:val="2"/>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TH02030720-2018V002</w:t>
            </w:r>
          </w:p>
        </w:tc>
        <w:tc>
          <w:tcPr>
            <w:tcW w:w="3800" w:type="dxa"/>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Modul membránové filtrace</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gridSpan w:val="2"/>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nil"/>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gridSpan w:val="2"/>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gridAfter w:val="1"/>
          <w:wAfter w:w="20" w:type="dxa"/>
          <w:trHeight w:val="229"/>
        </w:trPr>
        <w:tc>
          <w:tcPr>
            <w:tcW w:w="10440" w:type="dxa"/>
            <w:gridSpan w:val="4"/>
            <w:tcBorders>
              <w:top w:val="nil"/>
              <w:left w:val="nil"/>
              <w:bottom w:val="nil"/>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noProof/>
                <w:lang w:val="cs-CZ"/>
              </w:rPr>
              <w:drawing>
                <wp:anchor distT="0" distB="0" distL="114300" distR="114300" simplePos="0" relativeHeight="251681792" behindDoc="1" locked="0" layoutInCell="0" allowOverlap="1" wp14:anchorId="6D2ADF1B" wp14:editId="20BE09D8">
                  <wp:simplePos x="0" y="0"/>
                  <wp:positionH relativeFrom="column">
                    <wp:posOffset>3175</wp:posOffset>
                  </wp:positionH>
                  <wp:positionV relativeFrom="paragraph">
                    <wp:posOffset>-404495</wp:posOffset>
                  </wp:positionV>
                  <wp:extent cx="6350" cy="11557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82816" behindDoc="1" locked="0" layoutInCell="0" allowOverlap="1" wp14:anchorId="358C6C3A" wp14:editId="6720AEDB">
                  <wp:simplePos x="0" y="0"/>
                  <wp:positionH relativeFrom="column">
                    <wp:posOffset>6627495</wp:posOffset>
                  </wp:positionH>
                  <wp:positionV relativeFrom="paragraph">
                    <wp:posOffset>-404495</wp:posOffset>
                  </wp:positionV>
                  <wp:extent cx="6350" cy="11557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6"/>
                <w:szCs w:val="16"/>
              </w:rPr>
              <w:t>Funkční vzorek modulu membránové filtrace zaměřený na specifickou oblast procesních vod v potravinářském průmyslu. Součástí funkčního vzorku je</w:t>
            </w:r>
          </w:p>
        </w:tc>
      </w:tr>
      <w:tr w:rsidR="008A2775" w:rsidTr="00FA1561">
        <w:trPr>
          <w:gridAfter w:val="1"/>
          <w:wAfter w:w="20" w:type="dxa"/>
          <w:trHeight w:val="300"/>
        </w:trPr>
        <w:tc>
          <w:tcPr>
            <w:tcW w:w="5700" w:type="dxa"/>
            <w:gridSpan w:val="2"/>
            <w:tcBorders>
              <w:top w:val="nil"/>
              <w:left w:val="nil"/>
              <w:bottom w:val="single" w:sz="8" w:space="0" w:color="auto"/>
              <w:right w:val="nil"/>
            </w:tcBorders>
            <w:vAlign w:val="bottom"/>
          </w:tcPr>
          <w:p w:rsidR="008A2775" w:rsidRDefault="008A2775" w:rsidP="00FA1561">
            <w:pPr>
              <w:widowControl w:val="0"/>
              <w:adjustRightInd w:val="0"/>
              <w:ind w:left="100"/>
              <w:rPr>
                <w:rFonts w:ascii="Times New Roman" w:hAnsi="Times New Roman" w:cs="Times New Roman"/>
                <w:sz w:val="24"/>
                <w:szCs w:val="24"/>
              </w:rPr>
            </w:pPr>
            <w:r>
              <w:rPr>
                <w:rFonts w:ascii="Cambria" w:hAnsi="Cambria" w:cs="Cambria"/>
                <w:sz w:val="16"/>
                <w:szCs w:val="16"/>
              </w:rPr>
              <w:t>dokumentace včetně dlouhodobého poloprovozního testu funkčnosti.</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gridAfter w:val="1"/>
          <w:wAfter w:w="20" w:type="dxa"/>
          <w:trHeight w:val="130"/>
        </w:trPr>
        <w:tc>
          <w:tcPr>
            <w:tcW w:w="5700" w:type="dxa"/>
            <w:gridSpan w:val="2"/>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8A2775" w:rsidRDefault="008A2775" w:rsidP="00FA1561">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gridAfter w:val="1"/>
          <w:wAfter w:w="20" w:type="dxa"/>
          <w:trHeight w:val="336"/>
        </w:trPr>
        <w:tc>
          <w:tcPr>
            <w:tcW w:w="570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Gfunk - funkční vzorek</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2018</w:t>
            </w:r>
          </w:p>
        </w:tc>
        <w:tc>
          <w:tcPr>
            <w:tcW w:w="2300" w:type="dxa"/>
            <w:tcBorders>
              <w:top w:val="nil"/>
              <w:left w:val="nil"/>
              <w:bottom w:val="single" w:sz="8" w:space="0" w:color="auto"/>
              <w:right w:val="nil"/>
            </w:tcBorders>
            <w:vAlign w:val="bottom"/>
          </w:tcPr>
          <w:p w:rsidR="008A2775" w:rsidRDefault="008A2775" w:rsidP="00FA1561">
            <w:pPr>
              <w:widowControl w:val="0"/>
              <w:adjustRightInd w:val="0"/>
              <w:ind w:right="1830"/>
              <w:jc w:val="right"/>
              <w:rPr>
                <w:rFonts w:ascii="Times New Roman" w:hAnsi="Times New Roman" w:cs="Times New Roman"/>
                <w:sz w:val="24"/>
                <w:szCs w:val="24"/>
              </w:rPr>
            </w:pPr>
            <w:r>
              <w:rPr>
                <w:rFonts w:ascii="Cambria" w:hAnsi="Cambria" w:cs="Cambria"/>
                <w:sz w:val="16"/>
                <w:szCs w:val="16"/>
              </w:rPr>
              <w:t>2019</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8A2775" w:rsidRDefault="008A2775" w:rsidP="008A2775">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8A2775" w:rsidTr="00FA1561">
        <w:trPr>
          <w:trHeight w:val="28"/>
        </w:trPr>
        <w:tc>
          <w:tcPr>
            <w:tcW w:w="9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93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8A2775" w:rsidTr="00FA1561">
        <w:trPr>
          <w:trHeight w:val="336"/>
        </w:trPr>
        <w:tc>
          <w:tcPr>
            <w:tcW w:w="93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Vývoj čisticího systému</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70"/>
              <w:jc w:val="right"/>
              <w:rPr>
                <w:rFonts w:ascii="Times New Roman" w:hAnsi="Times New Roman" w:cs="Times New Roman"/>
                <w:sz w:val="24"/>
                <w:szCs w:val="24"/>
              </w:rPr>
            </w:pPr>
            <w:r>
              <w:rPr>
                <w:rFonts w:ascii="Cambria" w:hAnsi="Cambria" w:cs="Cambria"/>
                <w:sz w:val="16"/>
                <w:szCs w:val="16"/>
              </w:rPr>
              <w:t>2019</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83840" behindDoc="1" locked="0" layoutInCell="0" allowOverlap="1" wp14:anchorId="6BE0F3D4" wp14:editId="2FF6F7EA">
            <wp:simplePos x="0" y="0"/>
            <wp:positionH relativeFrom="column">
              <wp:posOffset>3175</wp:posOffset>
            </wp:positionH>
            <wp:positionV relativeFrom="paragraph">
              <wp:posOffset>-70485</wp:posOffset>
            </wp:positionV>
            <wp:extent cx="6630035" cy="11557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numPr>
          <w:ilvl w:val="0"/>
          <w:numId w:val="17"/>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Vyhodnocení výsledků vývoje jednotlivých modulů a návrh konstrukce funkčního vzorku čisticího systému.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7"/>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Příprava filtračních membrán v množství potřebném pro vývoj prototypu (množství jednotek až desítek m2 membrán).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7"/>
        </w:numPr>
        <w:tabs>
          <w:tab w:val="clear" w:pos="720"/>
          <w:tab w:val="num" w:pos="241"/>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Příprava a propojení jednotlivých modulů čisticího systému (případně pokračování jejich vývoje). Ověření pomocí poloprovozních testů a vyhodnocení variant konstrukce prototypu. </w:t>
      </w:r>
    </w:p>
    <w:p w:rsidR="008A2775" w:rsidRDefault="008A2775" w:rsidP="008A2775">
      <w:pPr>
        <w:widowControl w:val="0"/>
        <w:adjustRightInd w:val="0"/>
        <w:spacing w:line="1" w:lineRule="exact"/>
        <w:rPr>
          <w:rFonts w:ascii="Cambria" w:hAnsi="Cambria" w:cs="Cambria"/>
          <w:sz w:val="16"/>
          <w:szCs w:val="16"/>
        </w:rPr>
      </w:pPr>
    </w:p>
    <w:p w:rsidR="008A2775" w:rsidRDefault="008A2775" w:rsidP="008A2775">
      <w:pPr>
        <w:widowControl w:val="0"/>
        <w:numPr>
          <w:ilvl w:val="0"/>
          <w:numId w:val="17"/>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Návrh konstrukce a zhotovení funkčního vzorku systému čištění.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620" w:bottom="148" w:left="840" w:header="720" w:footer="720" w:gutter="0"/>
          <w:cols w:space="720" w:equalWidth="0">
            <w:col w:w="10440"/>
          </w:cols>
          <w:noEndnote/>
        </w:sectPr>
      </w:pPr>
      <w:r>
        <w:rPr>
          <w:noProof/>
          <w:lang w:val="cs-CZ"/>
        </w:rPr>
        <w:drawing>
          <wp:anchor distT="0" distB="0" distL="114300" distR="114300" simplePos="0" relativeHeight="251684864" behindDoc="1" locked="0" layoutInCell="0" allowOverlap="1" wp14:anchorId="6729B964" wp14:editId="46BA1F3F">
            <wp:simplePos x="0" y="0"/>
            <wp:positionH relativeFrom="column">
              <wp:posOffset>3175</wp:posOffset>
            </wp:positionH>
            <wp:positionV relativeFrom="paragraph">
              <wp:posOffset>95250</wp:posOffset>
            </wp:positionV>
            <wp:extent cx="6630035" cy="635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86" w:lineRule="exact"/>
        <w:rPr>
          <w:rFonts w:ascii="Times New Roman" w:hAnsi="Times New Roman" w:cs="Times New Roman"/>
          <w:sz w:val="24"/>
          <w:szCs w:val="24"/>
        </w:rPr>
      </w:pPr>
    </w:p>
    <w:p w:rsidR="008A2775" w:rsidRDefault="008A2775" w:rsidP="008A2775">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2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00" w:bottom="148" w:left="860" w:header="720" w:footer="720" w:gutter="0"/>
          <w:cols w:space="720" w:equalWidth="0">
            <w:col w:w="10140"/>
          </w:cols>
          <w:noEndnote/>
        </w:sect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5" w:name="page5"/>
      <w:bookmarkEnd w:id="5"/>
      <w:r>
        <w:rPr>
          <w:noProof/>
          <w:lang w:val="cs-CZ"/>
        </w:rPr>
        <w:lastRenderedPageBreak/>
        <w:drawing>
          <wp:anchor distT="0" distB="0" distL="114300" distR="114300" simplePos="0" relativeHeight="251685888" behindDoc="1" locked="0" layoutInCell="0" allowOverlap="1" wp14:anchorId="6D4D9FA2" wp14:editId="55F1EB55">
            <wp:simplePos x="0" y="0"/>
            <wp:positionH relativeFrom="page">
              <wp:posOffset>539750</wp:posOffset>
            </wp:positionH>
            <wp:positionV relativeFrom="page">
              <wp:posOffset>370205</wp:posOffset>
            </wp:positionV>
            <wp:extent cx="2005330" cy="548640"/>
            <wp:effectExtent l="0" t="0" r="0" b="381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53" w:lineRule="exact"/>
        <w:rPr>
          <w:rFonts w:ascii="Times New Roman" w:hAnsi="Times New Roman" w:cs="Times New Roman"/>
          <w:sz w:val="24"/>
          <w:szCs w:val="24"/>
        </w:rPr>
      </w:pP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8A2775" w:rsidRDefault="008A2775" w:rsidP="008A2775">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8A2775" w:rsidTr="00FA1561">
        <w:trPr>
          <w:trHeight w:val="28"/>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90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TH02030720-2019V001</w:t>
            </w:r>
          </w:p>
        </w:tc>
        <w:tc>
          <w:tcPr>
            <w:tcW w:w="3800" w:type="dxa"/>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single" w:sz="8" w:space="0" w:color="auto"/>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5700" w:type="dxa"/>
            <w:gridSpan w:val="2"/>
            <w:tcBorders>
              <w:top w:val="nil"/>
              <w:left w:val="single" w:sz="8" w:space="0" w:color="auto"/>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5700" w:type="dxa"/>
            <w:gridSpan w:val="2"/>
            <w:tcBorders>
              <w:top w:val="nil"/>
              <w:left w:val="single" w:sz="8" w:space="0" w:color="auto"/>
              <w:bottom w:val="nil"/>
              <w:right w:val="single" w:sz="8" w:space="0" w:color="auto"/>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gridSpan w:val="2"/>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850"/>
              <w:jc w:val="right"/>
              <w:rPr>
                <w:rFonts w:ascii="Times New Roman" w:hAnsi="Times New Roman" w:cs="Times New Roman"/>
                <w:sz w:val="24"/>
                <w:szCs w:val="24"/>
              </w:rPr>
            </w:pPr>
            <w:r>
              <w:rPr>
                <w:rFonts w:ascii="Cambria" w:hAnsi="Cambria" w:cs="Cambria"/>
                <w:sz w:val="16"/>
                <w:szCs w:val="16"/>
              </w:rPr>
              <w:t>2019</w:t>
            </w:r>
          </w:p>
        </w:tc>
      </w:tr>
      <w:tr w:rsidR="008A2775" w:rsidTr="00FA1561">
        <w:trPr>
          <w:trHeight w:val="286"/>
        </w:trPr>
        <w:tc>
          <w:tcPr>
            <w:tcW w:w="5700" w:type="dxa"/>
            <w:gridSpan w:val="2"/>
            <w:tcBorders>
              <w:top w:val="nil"/>
              <w:left w:val="nil"/>
              <w:bottom w:val="nil"/>
              <w:right w:val="nil"/>
            </w:tcBorders>
            <w:vAlign w:val="bottom"/>
          </w:tcPr>
          <w:p w:rsidR="008A2775" w:rsidRDefault="008A2775" w:rsidP="00FA1561">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14"/>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r>
      <w:tr w:rsidR="008A2775" w:rsidTr="00FA1561">
        <w:trPr>
          <w:trHeight w:val="130"/>
        </w:trPr>
        <w:tc>
          <w:tcPr>
            <w:tcW w:w="1900" w:type="dxa"/>
            <w:tcBorders>
              <w:top w:val="nil"/>
              <w:left w:val="nil"/>
              <w:bottom w:val="nil"/>
              <w:right w:val="nil"/>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09"/>
        </w:trPr>
        <w:tc>
          <w:tcPr>
            <w:tcW w:w="5700" w:type="dxa"/>
            <w:gridSpan w:val="2"/>
            <w:tcBorders>
              <w:top w:val="nil"/>
              <w:left w:val="nil"/>
              <w:bottom w:val="nil"/>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TH02030720-2019V002   Modulární systém čištění procesních vod</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bl>
    <w:p w:rsidR="008A2775" w:rsidRDefault="008A2775" w:rsidP="008A2775">
      <w:pPr>
        <w:widowControl w:val="0"/>
        <w:adjustRightInd w:val="0"/>
        <w:ind w:left="40"/>
        <w:rPr>
          <w:rFonts w:ascii="Times New Roman" w:hAnsi="Times New Roman" w:cs="Times New Roman"/>
          <w:sz w:val="24"/>
          <w:szCs w:val="24"/>
        </w:rPr>
      </w:pPr>
      <w:r>
        <w:rPr>
          <w:noProof/>
          <w:lang w:val="cs-CZ"/>
        </w:rPr>
        <w:drawing>
          <wp:anchor distT="0" distB="0" distL="114300" distR="114300" simplePos="0" relativeHeight="251686912" behindDoc="1" locked="0" layoutInCell="0" allowOverlap="1" wp14:anchorId="3CDE01DB" wp14:editId="2BFA1091">
            <wp:simplePos x="0" y="0"/>
            <wp:positionH relativeFrom="column">
              <wp:posOffset>1191260</wp:posOffset>
            </wp:positionH>
            <wp:positionV relativeFrom="paragraph">
              <wp:posOffset>-288290</wp:posOffset>
            </wp:positionV>
            <wp:extent cx="3175" cy="112395"/>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87936" behindDoc="1" locked="0" layoutInCell="0" allowOverlap="1" wp14:anchorId="335A54A2" wp14:editId="2B6D890B">
            <wp:simplePos x="0" y="0"/>
            <wp:positionH relativeFrom="column">
              <wp:posOffset>3175</wp:posOffset>
            </wp:positionH>
            <wp:positionV relativeFrom="paragraph">
              <wp:posOffset>-291465</wp:posOffset>
            </wp:positionV>
            <wp:extent cx="6350" cy="115570"/>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88960" behindDoc="1" locked="0" layoutInCell="0" allowOverlap="1" wp14:anchorId="242F3BB2" wp14:editId="4311E731">
            <wp:simplePos x="0" y="0"/>
            <wp:positionH relativeFrom="column">
              <wp:posOffset>6627495</wp:posOffset>
            </wp:positionH>
            <wp:positionV relativeFrom="paragraph">
              <wp:posOffset>-291465</wp:posOffset>
            </wp:positionV>
            <wp:extent cx="6350" cy="11557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89984" behindDoc="1" locked="0" layoutInCell="0" allowOverlap="1" wp14:anchorId="20DF203D" wp14:editId="2AE48B0B">
            <wp:simplePos x="0" y="0"/>
            <wp:positionH relativeFrom="column">
              <wp:posOffset>3175</wp:posOffset>
            </wp:positionH>
            <wp:positionV relativeFrom="paragraph">
              <wp:posOffset>-70485</wp:posOffset>
            </wp:positionV>
            <wp:extent cx="1191260" cy="6350"/>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80"/>
        <w:rPr>
          <w:rFonts w:ascii="Times New Roman" w:hAnsi="Times New Roman" w:cs="Times New Roman"/>
          <w:sz w:val="24"/>
          <w:szCs w:val="24"/>
        </w:rPr>
      </w:pPr>
      <w:r>
        <w:rPr>
          <w:rFonts w:ascii="Cambria" w:hAnsi="Cambria" w:cs="Cambria"/>
          <w:sz w:val="16"/>
          <w:szCs w:val="16"/>
        </w:rPr>
        <w:t>Funkční vzorek modulárního systému pro čištění procesních vod v potravinářském průmyslu včetně dokumentace.</w:t>
      </w:r>
    </w:p>
    <w:p w:rsidR="008A2775" w:rsidRDefault="008A2775" w:rsidP="008A2775">
      <w:pPr>
        <w:widowControl w:val="0"/>
        <w:adjustRightInd w:val="0"/>
        <w:spacing w:line="12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00"/>
      </w:tblGrid>
      <w:tr w:rsidR="008A2775" w:rsidTr="00FA1561">
        <w:trPr>
          <w:trHeight w:val="28"/>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5700" w:type="dxa"/>
            <w:gridSpan w:val="2"/>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8A2775" w:rsidRDefault="008A2775" w:rsidP="00FA1561">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1900" w:type="dxa"/>
            <w:tcBorders>
              <w:top w:val="nil"/>
              <w:left w:val="nil"/>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Gfunk - funkční vzorek</w:t>
            </w:r>
          </w:p>
        </w:tc>
        <w:tc>
          <w:tcPr>
            <w:tcW w:w="38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00" w:type="dxa"/>
            <w:tcBorders>
              <w:top w:val="nil"/>
              <w:left w:val="nil"/>
              <w:bottom w:val="single" w:sz="8" w:space="0" w:color="auto"/>
              <w:right w:val="nil"/>
            </w:tcBorders>
            <w:vAlign w:val="bottom"/>
          </w:tcPr>
          <w:p w:rsidR="008A2775" w:rsidRDefault="008A2775" w:rsidP="00FA1561">
            <w:pPr>
              <w:widowControl w:val="0"/>
              <w:adjustRightInd w:val="0"/>
              <w:ind w:right="1830"/>
              <w:jc w:val="right"/>
              <w:rPr>
                <w:rFonts w:ascii="Times New Roman" w:hAnsi="Times New Roman" w:cs="Times New Roman"/>
                <w:sz w:val="24"/>
                <w:szCs w:val="24"/>
              </w:rPr>
            </w:pPr>
            <w:r>
              <w:rPr>
                <w:rFonts w:ascii="Cambria" w:hAnsi="Cambria" w:cs="Cambria"/>
                <w:sz w:val="16"/>
                <w:szCs w:val="16"/>
              </w:rPr>
              <w:t>2020</w:t>
            </w:r>
          </w:p>
        </w:tc>
      </w:tr>
      <w:tr w:rsidR="008A2775" w:rsidTr="00FA1561">
        <w:trPr>
          <w:trHeight w:val="286"/>
        </w:trPr>
        <w:tc>
          <w:tcPr>
            <w:tcW w:w="5700" w:type="dxa"/>
            <w:gridSpan w:val="2"/>
            <w:tcBorders>
              <w:top w:val="nil"/>
              <w:left w:val="nil"/>
              <w:bottom w:val="nil"/>
              <w:right w:val="nil"/>
            </w:tcBorders>
            <w:vAlign w:val="bottom"/>
          </w:tcPr>
          <w:p w:rsidR="008A2775" w:rsidRDefault="008A2775" w:rsidP="00FA1561">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14"/>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r>
      <w:tr w:rsidR="008A2775" w:rsidTr="00FA1561">
        <w:trPr>
          <w:trHeight w:val="130"/>
        </w:trPr>
        <w:tc>
          <w:tcPr>
            <w:tcW w:w="190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TH02030720-2019V003</w:t>
            </w:r>
          </w:p>
        </w:tc>
        <w:tc>
          <w:tcPr>
            <w:tcW w:w="6240" w:type="dxa"/>
            <w:gridSpan w:val="2"/>
            <w:tcBorders>
              <w:top w:val="nil"/>
              <w:left w:val="nil"/>
              <w:bottom w:val="single" w:sz="8" w:space="0" w:color="auto"/>
              <w:right w:val="nil"/>
            </w:tcBorders>
            <w:vAlign w:val="bottom"/>
          </w:tcPr>
          <w:p w:rsidR="008A2775" w:rsidRDefault="008A2775" w:rsidP="00FA1561">
            <w:pPr>
              <w:widowControl w:val="0"/>
              <w:adjustRightInd w:val="0"/>
              <w:ind w:right="130"/>
              <w:jc w:val="right"/>
              <w:rPr>
                <w:rFonts w:ascii="Times New Roman" w:hAnsi="Times New Roman" w:cs="Times New Roman"/>
                <w:sz w:val="24"/>
                <w:szCs w:val="24"/>
              </w:rPr>
            </w:pPr>
            <w:r>
              <w:rPr>
                <w:rFonts w:ascii="Cambria" w:hAnsi="Cambria" w:cs="Cambria"/>
                <w:sz w:val="16"/>
                <w:szCs w:val="16"/>
              </w:rPr>
              <w:t>Ochrana duševního vlastnictví v oblasti systému membránového čištění procesních vod.</w:t>
            </w: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nil"/>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229"/>
        </w:trPr>
        <w:tc>
          <w:tcPr>
            <w:tcW w:w="10440" w:type="dxa"/>
            <w:gridSpan w:val="4"/>
            <w:tcBorders>
              <w:top w:val="nil"/>
              <w:left w:val="nil"/>
              <w:bottom w:val="nil"/>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noProof/>
                <w:lang w:val="cs-CZ"/>
              </w:rPr>
              <w:drawing>
                <wp:anchor distT="0" distB="0" distL="114300" distR="114300" simplePos="0" relativeHeight="251691008" behindDoc="1" locked="0" layoutInCell="0" allowOverlap="1" wp14:anchorId="1CB6F865" wp14:editId="3263F48A">
                  <wp:simplePos x="0" y="0"/>
                  <wp:positionH relativeFrom="column">
                    <wp:posOffset>3175</wp:posOffset>
                  </wp:positionH>
                  <wp:positionV relativeFrom="paragraph">
                    <wp:posOffset>-404495</wp:posOffset>
                  </wp:positionV>
                  <wp:extent cx="6350" cy="115570"/>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92032" behindDoc="1" locked="0" layoutInCell="0" allowOverlap="1" wp14:anchorId="3FA90E4D" wp14:editId="53967457">
                  <wp:simplePos x="0" y="0"/>
                  <wp:positionH relativeFrom="column">
                    <wp:posOffset>6627495</wp:posOffset>
                  </wp:positionH>
                  <wp:positionV relativeFrom="paragraph">
                    <wp:posOffset>-404495</wp:posOffset>
                  </wp:positionV>
                  <wp:extent cx="6350" cy="11557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w w:val="99"/>
                <w:sz w:val="16"/>
                <w:szCs w:val="16"/>
              </w:rPr>
              <w:t>Užitný vzor zaměřený na podstatnou část modulárního systému membránového čištění procesních vod. Přesné zadání užitného vzoru vyplyne z detailní</w:t>
            </w:r>
          </w:p>
        </w:tc>
      </w:tr>
      <w:tr w:rsidR="008A2775" w:rsidTr="00FA1561">
        <w:trPr>
          <w:trHeight w:val="300"/>
        </w:trPr>
        <w:tc>
          <w:tcPr>
            <w:tcW w:w="5700" w:type="dxa"/>
            <w:gridSpan w:val="2"/>
            <w:tcBorders>
              <w:top w:val="nil"/>
              <w:left w:val="nil"/>
              <w:bottom w:val="single" w:sz="8" w:space="0" w:color="auto"/>
              <w:right w:val="nil"/>
            </w:tcBorders>
            <w:vAlign w:val="bottom"/>
          </w:tcPr>
          <w:p w:rsidR="008A2775" w:rsidRDefault="008A2775" w:rsidP="00FA1561">
            <w:pPr>
              <w:widowControl w:val="0"/>
              <w:adjustRightInd w:val="0"/>
              <w:ind w:left="100"/>
              <w:rPr>
                <w:rFonts w:ascii="Times New Roman" w:hAnsi="Times New Roman" w:cs="Times New Roman"/>
                <w:sz w:val="24"/>
                <w:szCs w:val="24"/>
              </w:rPr>
            </w:pPr>
            <w:r>
              <w:rPr>
                <w:rFonts w:ascii="Cambria" w:hAnsi="Cambria" w:cs="Cambria"/>
                <w:sz w:val="16"/>
                <w:szCs w:val="16"/>
              </w:rPr>
              <w:t>a aktuální patentové rešerše.</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0"/>
        </w:trPr>
        <w:tc>
          <w:tcPr>
            <w:tcW w:w="5700" w:type="dxa"/>
            <w:gridSpan w:val="2"/>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8A2775" w:rsidRDefault="008A2775" w:rsidP="00FA1561">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Fuzit - užitný vzor</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2019</w:t>
            </w:r>
          </w:p>
        </w:tc>
        <w:tc>
          <w:tcPr>
            <w:tcW w:w="2300" w:type="dxa"/>
            <w:tcBorders>
              <w:top w:val="nil"/>
              <w:left w:val="nil"/>
              <w:bottom w:val="single" w:sz="8" w:space="0" w:color="auto"/>
              <w:right w:val="nil"/>
            </w:tcBorders>
            <w:vAlign w:val="bottom"/>
          </w:tcPr>
          <w:p w:rsidR="008A2775" w:rsidRDefault="008A2775" w:rsidP="00FA1561">
            <w:pPr>
              <w:widowControl w:val="0"/>
              <w:adjustRightInd w:val="0"/>
              <w:ind w:right="1830"/>
              <w:jc w:val="right"/>
              <w:rPr>
                <w:rFonts w:ascii="Times New Roman" w:hAnsi="Times New Roman" w:cs="Times New Roman"/>
                <w:sz w:val="24"/>
                <w:szCs w:val="24"/>
              </w:rPr>
            </w:pPr>
            <w:r>
              <w:rPr>
                <w:rFonts w:ascii="Cambria" w:hAnsi="Cambria" w:cs="Cambria"/>
                <w:sz w:val="16"/>
                <w:szCs w:val="16"/>
              </w:rPr>
              <w:t>2020</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Název období a rok</w:t>
      </w:r>
    </w:p>
    <w:p w:rsidR="008A2775" w:rsidRDefault="008A2775" w:rsidP="008A2775">
      <w:pPr>
        <w:widowControl w:val="0"/>
        <w:adjustRightInd w:val="0"/>
        <w:spacing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8A2775" w:rsidTr="00FA1561">
        <w:trPr>
          <w:trHeight w:val="28"/>
        </w:trPr>
        <w:tc>
          <w:tcPr>
            <w:tcW w:w="9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93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8A2775" w:rsidTr="00FA1561">
        <w:trPr>
          <w:trHeight w:val="336"/>
        </w:trPr>
        <w:tc>
          <w:tcPr>
            <w:tcW w:w="93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Realizace prototypu a vyhodnocení výsledků</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70"/>
              <w:jc w:val="right"/>
              <w:rPr>
                <w:rFonts w:ascii="Times New Roman" w:hAnsi="Times New Roman" w:cs="Times New Roman"/>
                <w:sz w:val="24"/>
                <w:szCs w:val="24"/>
              </w:rPr>
            </w:pPr>
            <w:r>
              <w:rPr>
                <w:rFonts w:ascii="Cambria" w:hAnsi="Cambria" w:cs="Cambria"/>
                <w:sz w:val="16"/>
                <w:szCs w:val="16"/>
              </w:rPr>
              <w:t>2020</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Činnosti a výstupy/výsledky daného období</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Dílčí činnosti daného období</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93056" behindDoc="1" locked="0" layoutInCell="0" allowOverlap="1" wp14:anchorId="4DFA1BAD" wp14:editId="0F048F2C">
            <wp:simplePos x="0" y="0"/>
            <wp:positionH relativeFrom="column">
              <wp:posOffset>3175</wp:posOffset>
            </wp:positionH>
            <wp:positionV relativeFrom="paragraph">
              <wp:posOffset>-70485</wp:posOffset>
            </wp:positionV>
            <wp:extent cx="6630035" cy="115570"/>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numPr>
          <w:ilvl w:val="0"/>
          <w:numId w:val="18"/>
        </w:numPr>
        <w:tabs>
          <w:tab w:val="clear" w:pos="720"/>
          <w:tab w:val="num" w:pos="261"/>
        </w:tabs>
        <w:overflowPunct w:val="0"/>
        <w:adjustRightInd w:val="0"/>
        <w:spacing w:line="245" w:lineRule="auto"/>
        <w:ind w:left="100" w:right="60" w:hanging="28"/>
        <w:jc w:val="both"/>
        <w:rPr>
          <w:rFonts w:ascii="Cambria" w:hAnsi="Cambria" w:cs="Cambria"/>
          <w:sz w:val="16"/>
          <w:szCs w:val="16"/>
        </w:rPr>
      </w:pPr>
      <w:r>
        <w:rPr>
          <w:rFonts w:ascii="Cambria" w:hAnsi="Cambria" w:cs="Cambria"/>
          <w:sz w:val="16"/>
          <w:szCs w:val="16"/>
        </w:rPr>
        <w:t xml:space="preserve">Realizace dlouhodobých provozních testů funkčního vzorku v reálných podmínkách a návrh konstrukce prototypu s ohledem na optimalizaci jeho výroby. </w:t>
      </w:r>
    </w:p>
    <w:p w:rsidR="008A2775" w:rsidRDefault="008A2775" w:rsidP="008A2775">
      <w:pPr>
        <w:widowControl w:val="0"/>
        <w:adjustRightInd w:val="0"/>
        <w:spacing w:line="1" w:lineRule="exact"/>
        <w:rPr>
          <w:rFonts w:ascii="Cambria" w:hAnsi="Cambria" w:cs="Cambria"/>
          <w:sz w:val="16"/>
          <w:szCs w:val="16"/>
        </w:rPr>
      </w:pPr>
    </w:p>
    <w:p w:rsidR="008A2775" w:rsidRDefault="008A2775" w:rsidP="008A2775">
      <w:pPr>
        <w:widowControl w:val="0"/>
        <w:numPr>
          <w:ilvl w:val="0"/>
          <w:numId w:val="18"/>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Realizace prototypu systému čištění procesních vod a jeho finální provozní testy. </w:t>
      </w:r>
    </w:p>
    <w:p w:rsidR="008A2775" w:rsidRDefault="008A2775" w:rsidP="008A2775">
      <w:pPr>
        <w:widowControl w:val="0"/>
        <w:adjustRightInd w:val="0"/>
        <w:spacing w:line="4" w:lineRule="exact"/>
        <w:rPr>
          <w:rFonts w:ascii="Cambria" w:hAnsi="Cambria" w:cs="Cambria"/>
          <w:sz w:val="16"/>
          <w:szCs w:val="16"/>
        </w:rPr>
      </w:pPr>
    </w:p>
    <w:p w:rsidR="008A2775" w:rsidRDefault="008A2775" w:rsidP="008A2775">
      <w:pPr>
        <w:widowControl w:val="0"/>
        <w:numPr>
          <w:ilvl w:val="0"/>
          <w:numId w:val="18"/>
        </w:numPr>
        <w:tabs>
          <w:tab w:val="clear" w:pos="720"/>
          <w:tab w:val="num" w:pos="260"/>
        </w:tabs>
        <w:overflowPunct w:val="0"/>
        <w:adjustRightInd w:val="0"/>
        <w:ind w:left="260" w:hanging="188"/>
        <w:jc w:val="both"/>
        <w:rPr>
          <w:rFonts w:ascii="Cambria" w:hAnsi="Cambria" w:cs="Cambria"/>
          <w:sz w:val="16"/>
          <w:szCs w:val="16"/>
        </w:rPr>
      </w:pPr>
      <w:r>
        <w:rPr>
          <w:rFonts w:ascii="Cambria" w:hAnsi="Cambria" w:cs="Cambria"/>
          <w:sz w:val="16"/>
          <w:szCs w:val="16"/>
        </w:rPr>
        <w:t xml:space="preserve">Vyhodnocení výsledků a vyhotovení dokumentace. </w:t>
      </w:r>
    </w:p>
    <w:p w:rsidR="008A2775" w:rsidRDefault="008A2775" w:rsidP="008A2775">
      <w:pPr>
        <w:widowControl w:val="0"/>
        <w:adjustRightInd w:val="0"/>
        <w:spacing w:line="241" w:lineRule="exact"/>
        <w:rPr>
          <w:rFonts w:ascii="Times New Roman" w:hAnsi="Times New Roman" w:cs="Times New Roman"/>
          <w:sz w:val="24"/>
          <w:szCs w:val="24"/>
        </w:rPr>
      </w:pPr>
      <w:r>
        <w:rPr>
          <w:noProof/>
          <w:lang w:val="cs-CZ"/>
        </w:rPr>
        <w:drawing>
          <wp:anchor distT="0" distB="0" distL="114300" distR="114300" simplePos="0" relativeHeight="251694080" behindDoc="1" locked="0" layoutInCell="0" allowOverlap="1" wp14:anchorId="0B47B921" wp14:editId="5995D8F7">
            <wp:simplePos x="0" y="0"/>
            <wp:positionH relativeFrom="column">
              <wp:posOffset>3175</wp:posOffset>
            </wp:positionH>
            <wp:positionV relativeFrom="paragraph">
              <wp:posOffset>95250</wp:posOffset>
            </wp:positionV>
            <wp:extent cx="6630035" cy="635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p w:rsidR="008A2775" w:rsidRDefault="008A2775" w:rsidP="008A2775">
      <w:pPr>
        <w:widowControl w:val="0"/>
        <w:adjustRightInd w:val="0"/>
        <w:spacing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8A2775" w:rsidTr="00FA1561">
        <w:trPr>
          <w:trHeight w:val="28"/>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90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90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TH02030720-2020V001</w:t>
            </w:r>
          </w:p>
        </w:tc>
        <w:tc>
          <w:tcPr>
            <w:tcW w:w="3800" w:type="dxa"/>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900" w:type="dxa"/>
            <w:tcBorders>
              <w:top w:val="nil"/>
              <w:left w:val="single" w:sz="8" w:space="0" w:color="auto"/>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5700" w:type="dxa"/>
            <w:gridSpan w:val="2"/>
            <w:tcBorders>
              <w:top w:val="nil"/>
              <w:left w:val="single" w:sz="8" w:space="0" w:color="auto"/>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5700" w:type="dxa"/>
            <w:gridSpan w:val="2"/>
            <w:tcBorders>
              <w:top w:val="nil"/>
              <w:left w:val="single" w:sz="8" w:space="0" w:color="auto"/>
              <w:bottom w:val="nil"/>
              <w:right w:val="single" w:sz="8" w:space="0" w:color="auto"/>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gridSpan w:val="2"/>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2020</w:t>
            </w:r>
          </w:p>
        </w:tc>
        <w:tc>
          <w:tcPr>
            <w:tcW w:w="232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850"/>
              <w:jc w:val="right"/>
              <w:rPr>
                <w:rFonts w:ascii="Times New Roman" w:hAnsi="Times New Roman" w:cs="Times New Roman"/>
                <w:sz w:val="24"/>
                <w:szCs w:val="24"/>
              </w:rPr>
            </w:pPr>
            <w:r>
              <w:rPr>
                <w:rFonts w:ascii="Cambria" w:hAnsi="Cambria" w:cs="Cambria"/>
                <w:sz w:val="16"/>
                <w:szCs w:val="16"/>
              </w:rPr>
              <w:t>2020</w:t>
            </w:r>
          </w:p>
        </w:tc>
      </w:tr>
      <w:tr w:rsidR="008A2775" w:rsidTr="00FA1561">
        <w:trPr>
          <w:trHeight w:val="286"/>
        </w:trPr>
        <w:tc>
          <w:tcPr>
            <w:tcW w:w="5700" w:type="dxa"/>
            <w:gridSpan w:val="2"/>
            <w:tcBorders>
              <w:top w:val="nil"/>
              <w:left w:val="nil"/>
              <w:bottom w:val="nil"/>
              <w:right w:val="nil"/>
            </w:tcBorders>
            <w:vAlign w:val="bottom"/>
          </w:tcPr>
          <w:p w:rsidR="008A2775" w:rsidRDefault="008A2775" w:rsidP="00FA1561">
            <w:pPr>
              <w:widowControl w:val="0"/>
              <w:adjustRightInd w:val="0"/>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14"/>
        </w:trPr>
        <w:tc>
          <w:tcPr>
            <w:tcW w:w="1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r>
      <w:tr w:rsidR="008A2775" w:rsidTr="00FA1561">
        <w:trPr>
          <w:trHeight w:val="130"/>
        </w:trPr>
        <w:tc>
          <w:tcPr>
            <w:tcW w:w="1900" w:type="dxa"/>
            <w:tcBorders>
              <w:top w:val="nil"/>
              <w:left w:val="nil"/>
              <w:bottom w:val="nil"/>
              <w:right w:val="nil"/>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3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09"/>
        </w:trPr>
        <w:tc>
          <w:tcPr>
            <w:tcW w:w="5700" w:type="dxa"/>
            <w:gridSpan w:val="2"/>
            <w:tcBorders>
              <w:top w:val="nil"/>
              <w:left w:val="nil"/>
              <w:bottom w:val="nil"/>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TH02030720-2020V002   Modulární systém čištění procesních vod</w:t>
            </w:r>
          </w:p>
        </w:tc>
        <w:tc>
          <w:tcPr>
            <w:tcW w:w="2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3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r>
    </w:tbl>
    <w:p w:rsidR="008A2775" w:rsidRDefault="008A2775" w:rsidP="008A2775">
      <w:pPr>
        <w:widowControl w:val="0"/>
        <w:adjustRightInd w:val="0"/>
        <w:ind w:left="40"/>
        <w:rPr>
          <w:rFonts w:ascii="Times New Roman" w:hAnsi="Times New Roman" w:cs="Times New Roman"/>
          <w:sz w:val="24"/>
          <w:szCs w:val="24"/>
        </w:rPr>
      </w:pPr>
      <w:r>
        <w:rPr>
          <w:noProof/>
          <w:lang w:val="cs-CZ"/>
        </w:rPr>
        <w:drawing>
          <wp:anchor distT="0" distB="0" distL="114300" distR="114300" simplePos="0" relativeHeight="251695104" behindDoc="1" locked="0" layoutInCell="0" allowOverlap="1" wp14:anchorId="7B935937" wp14:editId="5ED2926F">
            <wp:simplePos x="0" y="0"/>
            <wp:positionH relativeFrom="column">
              <wp:posOffset>1191260</wp:posOffset>
            </wp:positionH>
            <wp:positionV relativeFrom="paragraph">
              <wp:posOffset>-288290</wp:posOffset>
            </wp:positionV>
            <wp:extent cx="3175" cy="11239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96128" behindDoc="1" locked="0" layoutInCell="0" allowOverlap="1" wp14:anchorId="4F48851D" wp14:editId="2C278CBE">
            <wp:simplePos x="0" y="0"/>
            <wp:positionH relativeFrom="column">
              <wp:posOffset>3175</wp:posOffset>
            </wp:positionH>
            <wp:positionV relativeFrom="paragraph">
              <wp:posOffset>-291465</wp:posOffset>
            </wp:positionV>
            <wp:extent cx="6350" cy="115570"/>
            <wp:effectExtent l="0" t="0" r="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97152" behindDoc="1" locked="0" layoutInCell="0" allowOverlap="1" wp14:anchorId="044F1B63" wp14:editId="69DA4794">
            <wp:simplePos x="0" y="0"/>
            <wp:positionH relativeFrom="column">
              <wp:posOffset>6627495</wp:posOffset>
            </wp:positionH>
            <wp:positionV relativeFrom="paragraph">
              <wp:posOffset>-291465</wp:posOffset>
            </wp:positionV>
            <wp:extent cx="6350" cy="11557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2"/>
          <w:szCs w:val="12"/>
        </w:rPr>
        <w:t>Popis výstupu/výsledku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98176" behindDoc="1" locked="0" layoutInCell="0" allowOverlap="1" wp14:anchorId="75F8F5D1" wp14:editId="6AFB5932">
            <wp:simplePos x="0" y="0"/>
            <wp:positionH relativeFrom="column">
              <wp:posOffset>3175</wp:posOffset>
            </wp:positionH>
            <wp:positionV relativeFrom="paragraph">
              <wp:posOffset>-70485</wp:posOffset>
            </wp:positionV>
            <wp:extent cx="1191260" cy="6350"/>
            <wp:effectExtent l="0" t="0" r="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80"/>
        <w:rPr>
          <w:rFonts w:ascii="Times New Roman" w:hAnsi="Times New Roman" w:cs="Times New Roman"/>
          <w:sz w:val="24"/>
          <w:szCs w:val="24"/>
        </w:rPr>
      </w:pPr>
      <w:r>
        <w:rPr>
          <w:rFonts w:ascii="Cambria" w:hAnsi="Cambria" w:cs="Cambria"/>
          <w:sz w:val="16"/>
          <w:szCs w:val="16"/>
        </w:rPr>
        <w:t>Prototyp modulárního systému čištění procesních vod v oblasti potravinářského průmyslu včetně dokumentace provozních testů.</w:t>
      </w:r>
    </w:p>
    <w:p w:rsidR="008A2775" w:rsidRDefault="008A2775" w:rsidP="008A2775">
      <w:pPr>
        <w:widowControl w:val="0"/>
        <w:adjustRightInd w:val="0"/>
        <w:spacing w:line="12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00"/>
        <w:gridCol w:w="2440"/>
        <w:gridCol w:w="2300"/>
      </w:tblGrid>
      <w:tr w:rsidR="008A2775" w:rsidTr="00FA1561">
        <w:trPr>
          <w:trHeight w:val="28"/>
        </w:trPr>
        <w:tc>
          <w:tcPr>
            <w:tcW w:w="57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570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8A2775" w:rsidRDefault="008A2775" w:rsidP="00FA1561">
            <w:pPr>
              <w:widowControl w:val="0"/>
              <w:adjustRightInd w:val="0"/>
              <w:spacing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8A2775" w:rsidTr="00FA1561">
        <w:trPr>
          <w:trHeight w:val="336"/>
        </w:trPr>
        <w:tc>
          <w:tcPr>
            <w:tcW w:w="57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Gprot - prototyp</w:t>
            </w:r>
          </w:p>
        </w:tc>
        <w:tc>
          <w:tcPr>
            <w:tcW w:w="244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1970"/>
              <w:jc w:val="right"/>
              <w:rPr>
                <w:rFonts w:ascii="Times New Roman" w:hAnsi="Times New Roman" w:cs="Times New Roman"/>
                <w:sz w:val="24"/>
                <w:szCs w:val="24"/>
              </w:rPr>
            </w:pPr>
            <w:r>
              <w:rPr>
                <w:rFonts w:ascii="Cambria" w:hAnsi="Cambria" w:cs="Cambria"/>
                <w:sz w:val="16"/>
                <w:szCs w:val="16"/>
              </w:rPr>
              <w:t>2020</w:t>
            </w:r>
          </w:p>
        </w:tc>
        <w:tc>
          <w:tcPr>
            <w:tcW w:w="2300" w:type="dxa"/>
            <w:tcBorders>
              <w:top w:val="nil"/>
              <w:left w:val="nil"/>
              <w:bottom w:val="single" w:sz="8" w:space="0" w:color="auto"/>
              <w:right w:val="nil"/>
            </w:tcBorders>
            <w:vAlign w:val="bottom"/>
          </w:tcPr>
          <w:p w:rsidR="008A2775" w:rsidRDefault="008A2775" w:rsidP="00FA1561">
            <w:pPr>
              <w:widowControl w:val="0"/>
              <w:adjustRightInd w:val="0"/>
              <w:ind w:right="1830"/>
              <w:jc w:val="right"/>
              <w:rPr>
                <w:rFonts w:ascii="Times New Roman" w:hAnsi="Times New Roman" w:cs="Times New Roman"/>
                <w:sz w:val="24"/>
                <w:szCs w:val="24"/>
              </w:rPr>
            </w:pPr>
            <w:r>
              <w:rPr>
                <w:rFonts w:ascii="Cambria" w:hAnsi="Cambria" w:cs="Cambria"/>
                <w:sz w:val="16"/>
                <w:szCs w:val="16"/>
              </w:rPr>
              <w:t>2021</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7) Rozdělení práv k výsledkům projektu</w:t>
      </w:r>
    </w:p>
    <w:p w:rsidR="008A2775" w:rsidRDefault="008A2775" w:rsidP="008A2775">
      <w:pPr>
        <w:widowControl w:val="0"/>
        <w:adjustRightInd w:val="0"/>
        <w:spacing w:line="119"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Rozdělení práv k výsledkům projektu</w:t>
      </w:r>
    </w:p>
    <w:p w:rsidR="008A2775" w:rsidRDefault="008A2775" w:rsidP="008A2775">
      <w:pPr>
        <w:widowControl w:val="0"/>
        <w:adjustRightInd w:val="0"/>
        <w:spacing w:line="38" w:lineRule="exact"/>
        <w:rPr>
          <w:rFonts w:ascii="Times New Roman" w:hAnsi="Times New Roman" w:cs="Times New Roman"/>
          <w:sz w:val="24"/>
          <w:szCs w:val="24"/>
        </w:rPr>
      </w:pPr>
      <w:r>
        <w:rPr>
          <w:noProof/>
          <w:lang w:val="cs-CZ"/>
        </w:rPr>
        <w:drawing>
          <wp:anchor distT="0" distB="0" distL="114300" distR="114300" simplePos="0" relativeHeight="251699200" behindDoc="1" locked="0" layoutInCell="0" allowOverlap="1" wp14:anchorId="4A08258E" wp14:editId="3595926D">
            <wp:simplePos x="0" y="0"/>
            <wp:positionH relativeFrom="column">
              <wp:posOffset>3175</wp:posOffset>
            </wp:positionH>
            <wp:positionV relativeFrom="paragraph">
              <wp:posOffset>-70485</wp:posOffset>
            </wp:positionV>
            <wp:extent cx="6630035" cy="115570"/>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overflowPunct w:val="0"/>
        <w:adjustRightInd w:val="0"/>
        <w:spacing w:line="245" w:lineRule="auto"/>
        <w:ind w:left="100" w:right="40" w:hanging="35"/>
        <w:jc w:val="both"/>
        <w:rPr>
          <w:rFonts w:ascii="Times New Roman" w:hAnsi="Times New Roman" w:cs="Times New Roman"/>
          <w:sz w:val="24"/>
          <w:szCs w:val="24"/>
        </w:rPr>
      </w:pPr>
      <w:r>
        <w:rPr>
          <w:rFonts w:ascii="Cambria" w:hAnsi="Cambria" w:cs="Cambria"/>
          <w:sz w:val="16"/>
          <w:szCs w:val="16"/>
        </w:rPr>
        <w:t>Vlastníkem majetku pořízeného z projektu je příjemce nebo další účastník, který si uvedený majetek pořídil nebo jej vytvořil. Došlo-li k vytvoření/pořízení majetku společným působením příjemce a dalšího účastníka, je takový majetek v jejich podílovém spoluvlastnictví, a to podle míry, v jaké se na jeho vytvoření/pořízení podíleli. Pro využití a poskytování výsledků projektu platí, že</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adjustRightInd w:val="0"/>
        <w:ind w:left="80"/>
        <w:rPr>
          <w:rFonts w:ascii="Times New Roman" w:hAnsi="Times New Roman" w:cs="Times New Roman"/>
          <w:sz w:val="24"/>
          <w:szCs w:val="24"/>
        </w:rPr>
      </w:pPr>
      <w:r>
        <w:rPr>
          <w:rFonts w:ascii="Cambria" w:hAnsi="Cambria" w:cs="Cambria"/>
          <w:sz w:val="16"/>
          <w:szCs w:val="16"/>
        </w:rPr>
        <w:t>• podrobnosti využití výsledků projektu budou stanoveny v implementačním plánu a ve smlouvě o využití výsledků.</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27" w:lineRule="exact"/>
        <w:rPr>
          <w:rFonts w:ascii="Times New Roman" w:hAnsi="Times New Roman" w:cs="Times New Roman"/>
          <w:sz w:val="24"/>
          <w:szCs w:val="24"/>
        </w:rPr>
      </w:pPr>
    </w:p>
    <w:p w:rsidR="008A2775" w:rsidRDefault="008A2775" w:rsidP="008A2775">
      <w:pPr>
        <w:widowControl w:val="0"/>
        <w:tabs>
          <w:tab w:val="left" w:pos="9260"/>
        </w:tabs>
        <w:adjustRightInd w:val="0"/>
        <w:ind w:left="2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3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ind w:left="2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ind w:left="2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620" w:bottom="148" w:left="840" w:header="720" w:footer="720" w:gutter="0"/>
          <w:cols w:space="720" w:equalWidth="0">
            <w:col w:w="10440"/>
          </w:cols>
          <w:noEndnote/>
        </w:sect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6" w:name="page7"/>
      <w:bookmarkEnd w:id="6"/>
      <w:r>
        <w:rPr>
          <w:noProof/>
          <w:lang w:val="cs-CZ"/>
        </w:rPr>
        <w:lastRenderedPageBreak/>
        <w:drawing>
          <wp:anchor distT="0" distB="0" distL="114300" distR="114300" simplePos="0" relativeHeight="251700224" behindDoc="1" locked="0" layoutInCell="0" allowOverlap="1" wp14:anchorId="461F3145" wp14:editId="35B1FD75">
            <wp:simplePos x="0" y="0"/>
            <wp:positionH relativeFrom="page">
              <wp:posOffset>539750</wp:posOffset>
            </wp:positionH>
            <wp:positionV relativeFrom="page">
              <wp:posOffset>370205</wp:posOffset>
            </wp:positionV>
            <wp:extent cx="2005330" cy="548640"/>
            <wp:effectExtent l="0" t="0" r="0" b="381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28" w:lineRule="exact"/>
        <w:rPr>
          <w:rFonts w:ascii="Times New Roman" w:hAnsi="Times New Roman" w:cs="Times New Roman"/>
          <w:sz w:val="24"/>
          <w:szCs w:val="24"/>
        </w:rPr>
      </w:pPr>
    </w:p>
    <w:p w:rsidR="008A2775" w:rsidRDefault="008A2775" w:rsidP="008A2775">
      <w:pPr>
        <w:widowControl w:val="0"/>
        <w:adjustRightInd w:val="0"/>
        <w:ind w:left="40"/>
        <w:rPr>
          <w:rFonts w:ascii="Times New Roman" w:hAnsi="Times New Roman" w:cs="Times New Roman"/>
          <w:sz w:val="24"/>
          <w:szCs w:val="24"/>
        </w:rPr>
      </w:pPr>
      <w:r>
        <w:rPr>
          <w:rFonts w:ascii="Cambria" w:hAnsi="Cambria" w:cs="Cambria"/>
          <w:sz w:val="12"/>
          <w:szCs w:val="12"/>
        </w:rPr>
        <w:t>Rozdělení práv k výsledkům projektu</w:t>
      </w:r>
    </w:p>
    <w:p w:rsidR="008A2775" w:rsidRDefault="008A2775" w:rsidP="008A2775">
      <w:pPr>
        <w:widowControl w:val="0"/>
        <w:overflowPunct w:val="0"/>
        <w:adjustRightInd w:val="0"/>
        <w:spacing w:line="245" w:lineRule="auto"/>
        <w:ind w:left="100" w:right="60" w:hanging="35"/>
        <w:jc w:val="both"/>
        <w:rPr>
          <w:rFonts w:ascii="Times New Roman" w:hAnsi="Times New Roman" w:cs="Times New Roman"/>
          <w:sz w:val="24"/>
          <w:szCs w:val="24"/>
        </w:rPr>
      </w:pPr>
      <w:r>
        <w:rPr>
          <w:noProof/>
          <w:lang w:val="cs-CZ"/>
        </w:rPr>
        <w:drawing>
          <wp:anchor distT="0" distB="0" distL="114300" distR="114300" simplePos="0" relativeHeight="251701248" behindDoc="1" locked="0" layoutInCell="0" allowOverlap="1" wp14:anchorId="08553FBC" wp14:editId="497AB4B0">
            <wp:simplePos x="0" y="0"/>
            <wp:positionH relativeFrom="column">
              <wp:posOffset>3175</wp:posOffset>
            </wp:positionH>
            <wp:positionV relativeFrom="paragraph">
              <wp:posOffset>-59055</wp:posOffset>
            </wp:positionV>
            <wp:extent cx="6630035" cy="115570"/>
            <wp:effectExtent l="0" t="0" r="0" b="0"/>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sz w:val="16"/>
          <w:szCs w:val="16"/>
        </w:rPr>
        <w:t>• v případě výsledku plně financovaného z veřejných prostředků zpřístupní hlavní příjemce výsledky za stejných podmínek, stanovených ve smlouvě o využití výsledků, všem zájemcům o využití výsledku.</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245" w:lineRule="auto"/>
        <w:ind w:left="100" w:right="40" w:hanging="35"/>
        <w:jc w:val="both"/>
        <w:rPr>
          <w:rFonts w:ascii="Times New Roman" w:hAnsi="Times New Roman" w:cs="Times New Roman"/>
          <w:sz w:val="24"/>
          <w:szCs w:val="24"/>
        </w:rPr>
      </w:pPr>
      <w:r>
        <w:rPr>
          <w:rFonts w:ascii="Cambria" w:hAnsi="Cambria" w:cs="Cambria"/>
          <w:sz w:val="16"/>
          <w:szCs w:val="16"/>
        </w:rPr>
        <w:t>• v případě výsledku financovaného z veř. prostředků ve výši přesahující 50% a nižší než 100% výše nákladů projektu je hlavní příjemce povinen za podmínek stanovených ve smlouvě o využití výsledků přednostně poskytnout výsledky těm subjektům, které se na podpoře z neveřejných zdrojů podílely.</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overflowPunct w:val="0"/>
        <w:adjustRightInd w:val="0"/>
        <w:spacing w:line="245" w:lineRule="auto"/>
        <w:ind w:left="100" w:right="60" w:hanging="35"/>
        <w:jc w:val="both"/>
        <w:rPr>
          <w:rFonts w:ascii="Times New Roman" w:hAnsi="Times New Roman" w:cs="Times New Roman"/>
          <w:sz w:val="24"/>
          <w:szCs w:val="24"/>
        </w:rPr>
      </w:pPr>
      <w:r>
        <w:rPr>
          <w:rFonts w:ascii="Cambria" w:hAnsi="Cambria" w:cs="Cambria"/>
          <w:sz w:val="16"/>
          <w:szCs w:val="16"/>
        </w:rPr>
        <w:t>• v případě výsledku podílově financovaného z veř. prostředků ve výši dosahující 50% nebo méně nákladů projektu musí být součástí smlouvy o využití výsledků dohoda o způsobu a termínech využití výsledků s těmi subjekty, které se na podpoře z neveřejných zdrojů podílely.</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340" w:lineRule="auto"/>
        <w:ind w:left="100" w:right="40" w:hanging="35"/>
        <w:jc w:val="both"/>
        <w:rPr>
          <w:rFonts w:ascii="Times New Roman" w:hAnsi="Times New Roman" w:cs="Times New Roman"/>
          <w:sz w:val="24"/>
          <w:szCs w:val="24"/>
        </w:rPr>
      </w:pPr>
      <w:r>
        <w:rPr>
          <w:rFonts w:ascii="Cambria" w:hAnsi="Cambria" w:cs="Cambria"/>
          <w:sz w:val="16"/>
          <w:szCs w:val="16"/>
        </w:rPr>
        <w:t>• příjemce poskytne výsledky pouze za úplatu min. ve výši odpovídající tržní, příp. nákladové, ceně poskytovaných práv k duševnímu vlastnictví. Při poskytování výsledků subjektu, který se podílel na podpoře z neveřejných zdrojů, bude výše úplaty za poskytnutí výsledků snížena o výši neveřejné podpory poskytnuté tímto subjektem.</w:t>
      </w:r>
    </w:p>
    <w:p w:rsidR="008A2775" w:rsidRDefault="008A2775" w:rsidP="008A2775">
      <w:pPr>
        <w:widowControl w:val="0"/>
        <w:adjustRightInd w:val="0"/>
        <w:spacing w:line="9" w:lineRule="exact"/>
        <w:rPr>
          <w:rFonts w:ascii="Times New Roman" w:hAnsi="Times New Roman" w:cs="Times New Roman"/>
          <w:sz w:val="24"/>
          <w:szCs w:val="24"/>
        </w:rPr>
      </w:pPr>
      <w:r>
        <w:rPr>
          <w:noProof/>
          <w:lang w:val="cs-CZ"/>
        </w:rPr>
        <w:drawing>
          <wp:anchor distT="0" distB="0" distL="114300" distR="114300" simplePos="0" relativeHeight="251702272" behindDoc="1" locked="0" layoutInCell="0" allowOverlap="1" wp14:anchorId="03728FEB" wp14:editId="5D07E4E3">
            <wp:simplePos x="0" y="0"/>
            <wp:positionH relativeFrom="column">
              <wp:posOffset>3175</wp:posOffset>
            </wp:positionH>
            <wp:positionV relativeFrom="paragraph">
              <wp:posOffset>-47625</wp:posOffset>
            </wp:positionV>
            <wp:extent cx="6630035" cy="6350"/>
            <wp:effectExtent l="0" t="0" r="0"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8) Identifikační údaje uchazeče</w:t>
      </w:r>
    </w:p>
    <w:p w:rsidR="008A2775" w:rsidRDefault="008A2775" w:rsidP="008A2775">
      <w:pPr>
        <w:widowControl w:val="0"/>
        <w:adjustRightInd w:val="0"/>
        <w:spacing w:line="232"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Hlavní příjemce - [P] Technická univerzita v Liberci - Ústav pro nanomateriály, pokročilé technologie a inovace</w:t>
      </w:r>
    </w:p>
    <w:p w:rsidR="008A2775" w:rsidRDefault="008A2775" w:rsidP="008A2775">
      <w:pPr>
        <w:widowControl w:val="0"/>
        <w:adjustRightInd w:val="0"/>
        <w:spacing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8A2775" w:rsidTr="00FA1561">
        <w:trPr>
          <w:trHeight w:val="28"/>
        </w:trPr>
        <w:tc>
          <w:tcPr>
            <w:tcW w:w="1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44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DIČ</w:t>
            </w:r>
          </w:p>
        </w:tc>
        <w:tc>
          <w:tcPr>
            <w:tcW w:w="402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44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46747885</w:t>
            </w:r>
          </w:p>
        </w:tc>
        <w:tc>
          <w:tcPr>
            <w:tcW w:w="142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CZ46747885</w:t>
            </w:r>
          </w:p>
        </w:tc>
        <w:tc>
          <w:tcPr>
            <w:tcW w:w="4020" w:type="dxa"/>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Technická univerzita v Liberci</w:t>
            </w: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131"/>
        </w:trPr>
        <w:tc>
          <w:tcPr>
            <w:tcW w:w="1440" w:type="dxa"/>
            <w:tcBorders>
              <w:top w:val="nil"/>
              <w:left w:val="single" w:sz="8" w:space="0" w:color="auto"/>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40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13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c>
          <w:tcPr>
            <w:tcW w:w="2280" w:type="dxa"/>
            <w:gridSpan w:val="2"/>
            <w:tcBorders>
              <w:top w:val="nil"/>
              <w:left w:val="nil"/>
              <w:bottom w:val="nil"/>
              <w:right w:val="single" w:sz="8" w:space="0" w:color="auto"/>
            </w:tcBorders>
            <w:vAlign w:val="bottom"/>
          </w:tcPr>
          <w:p w:rsidR="008A2775" w:rsidRDefault="008A2775" w:rsidP="00FA1561">
            <w:pPr>
              <w:widowControl w:val="0"/>
              <w:adjustRightInd w:val="0"/>
              <w:spacing w:line="131" w:lineRule="exact"/>
              <w:ind w:right="867"/>
              <w:jc w:val="right"/>
              <w:rPr>
                <w:rFonts w:ascii="Times New Roman" w:hAnsi="Times New Roman" w:cs="Times New Roman"/>
                <w:sz w:val="24"/>
                <w:szCs w:val="24"/>
              </w:rPr>
            </w:pPr>
            <w:r>
              <w:rPr>
                <w:rFonts w:ascii="Cambria" w:hAnsi="Cambria" w:cs="Cambria"/>
                <w:sz w:val="12"/>
                <w:szCs w:val="12"/>
              </w:rPr>
              <w:t>Kód organizační jednotky</w:t>
            </w:r>
          </w:p>
        </w:tc>
      </w:tr>
      <w:tr w:rsidR="008A2775" w:rsidTr="00FA1561">
        <w:trPr>
          <w:trHeight w:val="336"/>
        </w:trPr>
        <w:tc>
          <w:tcPr>
            <w:tcW w:w="6880" w:type="dxa"/>
            <w:gridSpan w:val="3"/>
            <w:tcBorders>
              <w:top w:val="nil"/>
              <w:left w:val="single" w:sz="8" w:space="0" w:color="auto"/>
              <w:bottom w:val="single" w:sz="8" w:space="0" w:color="auto"/>
              <w:right w:val="nil"/>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Ústav pro nanomateriály, pokročilé technologie a inovace</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8A2775" w:rsidRDefault="008A2775" w:rsidP="00FA1561">
            <w:pPr>
              <w:widowControl w:val="0"/>
              <w:adjustRightInd w:val="0"/>
              <w:ind w:right="1707"/>
              <w:jc w:val="right"/>
              <w:rPr>
                <w:rFonts w:ascii="Times New Roman" w:hAnsi="Times New Roman" w:cs="Times New Roman"/>
                <w:sz w:val="24"/>
                <w:szCs w:val="24"/>
              </w:rPr>
            </w:pPr>
            <w:r>
              <w:rPr>
                <w:rFonts w:ascii="Cambria" w:hAnsi="Cambria" w:cs="Cambria"/>
                <w:sz w:val="16"/>
                <w:szCs w:val="16"/>
              </w:rPr>
              <w:t>24620</w:t>
            </w:r>
          </w:p>
        </w:tc>
      </w:tr>
      <w:tr w:rsidR="008A2775" w:rsidTr="00FA1561">
        <w:trPr>
          <w:trHeight w:val="131"/>
        </w:trPr>
        <w:tc>
          <w:tcPr>
            <w:tcW w:w="1440" w:type="dxa"/>
            <w:tcBorders>
              <w:top w:val="nil"/>
              <w:left w:val="single" w:sz="8" w:space="0" w:color="auto"/>
              <w:bottom w:val="nil"/>
              <w:right w:val="nil"/>
            </w:tcBorders>
            <w:vAlign w:val="bottom"/>
          </w:tcPr>
          <w:p w:rsidR="008A2775" w:rsidRDefault="008A2775" w:rsidP="00FA1561">
            <w:pPr>
              <w:widowControl w:val="0"/>
              <w:adjustRightInd w:val="0"/>
              <w:spacing w:line="131"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c>
          <w:tcPr>
            <w:tcW w:w="1300" w:type="dxa"/>
            <w:tcBorders>
              <w:top w:val="nil"/>
              <w:left w:val="nil"/>
              <w:bottom w:val="nil"/>
              <w:right w:val="nil"/>
            </w:tcBorders>
            <w:vAlign w:val="bottom"/>
          </w:tcPr>
          <w:p w:rsidR="008A2775" w:rsidRDefault="008A2775" w:rsidP="00FA1561">
            <w:pPr>
              <w:widowControl w:val="0"/>
              <w:adjustRightInd w:val="0"/>
              <w:spacing w:line="131"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2775" w:rsidRDefault="008A2775" w:rsidP="00FA1561">
            <w:pPr>
              <w:widowControl w:val="0"/>
              <w:adjustRightInd w:val="0"/>
              <w:spacing w:line="131" w:lineRule="exact"/>
              <w:ind w:left="20"/>
              <w:rPr>
                <w:rFonts w:ascii="Times New Roman" w:hAnsi="Times New Roman" w:cs="Times New Roman"/>
                <w:sz w:val="24"/>
                <w:szCs w:val="24"/>
              </w:rPr>
            </w:pPr>
            <w:r>
              <w:rPr>
                <w:rFonts w:ascii="Cambria" w:hAnsi="Cambria" w:cs="Cambria"/>
                <w:sz w:val="12"/>
                <w:szCs w:val="12"/>
              </w:rPr>
              <w:t>Typ organizace</w:t>
            </w:r>
          </w:p>
        </w:tc>
      </w:tr>
      <w:tr w:rsidR="008A2775" w:rsidTr="00FA1561">
        <w:trPr>
          <w:trHeight w:val="229"/>
        </w:trPr>
        <w:tc>
          <w:tcPr>
            <w:tcW w:w="688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VVS - Veřejná nebo státní vysoká škola (zákon č. 111/1998 Sb., o vysokých školách a o změně a</w:t>
            </w:r>
          </w:p>
        </w:tc>
        <w:tc>
          <w:tcPr>
            <w:tcW w:w="1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VO - Výzkumná organizace-</w:t>
            </w:r>
          </w:p>
        </w:tc>
      </w:tr>
      <w:tr w:rsidR="008A2775" w:rsidTr="00FA1561">
        <w:trPr>
          <w:trHeight w:val="300"/>
        </w:trPr>
        <w:tc>
          <w:tcPr>
            <w:tcW w:w="2860" w:type="dxa"/>
            <w:gridSpan w:val="2"/>
            <w:tcBorders>
              <w:top w:val="nil"/>
              <w:left w:val="single" w:sz="8" w:space="0" w:color="auto"/>
              <w:bottom w:val="single" w:sz="8" w:space="0" w:color="auto"/>
              <w:right w:val="nil"/>
            </w:tcBorders>
            <w:vAlign w:val="bottom"/>
          </w:tcPr>
          <w:p w:rsidR="008A2775" w:rsidRDefault="008A2775" w:rsidP="00FA1561">
            <w:pPr>
              <w:widowControl w:val="0"/>
              <w:adjustRightInd w:val="0"/>
              <w:ind w:left="100"/>
              <w:rPr>
                <w:rFonts w:ascii="Times New Roman" w:hAnsi="Times New Roman" w:cs="Times New Roman"/>
                <w:sz w:val="24"/>
                <w:szCs w:val="24"/>
              </w:rPr>
            </w:pPr>
            <w:r>
              <w:rPr>
                <w:rFonts w:ascii="Cambria" w:hAnsi="Cambria" w:cs="Cambria"/>
                <w:sz w:val="16"/>
                <w:szCs w:val="16"/>
              </w:rPr>
              <w:t>doplnění dalších zákonů</w:t>
            </w:r>
          </w:p>
        </w:tc>
        <w:tc>
          <w:tcPr>
            <w:tcW w:w="40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VVS - veřejná vysoká škola</w:t>
            </w:r>
          </w:p>
        </w:tc>
      </w:tr>
    </w:tbl>
    <w:p w:rsidR="008A2775" w:rsidRDefault="008A2775" w:rsidP="008A2775">
      <w:pPr>
        <w:widowControl w:val="0"/>
        <w:adjustRightInd w:val="0"/>
        <w:spacing w:line="75"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Další účastník projektu - [D] BMTO GROUP a.s.</w:t>
      </w:r>
    </w:p>
    <w:p w:rsidR="008A2775" w:rsidRDefault="008A2775" w:rsidP="008A2775">
      <w:pPr>
        <w:widowControl w:val="0"/>
        <w:adjustRightInd w:val="0"/>
        <w:spacing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8A2775" w:rsidTr="00FA1561">
        <w:trPr>
          <w:trHeight w:val="28"/>
        </w:trPr>
        <w:tc>
          <w:tcPr>
            <w:tcW w:w="14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44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DIČ</w:t>
            </w:r>
          </w:p>
        </w:tc>
        <w:tc>
          <w:tcPr>
            <w:tcW w:w="5320" w:type="dxa"/>
            <w:gridSpan w:val="2"/>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r>
      <w:tr w:rsidR="008A2775" w:rsidTr="00FA1561">
        <w:trPr>
          <w:trHeight w:val="336"/>
        </w:trPr>
        <w:tc>
          <w:tcPr>
            <w:tcW w:w="144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sz w:val="16"/>
                <w:szCs w:val="16"/>
              </w:rPr>
              <w:t>49099361</w:t>
            </w:r>
          </w:p>
        </w:tc>
        <w:tc>
          <w:tcPr>
            <w:tcW w:w="142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CZ49099361</w:t>
            </w:r>
          </w:p>
        </w:tc>
        <w:tc>
          <w:tcPr>
            <w:tcW w:w="5320" w:type="dxa"/>
            <w:gridSpan w:val="2"/>
            <w:tcBorders>
              <w:top w:val="nil"/>
              <w:left w:val="nil"/>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BMTO GROUP a.s.</w:t>
            </w:r>
          </w:p>
        </w:tc>
        <w:tc>
          <w:tcPr>
            <w:tcW w:w="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r w:rsidR="008A2775" w:rsidTr="00FA1561">
        <w:trPr>
          <w:trHeight w:val="243"/>
        </w:trPr>
        <w:tc>
          <w:tcPr>
            <w:tcW w:w="1440" w:type="dxa"/>
            <w:tcBorders>
              <w:top w:val="nil"/>
              <w:left w:val="single" w:sz="8" w:space="0" w:color="auto"/>
              <w:bottom w:val="nil"/>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1"/>
                <w:szCs w:val="21"/>
              </w:rPr>
            </w:pPr>
          </w:p>
        </w:tc>
        <w:tc>
          <w:tcPr>
            <w:tcW w:w="40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21"/>
                <w:szCs w:val="21"/>
              </w:rPr>
            </w:pPr>
          </w:p>
        </w:tc>
        <w:tc>
          <w:tcPr>
            <w:tcW w:w="2280" w:type="dxa"/>
            <w:gridSpan w:val="2"/>
            <w:tcBorders>
              <w:top w:val="nil"/>
              <w:left w:val="nil"/>
              <w:bottom w:val="nil"/>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2"/>
                <w:szCs w:val="12"/>
              </w:rPr>
              <w:t>Kód organizační jednotky</w:t>
            </w:r>
          </w:p>
        </w:tc>
      </w:tr>
      <w:tr w:rsidR="008A2775" w:rsidTr="00FA1561">
        <w:trPr>
          <w:trHeight w:val="34"/>
        </w:trPr>
        <w:tc>
          <w:tcPr>
            <w:tcW w:w="1440" w:type="dxa"/>
            <w:tcBorders>
              <w:top w:val="nil"/>
              <w:left w:val="single" w:sz="8" w:space="0" w:color="auto"/>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0"/>
        </w:trPr>
        <w:tc>
          <w:tcPr>
            <w:tcW w:w="1440" w:type="dxa"/>
            <w:tcBorders>
              <w:top w:val="nil"/>
              <w:left w:val="single" w:sz="8" w:space="0" w:color="auto"/>
              <w:bottom w:val="nil"/>
              <w:right w:val="nil"/>
            </w:tcBorders>
            <w:vAlign w:val="bottom"/>
          </w:tcPr>
          <w:p w:rsidR="008A2775" w:rsidRDefault="008A2775" w:rsidP="00FA1561">
            <w:pPr>
              <w:widowControl w:val="0"/>
              <w:adjustRightInd w:val="0"/>
              <w:spacing w:line="130"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c>
          <w:tcPr>
            <w:tcW w:w="1300" w:type="dxa"/>
            <w:tcBorders>
              <w:top w:val="nil"/>
              <w:left w:val="nil"/>
              <w:bottom w:val="nil"/>
              <w:right w:val="nil"/>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2775" w:rsidRDefault="008A2775" w:rsidP="00FA1561">
            <w:pPr>
              <w:widowControl w:val="0"/>
              <w:adjustRightInd w:val="0"/>
              <w:spacing w:line="130" w:lineRule="exact"/>
              <w:ind w:left="20"/>
              <w:rPr>
                <w:rFonts w:ascii="Times New Roman" w:hAnsi="Times New Roman" w:cs="Times New Roman"/>
                <w:sz w:val="24"/>
                <w:szCs w:val="24"/>
              </w:rPr>
            </w:pPr>
            <w:r>
              <w:rPr>
                <w:rFonts w:ascii="Cambria" w:hAnsi="Cambria" w:cs="Cambria"/>
                <w:sz w:val="12"/>
                <w:szCs w:val="12"/>
              </w:rPr>
              <w:t>Typ organizace</w:t>
            </w:r>
          </w:p>
        </w:tc>
      </w:tr>
      <w:tr w:rsidR="008A2775" w:rsidTr="00FA1561">
        <w:trPr>
          <w:trHeight w:val="229"/>
        </w:trPr>
        <w:tc>
          <w:tcPr>
            <w:tcW w:w="688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ind w:left="80"/>
              <w:rPr>
                <w:rFonts w:ascii="Times New Roman" w:hAnsi="Times New Roman" w:cs="Times New Roman"/>
                <w:sz w:val="24"/>
                <w:szCs w:val="24"/>
              </w:rPr>
            </w:pPr>
            <w:r>
              <w:rPr>
                <w:rFonts w:ascii="Cambria" w:hAnsi="Cambria" w:cs="Cambria"/>
                <w:w w:val="98"/>
                <w:sz w:val="16"/>
                <w:szCs w:val="16"/>
              </w:rPr>
              <w:t>POO - Právnická osoba zapsaná v obchodním rejstříku (zákon č. 304/2013 Sb., o veřejných rejstřících</w:t>
            </w:r>
          </w:p>
        </w:tc>
        <w:tc>
          <w:tcPr>
            <w:tcW w:w="1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MP - Malý podnik</w:t>
            </w:r>
          </w:p>
        </w:tc>
      </w:tr>
      <w:tr w:rsidR="008A2775" w:rsidTr="00FA1561">
        <w:trPr>
          <w:trHeight w:val="300"/>
        </w:trPr>
        <w:tc>
          <w:tcPr>
            <w:tcW w:w="2860" w:type="dxa"/>
            <w:gridSpan w:val="2"/>
            <w:tcBorders>
              <w:top w:val="nil"/>
              <w:left w:val="single" w:sz="8" w:space="0" w:color="auto"/>
              <w:bottom w:val="single" w:sz="8" w:space="0" w:color="auto"/>
              <w:right w:val="nil"/>
            </w:tcBorders>
            <w:vAlign w:val="bottom"/>
          </w:tcPr>
          <w:p w:rsidR="008A2775" w:rsidRDefault="008A2775" w:rsidP="00FA1561">
            <w:pPr>
              <w:widowControl w:val="0"/>
              <w:adjustRightInd w:val="0"/>
              <w:ind w:left="100"/>
              <w:rPr>
                <w:rFonts w:ascii="Times New Roman" w:hAnsi="Times New Roman" w:cs="Times New Roman"/>
                <w:sz w:val="24"/>
                <w:szCs w:val="24"/>
              </w:rPr>
            </w:pPr>
            <w:r>
              <w:rPr>
                <w:rFonts w:ascii="Cambria" w:hAnsi="Cambria" w:cs="Cambria"/>
                <w:sz w:val="16"/>
                <w:szCs w:val="16"/>
              </w:rPr>
              <w:t>právnických a fyzických osob</w:t>
            </w:r>
          </w:p>
        </w:tc>
        <w:tc>
          <w:tcPr>
            <w:tcW w:w="40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4"/>
                <w:szCs w:val="24"/>
              </w:rPr>
            </w:pPr>
          </w:p>
        </w:tc>
      </w:tr>
    </w:tbl>
    <w:p w:rsidR="008A2775" w:rsidRDefault="008A2775" w:rsidP="008A2775">
      <w:pPr>
        <w:widowControl w:val="0"/>
        <w:adjustRightInd w:val="0"/>
        <w:rPr>
          <w:rFonts w:ascii="Times New Roman" w:hAnsi="Times New Roman" w:cs="Times New Roman"/>
          <w:sz w:val="24"/>
          <w:szCs w:val="24"/>
        </w:rPr>
        <w:sectPr w:rsidR="008A2775">
          <w:pgSz w:w="11906" w:h="16838"/>
          <w:pgMar w:top="723" w:right="620" w:bottom="148" w:left="840" w:header="720" w:footer="720" w:gutter="0"/>
          <w:cols w:space="720" w:equalWidth="0">
            <w:col w:w="1044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66" w:lineRule="exact"/>
        <w:rPr>
          <w:rFonts w:ascii="Times New Roman" w:hAnsi="Times New Roman" w:cs="Times New Roman"/>
          <w:sz w:val="24"/>
          <w:szCs w:val="24"/>
        </w:rPr>
      </w:pPr>
    </w:p>
    <w:p w:rsidR="008A2775" w:rsidRDefault="008A2775" w:rsidP="008A2775">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4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00" w:bottom="148" w:left="860" w:header="720" w:footer="720" w:gutter="0"/>
          <w:cols w:space="720" w:equalWidth="0">
            <w:col w:w="10140"/>
          </w:cols>
          <w:noEndnote/>
        </w:sect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7" w:name="page9"/>
      <w:bookmarkEnd w:id="7"/>
      <w:r>
        <w:rPr>
          <w:noProof/>
          <w:lang w:val="cs-CZ"/>
        </w:rPr>
        <w:lastRenderedPageBreak/>
        <w:drawing>
          <wp:anchor distT="0" distB="0" distL="114300" distR="114300" simplePos="0" relativeHeight="251703296" behindDoc="1" locked="0" layoutInCell="0" allowOverlap="1" wp14:anchorId="5FBE61F7" wp14:editId="25C12D4E">
            <wp:simplePos x="0" y="0"/>
            <wp:positionH relativeFrom="page">
              <wp:posOffset>539750</wp:posOffset>
            </wp:positionH>
            <wp:positionV relativeFrom="page">
              <wp:posOffset>370205</wp:posOffset>
            </wp:positionV>
            <wp:extent cx="2005330" cy="548640"/>
            <wp:effectExtent l="0" t="0" r="0" b="381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47"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Hlavní příjemce - [P] Technická univerzita v Liberci - Ústav pro nanomateriály, pokročilé technologie a inovace</w:t>
      </w:r>
    </w:p>
    <w:p w:rsidR="008A2775" w:rsidRDefault="008A2775" w:rsidP="008A2775">
      <w:pPr>
        <w:widowControl w:val="0"/>
        <w:adjustRightInd w:val="0"/>
        <w:spacing w:line="126" w:lineRule="exact"/>
        <w:rPr>
          <w:rFonts w:ascii="Times New Roman" w:hAnsi="Times New Roman" w:cs="Times New Roman"/>
          <w:sz w:val="24"/>
          <w:szCs w:val="24"/>
        </w:rPr>
      </w:pP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9) Náklady</w:t>
      </w:r>
    </w:p>
    <w:p w:rsidR="008A2775" w:rsidRDefault="008A2775" w:rsidP="008A2775">
      <w:pPr>
        <w:widowControl w:val="0"/>
        <w:adjustRightInd w:val="0"/>
        <w:spacing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
        <w:gridCol w:w="260"/>
        <w:gridCol w:w="680"/>
        <w:gridCol w:w="1300"/>
        <w:gridCol w:w="280"/>
        <w:gridCol w:w="880"/>
        <w:gridCol w:w="1120"/>
        <w:gridCol w:w="1120"/>
        <w:gridCol w:w="240"/>
        <w:gridCol w:w="900"/>
        <w:gridCol w:w="240"/>
        <w:gridCol w:w="900"/>
        <w:gridCol w:w="1140"/>
        <w:gridCol w:w="1140"/>
        <w:gridCol w:w="30"/>
      </w:tblGrid>
      <w:tr w:rsidR="008A2775" w:rsidTr="00FA1561">
        <w:trPr>
          <w:trHeight w:val="50"/>
        </w:trPr>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280" w:type="dxa"/>
            <w:tcBorders>
              <w:top w:val="nil"/>
              <w:left w:val="single" w:sz="8" w:space="0" w:color="auto"/>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280" w:type="dxa"/>
            <w:tcBorders>
              <w:top w:val="nil"/>
              <w:left w:val="single" w:sz="8" w:space="0" w:color="auto"/>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1 035 552</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1 035 552</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1 035 552</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517 776</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3 624 432</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Náklady na</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10 000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100 000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subdodávky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350 000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360 000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360 000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165 000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1 235 000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424 666</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427 666</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427 666</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207 833</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1 487 831</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NÁKLADY</w:t>
            </w:r>
          </w:p>
        </w:tc>
        <w:tc>
          <w:tcPr>
            <w:tcW w:w="13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1 840 218</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1 853 218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1 853 218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900 609</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6 447 263</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single" w:sz="8" w:space="0" w:color="auto"/>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Podíl nákladů</w:t>
            </w:r>
          </w:p>
        </w:tc>
        <w:tc>
          <w:tcPr>
            <w:tcW w:w="13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30.65</w:t>
            </w:r>
          </w:p>
        </w:tc>
        <w:tc>
          <w:tcPr>
            <w:tcW w:w="112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30.64</w:t>
            </w:r>
          </w:p>
        </w:tc>
        <w:tc>
          <w:tcPr>
            <w:tcW w:w="24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30.64</w:t>
            </w:r>
          </w:p>
        </w:tc>
        <w:tc>
          <w:tcPr>
            <w:tcW w:w="24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30.44</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30.62</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92"/>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na nepřímé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85"/>
        </w:trPr>
        <w:tc>
          <w:tcPr>
            <w:tcW w:w="1220" w:type="dxa"/>
            <w:gridSpan w:val="3"/>
            <w:tcBorders>
              <w:top w:val="nil"/>
              <w:left w:val="nil"/>
              <w:bottom w:val="nil"/>
              <w:right w:val="nil"/>
            </w:tcBorders>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b/>
                <w:bCs/>
                <w:w w:val="98"/>
                <w:sz w:val="16"/>
                <w:szCs w:val="16"/>
              </w:rPr>
              <w:t>10) Zdroje</w:t>
            </w:r>
          </w:p>
        </w:tc>
        <w:tc>
          <w:tcPr>
            <w:tcW w:w="1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8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14"/>
        </w:trPr>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280" w:type="dxa"/>
            <w:tcBorders>
              <w:top w:val="nil"/>
              <w:left w:val="single" w:sz="8" w:space="0" w:color="auto"/>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280" w:type="dxa"/>
            <w:tcBorders>
              <w:top w:val="nil"/>
              <w:left w:val="single" w:sz="8" w:space="0" w:color="auto"/>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1 680 000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1 690 000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1 690 000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865 000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5 925 000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Neveřejné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160 218</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163 218</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163 218</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35 609</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522 263</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ZDROJE</w:t>
            </w:r>
          </w:p>
        </w:tc>
        <w:tc>
          <w:tcPr>
            <w:tcW w:w="13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1 840 218</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1 853 218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1 853 218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900 609</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6 447 263</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gridSpan w:val="3"/>
            <w:tcBorders>
              <w:top w:val="single" w:sz="8" w:space="0" w:color="auto"/>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13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88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2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91.29</w:t>
            </w:r>
          </w:p>
        </w:tc>
        <w:tc>
          <w:tcPr>
            <w:tcW w:w="112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91.19</w:t>
            </w:r>
          </w:p>
        </w:tc>
        <w:tc>
          <w:tcPr>
            <w:tcW w:w="24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91.19</w:t>
            </w:r>
          </w:p>
        </w:tc>
        <w:tc>
          <w:tcPr>
            <w:tcW w:w="24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96.05</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91.90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93"/>
        </w:trPr>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6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260" w:type="dxa"/>
            <w:gridSpan w:val="3"/>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60"/>
              <w:rPr>
                <w:rFonts w:ascii="Times New Roman" w:hAnsi="Times New Roman" w:cs="Times New Roman"/>
                <w:sz w:val="24"/>
                <w:szCs w:val="24"/>
              </w:rPr>
            </w:pPr>
            <w:r>
              <w:rPr>
                <w:rFonts w:ascii="Cambria" w:hAnsi="Cambria" w:cs="Cambria"/>
                <w:sz w:val="16"/>
                <w:szCs w:val="16"/>
              </w:rPr>
              <w:t>PODÍLY KATEGORIÍ VÝZKUMU</w:t>
            </w:r>
          </w:p>
        </w:tc>
        <w:tc>
          <w:tcPr>
            <w:tcW w:w="88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80"/>
              <w:jc w:val="right"/>
              <w:rPr>
                <w:rFonts w:ascii="Times New Roman" w:hAnsi="Times New Roman" w:cs="Times New Roman"/>
                <w:sz w:val="24"/>
                <w:szCs w:val="24"/>
              </w:rPr>
            </w:pPr>
            <w:r>
              <w:rPr>
                <w:rFonts w:ascii="Cambria" w:hAnsi="Cambria" w:cs="Cambria"/>
                <w:sz w:val="16"/>
                <w:szCs w:val="16"/>
              </w:rPr>
              <w:t>Jednotka</w:t>
            </w: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74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280" w:type="dxa"/>
            <w:tcBorders>
              <w:top w:val="nil"/>
              <w:left w:val="single" w:sz="8" w:space="0" w:color="auto"/>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6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260" w:type="dxa"/>
            <w:gridSpan w:val="3"/>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88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sz w:val="16"/>
                <w:szCs w:val="16"/>
              </w:rPr>
              <w:t>2021</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280" w:type="dxa"/>
            <w:tcBorders>
              <w:top w:val="nil"/>
              <w:left w:val="single" w:sz="8" w:space="0" w:color="auto"/>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AV</w:t>
            </w:r>
          </w:p>
        </w:tc>
        <w:tc>
          <w:tcPr>
            <w:tcW w:w="2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Aplikovaný výzkum</w:t>
            </w: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90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EV</w:t>
            </w:r>
          </w:p>
        </w:tc>
        <w:tc>
          <w:tcPr>
            <w:tcW w:w="2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Experimentální vývoj</w:t>
            </w: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bl>
    <w:p w:rsidR="008A2775" w:rsidRDefault="008A2775" w:rsidP="008A2775">
      <w:pPr>
        <w:widowControl w:val="0"/>
        <w:adjustRightInd w:val="0"/>
        <w:rPr>
          <w:rFonts w:ascii="Times New Roman" w:hAnsi="Times New Roman" w:cs="Times New Roman"/>
          <w:sz w:val="24"/>
          <w:szCs w:val="24"/>
        </w:rPr>
        <w:sectPr w:rsidR="008A2775">
          <w:pgSz w:w="11906" w:h="16838"/>
          <w:pgMar w:top="723" w:right="620" w:bottom="148" w:left="840" w:header="720" w:footer="720" w:gutter="0"/>
          <w:cols w:space="720" w:equalWidth="0">
            <w:col w:w="1044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87" w:lineRule="exact"/>
        <w:rPr>
          <w:rFonts w:ascii="Times New Roman" w:hAnsi="Times New Roman" w:cs="Times New Roman"/>
          <w:sz w:val="24"/>
          <w:szCs w:val="24"/>
        </w:rPr>
      </w:pPr>
    </w:p>
    <w:p w:rsidR="008A2775" w:rsidRDefault="008A2775" w:rsidP="008A2775">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5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00" w:bottom="148" w:left="860" w:header="720" w:footer="720" w:gutter="0"/>
          <w:cols w:space="720" w:equalWidth="0">
            <w:col w:w="10140"/>
          </w:cols>
          <w:noEndnote/>
        </w:sect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8" w:name="page11"/>
      <w:bookmarkEnd w:id="8"/>
      <w:r>
        <w:rPr>
          <w:noProof/>
          <w:lang w:val="cs-CZ"/>
        </w:rPr>
        <w:lastRenderedPageBreak/>
        <w:drawing>
          <wp:anchor distT="0" distB="0" distL="114300" distR="114300" simplePos="0" relativeHeight="251704320" behindDoc="1" locked="0" layoutInCell="0" allowOverlap="1" wp14:anchorId="76B73865" wp14:editId="6DFB6DB4">
            <wp:simplePos x="0" y="0"/>
            <wp:positionH relativeFrom="page">
              <wp:posOffset>539750</wp:posOffset>
            </wp:positionH>
            <wp:positionV relativeFrom="page">
              <wp:posOffset>370205</wp:posOffset>
            </wp:positionV>
            <wp:extent cx="2005330" cy="548640"/>
            <wp:effectExtent l="0" t="0" r="0" b="381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47"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Další účastník projektu - [D] BMTO GROUP a.s.</w:t>
      </w:r>
    </w:p>
    <w:p w:rsidR="008A2775" w:rsidRDefault="008A2775" w:rsidP="008A2775">
      <w:pPr>
        <w:widowControl w:val="0"/>
        <w:adjustRightInd w:val="0"/>
        <w:spacing w:line="126" w:lineRule="exact"/>
        <w:rPr>
          <w:rFonts w:ascii="Times New Roman" w:hAnsi="Times New Roman" w:cs="Times New Roman"/>
          <w:sz w:val="24"/>
          <w:szCs w:val="24"/>
        </w:rPr>
      </w:pP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9) Náklady</w:t>
      </w:r>
    </w:p>
    <w:p w:rsidR="008A2775" w:rsidRDefault="008A2775" w:rsidP="008A2775">
      <w:pPr>
        <w:widowControl w:val="0"/>
        <w:adjustRightInd w:val="0"/>
        <w:spacing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80"/>
        <w:gridCol w:w="260"/>
        <w:gridCol w:w="680"/>
        <w:gridCol w:w="1300"/>
        <w:gridCol w:w="280"/>
        <w:gridCol w:w="880"/>
        <w:gridCol w:w="1120"/>
        <w:gridCol w:w="1120"/>
        <w:gridCol w:w="240"/>
        <w:gridCol w:w="900"/>
        <w:gridCol w:w="240"/>
        <w:gridCol w:w="900"/>
        <w:gridCol w:w="1140"/>
        <w:gridCol w:w="1140"/>
        <w:gridCol w:w="30"/>
      </w:tblGrid>
      <w:tr w:rsidR="008A2775" w:rsidTr="00FA1561">
        <w:trPr>
          <w:trHeight w:val="50"/>
        </w:trPr>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280" w:type="dxa"/>
            <w:tcBorders>
              <w:top w:val="nil"/>
              <w:left w:val="single" w:sz="8" w:space="0" w:color="auto"/>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280" w:type="dxa"/>
            <w:tcBorders>
              <w:top w:val="nil"/>
              <w:left w:val="single" w:sz="8" w:space="0" w:color="auto"/>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434 964</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434 964</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434 964</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217 482</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1 522 374</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Náklady na</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120 000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subdodávky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180 000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180 000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180 000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130 000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670 000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86 993</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86 993</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86 993</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43 496</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304 475</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NÁKLADY</w:t>
            </w:r>
          </w:p>
        </w:tc>
        <w:tc>
          <w:tcPr>
            <w:tcW w:w="13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731 957</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731 957</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731 957</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420 978</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2 616 849</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single" w:sz="8" w:space="0" w:color="auto"/>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Podíl nákladů</w:t>
            </w:r>
          </w:p>
        </w:tc>
        <w:tc>
          <w:tcPr>
            <w:tcW w:w="13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14.15</w:t>
            </w:r>
          </w:p>
        </w:tc>
        <w:tc>
          <w:tcPr>
            <w:tcW w:w="112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14.15</w:t>
            </w:r>
          </w:p>
        </w:tc>
        <w:tc>
          <w:tcPr>
            <w:tcW w:w="24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14.15</w:t>
            </w:r>
          </w:p>
        </w:tc>
        <w:tc>
          <w:tcPr>
            <w:tcW w:w="24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12.52</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13.89</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92"/>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na nepřímé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6"/>
                <w:szCs w:val="16"/>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2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6"/>
                <w:szCs w:val="16"/>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1140" w:type="dxa"/>
            <w:tcBorders>
              <w:top w:val="nil"/>
              <w:left w:val="nil"/>
              <w:bottom w:val="nil"/>
              <w:right w:val="single" w:sz="8" w:space="0" w:color="auto"/>
            </w:tcBorders>
            <w:vAlign w:val="bottom"/>
          </w:tcPr>
          <w:p w:rsidR="008A2775" w:rsidRDefault="008A2775" w:rsidP="00FA1561">
            <w:pPr>
              <w:widowControl w:val="0"/>
              <w:adjustRightInd w:val="0"/>
              <w:rPr>
                <w:rFonts w:ascii="Times New Roman" w:hAnsi="Times New Roman" w:cs="Times New Roman"/>
                <w:sz w:val="16"/>
                <w:szCs w:val="16"/>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85"/>
        </w:trPr>
        <w:tc>
          <w:tcPr>
            <w:tcW w:w="1220" w:type="dxa"/>
            <w:gridSpan w:val="3"/>
            <w:tcBorders>
              <w:top w:val="nil"/>
              <w:left w:val="nil"/>
              <w:bottom w:val="nil"/>
              <w:right w:val="nil"/>
            </w:tcBorders>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b/>
                <w:bCs/>
                <w:w w:val="98"/>
                <w:sz w:val="16"/>
                <w:szCs w:val="16"/>
              </w:rPr>
              <w:t>10) Zdroje</w:t>
            </w:r>
          </w:p>
        </w:tc>
        <w:tc>
          <w:tcPr>
            <w:tcW w:w="13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8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14"/>
        </w:trPr>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9"/>
                <w:szCs w:val="9"/>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40" w:type="dxa"/>
            <w:gridSpan w:val="2"/>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200"/>
              <w:jc w:val="center"/>
              <w:rPr>
                <w:rFonts w:ascii="Times New Roman" w:hAnsi="Times New Roman" w:cs="Times New Roman"/>
                <w:sz w:val="24"/>
                <w:szCs w:val="24"/>
              </w:rPr>
            </w:pPr>
            <w:r>
              <w:rPr>
                <w:rFonts w:ascii="Cambria" w:hAnsi="Cambria" w:cs="Cambria"/>
                <w:w w:val="97"/>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36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98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w w:val="98"/>
                <w:sz w:val="16"/>
                <w:szCs w:val="16"/>
              </w:rPr>
              <w:t>Celkem</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280" w:type="dxa"/>
            <w:tcBorders>
              <w:top w:val="nil"/>
              <w:left w:val="single" w:sz="8" w:space="0" w:color="auto"/>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40" w:type="dxa"/>
            <w:gridSpan w:val="2"/>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6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2017</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280" w:type="dxa"/>
            <w:tcBorders>
              <w:top w:val="nil"/>
              <w:left w:val="single" w:sz="8" w:space="0" w:color="auto"/>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373 836</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373 836</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373 836</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186 918</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1 308 426</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gridSpan w:val="3"/>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Neveřejné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2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8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358 121</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358 121</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358 121</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234 060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1 308 423</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gridSpan w:val="3"/>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83"/>
        </w:trPr>
        <w:tc>
          <w:tcPr>
            <w:tcW w:w="1220" w:type="dxa"/>
            <w:gridSpan w:val="3"/>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ZDROJE</w:t>
            </w:r>
          </w:p>
        </w:tc>
        <w:tc>
          <w:tcPr>
            <w:tcW w:w="13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280" w:type="dxa"/>
            <w:tcBorders>
              <w:top w:val="nil"/>
              <w:left w:val="nil"/>
              <w:bottom w:val="nil"/>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8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731 957</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731 957</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731 957</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420 978</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2 616 849</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52"/>
        </w:trPr>
        <w:tc>
          <w:tcPr>
            <w:tcW w:w="1220" w:type="dxa"/>
            <w:gridSpan w:val="3"/>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80" w:type="dxa"/>
            <w:tcBorders>
              <w:top w:val="nil"/>
              <w:left w:val="nil"/>
              <w:bottom w:val="single" w:sz="8" w:space="0" w:color="F5F5F5"/>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88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gridSpan w:val="3"/>
            <w:tcBorders>
              <w:top w:val="single" w:sz="8" w:space="0" w:color="auto"/>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13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28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88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2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51.07</w:t>
            </w:r>
          </w:p>
        </w:tc>
        <w:tc>
          <w:tcPr>
            <w:tcW w:w="112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51.07</w:t>
            </w:r>
          </w:p>
        </w:tc>
        <w:tc>
          <w:tcPr>
            <w:tcW w:w="24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51.07</w:t>
            </w:r>
          </w:p>
        </w:tc>
        <w:tc>
          <w:tcPr>
            <w:tcW w:w="24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44.40</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93"/>
        </w:trPr>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6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260" w:type="dxa"/>
            <w:gridSpan w:val="3"/>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60"/>
              <w:rPr>
                <w:rFonts w:ascii="Times New Roman" w:hAnsi="Times New Roman" w:cs="Times New Roman"/>
                <w:sz w:val="24"/>
                <w:szCs w:val="24"/>
              </w:rPr>
            </w:pPr>
            <w:r>
              <w:rPr>
                <w:rFonts w:ascii="Cambria" w:hAnsi="Cambria" w:cs="Cambria"/>
                <w:sz w:val="16"/>
                <w:szCs w:val="16"/>
              </w:rPr>
              <w:t>PODÍLY KATEGORIÍ VÝZKUMU</w:t>
            </w:r>
          </w:p>
        </w:tc>
        <w:tc>
          <w:tcPr>
            <w:tcW w:w="88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80"/>
              <w:jc w:val="right"/>
              <w:rPr>
                <w:rFonts w:ascii="Times New Roman" w:hAnsi="Times New Roman" w:cs="Times New Roman"/>
                <w:sz w:val="24"/>
                <w:szCs w:val="24"/>
              </w:rPr>
            </w:pPr>
            <w:r>
              <w:rPr>
                <w:rFonts w:ascii="Cambria" w:hAnsi="Cambria" w:cs="Cambria"/>
                <w:sz w:val="16"/>
                <w:szCs w:val="16"/>
              </w:rPr>
              <w:t>Jednotka</w:t>
            </w: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74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280" w:type="dxa"/>
            <w:tcBorders>
              <w:top w:val="nil"/>
              <w:left w:val="single" w:sz="8" w:space="0" w:color="auto"/>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6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2260" w:type="dxa"/>
            <w:gridSpan w:val="3"/>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88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2016</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4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jc w:val="center"/>
              <w:rPr>
                <w:rFonts w:ascii="Times New Roman" w:hAnsi="Times New Roman" w:cs="Times New Roman"/>
                <w:sz w:val="24"/>
                <w:szCs w:val="24"/>
              </w:rPr>
            </w:pPr>
            <w:r>
              <w:rPr>
                <w:rFonts w:ascii="Cambria" w:hAnsi="Cambria" w:cs="Cambria"/>
                <w:sz w:val="16"/>
                <w:szCs w:val="16"/>
              </w:rPr>
              <w:t>2021</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280" w:type="dxa"/>
            <w:tcBorders>
              <w:top w:val="nil"/>
              <w:left w:val="single" w:sz="8" w:space="0" w:color="auto"/>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6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8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AV</w:t>
            </w:r>
          </w:p>
        </w:tc>
        <w:tc>
          <w:tcPr>
            <w:tcW w:w="2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Aplikovaný výzkum</w:t>
            </w: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280" w:type="dxa"/>
            <w:tcBorders>
              <w:top w:val="nil"/>
              <w:left w:val="single" w:sz="8" w:space="0" w:color="auto"/>
              <w:bottom w:val="single" w:sz="8" w:space="0" w:color="auto"/>
              <w:right w:val="nil"/>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EV</w:t>
            </w:r>
          </w:p>
        </w:tc>
        <w:tc>
          <w:tcPr>
            <w:tcW w:w="26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rPr>
            </w:pPr>
          </w:p>
        </w:tc>
        <w:tc>
          <w:tcPr>
            <w:tcW w:w="2260" w:type="dxa"/>
            <w:gridSpan w:val="3"/>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Experimentální vývoj</w:t>
            </w:r>
          </w:p>
        </w:tc>
        <w:tc>
          <w:tcPr>
            <w:tcW w:w="880" w:type="dxa"/>
            <w:tcBorders>
              <w:top w:val="nil"/>
              <w:left w:val="nil"/>
              <w:bottom w:val="single" w:sz="8" w:space="0" w:color="auto"/>
              <w:right w:val="single" w:sz="8" w:space="0" w:color="auto"/>
            </w:tcBorders>
            <w:vAlign w:val="bottom"/>
          </w:tcPr>
          <w:p w:rsidR="008A2775" w:rsidRDefault="008A2775" w:rsidP="00FA1561">
            <w:pPr>
              <w:widowControl w:val="0"/>
              <w:adjustRightInd w:val="0"/>
              <w:ind w:right="640"/>
              <w:jc w:val="right"/>
              <w:rPr>
                <w:rFonts w:ascii="Times New Roman" w:hAnsi="Times New Roman" w:cs="Times New Roman"/>
                <w:sz w:val="24"/>
                <w:szCs w:val="24"/>
              </w:rPr>
            </w:pPr>
            <w:r>
              <w:rPr>
                <w:rFonts w:ascii="Cambria" w:hAnsi="Cambria" w:cs="Cambria"/>
                <w:w w:val="98"/>
                <w:sz w:val="16"/>
                <w:szCs w:val="16"/>
              </w:rPr>
              <w:t>%</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bl>
    <w:p w:rsidR="008A2775" w:rsidRDefault="008A2775" w:rsidP="008A2775">
      <w:pPr>
        <w:widowControl w:val="0"/>
        <w:adjustRightInd w:val="0"/>
        <w:rPr>
          <w:rFonts w:ascii="Times New Roman" w:hAnsi="Times New Roman" w:cs="Times New Roman"/>
          <w:sz w:val="24"/>
          <w:szCs w:val="24"/>
        </w:rPr>
        <w:sectPr w:rsidR="008A2775">
          <w:pgSz w:w="11906" w:h="16838"/>
          <w:pgMar w:top="723" w:right="620" w:bottom="148" w:left="840" w:header="720" w:footer="720" w:gutter="0"/>
          <w:cols w:space="720" w:equalWidth="0">
            <w:col w:w="1044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87" w:lineRule="exact"/>
        <w:rPr>
          <w:rFonts w:ascii="Times New Roman" w:hAnsi="Times New Roman" w:cs="Times New Roman"/>
          <w:sz w:val="24"/>
          <w:szCs w:val="24"/>
        </w:rPr>
      </w:pPr>
    </w:p>
    <w:p w:rsidR="008A2775" w:rsidRDefault="008A2775" w:rsidP="008A2775">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6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00" w:bottom="148" w:left="860" w:header="720" w:footer="720" w:gutter="0"/>
          <w:cols w:space="720" w:equalWidth="0">
            <w:col w:w="10140"/>
          </w:cols>
          <w:noEndnote/>
        </w:sectPr>
      </w:pPr>
    </w:p>
    <w:p w:rsidR="008A2775" w:rsidRDefault="008A2775" w:rsidP="008A2775">
      <w:pPr>
        <w:widowControl w:val="0"/>
        <w:overflowPunct w:val="0"/>
        <w:adjustRightInd w:val="0"/>
        <w:ind w:right="340"/>
        <w:jc w:val="right"/>
        <w:rPr>
          <w:rFonts w:ascii="Times New Roman" w:hAnsi="Times New Roman" w:cs="Times New Roman"/>
          <w:sz w:val="24"/>
          <w:szCs w:val="24"/>
        </w:rPr>
      </w:pPr>
      <w:bookmarkStart w:id="9" w:name="page13"/>
      <w:bookmarkEnd w:id="9"/>
      <w:r>
        <w:rPr>
          <w:noProof/>
          <w:lang w:val="cs-CZ"/>
        </w:rPr>
        <w:lastRenderedPageBreak/>
        <w:drawing>
          <wp:anchor distT="0" distB="0" distL="114300" distR="114300" simplePos="0" relativeHeight="251705344" behindDoc="1" locked="0" layoutInCell="0" allowOverlap="1" wp14:anchorId="0B08CD95" wp14:editId="6BC3828D">
            <wp:simplePos x="0" y="0"/>
            <wp:positionH relativeFrom="page">
              <wp:posOffset>539750</wp:posOffset>
            </wp:positionH>
            <wp:positionV relativeFrom="page">
              <wp:posOffset>370205</wp:posOffset>
            </wp:positionV>
            <wp:extent cx="2005330" cy="548640"/>
            <wp:effectExtent l="0" t="0" r="0" b="3810"/>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ZÁVAZNÉ PARAMETRY ŘEŠENÍ PROJEKTU</w:t>
      </w:r>
    </w:p>
    <w:p w:rsidR="008A2775" w:rsidRDefault="008A2775" w:rsidP="008A2775">
      <w:pPr>
        <w:widowControl w:val="0"/>
        <w:overflowPunct w:val="0"/>
        <w:adjustRightInd w:val="0"/>
        <w:ind w:right="34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47" w:lineRule="exact"/>
        <w:rPr>
          <w:rFonts w:ascii="Times New Roman" w:hAnsi="Times New Roman" w:cs="Times New Roman"/>
          <w:sz w:val="24"/>
          <w:szCs w:val="24"/>
        </w:rPr>
      </w:pPr>
    </w:p>
    <w:p w:rsidR="008A2775" w:rsidRDefault="008A2775" w:rsidP="008A2775">
      <w:pPr>
        <w:widowControl w:val="0"/>
        <w:adjustRightInd w:val="0"/>
        <w:ind w:left="120"/>
        <w:rPr>
          <w:rFonts w:ascii="Times New Roman" w:hAnsi="Times New Roman" w:cs="Times New Roman"/>
          <w:sz w:val="24"/>
          <w:szCs w:val="24"/>
        </w:rPr>
      </w:pPr>
      <w:r>
        <w:rPr>
          <w:rFonts w:ascii="Cambria" w:hAnsi="Cambria" w:cs="Cambria"/>
          <w:b/>
          <w:bCs/>
        </w:rPr>
        <w:t>11) Finance za projekt</w:t>
      </w:r>
    </w:p>
    <w:p w:rsidR="008A2775" w:rsidRDefault="008A2775" w:rsidP="008A2775">
      <w:pPr>
        <w:widowControl w:val="0"/>
        <w:adjustRightInd w:val="0"/>
        <w:spacing w:line="126" w:lineRule="exact"/>
        <w:rPr>
          <w:rFonts w:ascii="Times New Roman" w:hAnsi="Times New Roman" w:cs="Times New Roman"/>
          <w:sz w:val="24"/>
          <w:szCs w:val="24"/>
        </w:rPr>
      </w:pPr>
    </w:p>
    <w:p w:rsidR="008A2775" w:rsidRDefault="008A2775" w:rsidP="008A2775">
      <w:pPr>
        <w:widowControl w:val="0"/>
        <w:adjustRightInd w:val="0"/>
        <w:ind w:left="240"/>
        <w:rPr>
          <w:rFonts w:ascii="Times New Roman" w:hAnsi="Times New Roman" w:cs="Times New Roman"/>
          <w:sz w:val="24"/>
          <w:szCs w:val="24"/>
        </w:rPr>
      </w:pPr>
      <w:r>
        <w:rPr>
          <w:rFonts w:ascii="Cambria" w:hAnsi="Cambria" w:cs="Cambria"/>
          <w:b/>
          <w:bCs/>
          <w:sz w:val="16"/>
          <w:szCs w:val="16"/>
        </w:rPr>
        <w:t>Náklady za projekt</w:t>
      </w:r>
    </w:p>
    <w:p w:rsidR="008A2775" w:rsidRDefault="008A2775" w:rsidP="008A2775">
      <w:pPr>
        <w:widowControl w:val="0"/>
        <w:adjustRightInd w:val="0"/>
        <w:spacing w:line="20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20"/>
        <w:gridCol w:w="1300"/>
        <w:gridCol w:w="760"/>
        <w:gridCol w:w="380"/>
        <w:gridCol w:w="1120"/>
        <w:gridCol w:w="1140"/>
        <w:gridCol w:w="240"/>
        <w:gridCol w:w="900"/>
        <w:gridCol w:w="1120"/>
        <w:gridCol w:w="1140"/>
        <w:gridCol w:w="1140"/>
        <w:gridCol w:w="30"/>
      </w:tblGrid>
      <w:tr w:rsidR="008A2775" w:rsidTr="00FA1561">
        <w:trPr>
          <w:trHeight w:val="50"/>
        </w:trPr>
        <w:tc>
          <w:tcPr>
            <w:tcW w:w="12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4"/>
                <w:szCs w:val="4"/>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vMerge w:val="restart"/>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320"/>
              <w:rPr>
                <w:rFonts w:ascii="Times New Roman" w:hAnsi="Times New Roman" w:cs="Times New Roman"/>
                <w:sz w:val="24"/>
                <w:szCs w:val="24"/>
              </w:rPr>
            </w:pPr>
            <w:r>
              <w:rPr>
                <w:rFonts w:ascii="Cambria" w:hAnsi="Cambria" w:cs="Cambria"/>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76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38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1220" w:type="dxa"/>
            <w:vMerge/>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760" w:type="dxa"/>
            <w:vMerge w:val="restart"/>
            <w:tcBorders>
              <w:top w:val="nil"/>
              <w:left w:val="nil"/>
              <w:bottom w:val="nil"/>
              <w:right w:val="nil"/>
            </w:tcBorders>
            <w:shd w:val="clear" w:color="auto" w:fill="F5F5F5"/>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2016</w:t>
            </w:r>
          </w:p>
        </w:tc>
        <w:tc>
          <w:tcPr>
            <w:tcW w:w="3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1220" w:type="dxa"/>
            <w:tcBorders>
              <w:top w:val="nil"/>
              <w:left w:val="single" w:sz="8" w:space="0" w:color="auto"/>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760" w:type="dxa"/>
            <w:vMerge/>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Osobní 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1 470 516</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1 470 516</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1 470 516</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735 258</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5 146 806</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Náklady na</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60 000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60 000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40 000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220 000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subdodávky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530 000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540 000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540 000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295 000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1 905 000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Nepřímé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511 659</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514 659</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514 659</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251 329</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1 792 306</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náklady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83"/>
        </w:trPr>
        <w:tc>
          <w:tcPr>
            <w:tcW w:w="1220" w:type="dxa"/>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NÁKLADY</w:t>
            </w:r>
          </w:p>
        </w:tc>
        <w:tc>
          <w:tcPr>
            <w:tcW w:w="13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76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2 572 175</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2 585 175</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2 585 175</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1 321 587</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9 064 112</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52"/>
        </w:trPr>
        <w:tc>
          <w:tcPr>
            <w:tcW w:w="1220" w:type="dxa"/>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76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38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tcBorders>
              <w:top w:val="single" w:sz="8" w:space="0" w:color="auto"/>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Podíl nákladů</w:t>
            </w:r>
          </w:p>
        </w:tc>
        <w:tc>
          <w:tcPr>
            <w:tcW w:w="13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w:t>
            </w:r>
          </w:p>
        </w:tc>
        <w:tc>
          <w:tcPr>
            <w:tcW w:w="76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38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2.33</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2.32</w:t>
            </w:r>
          </w:p>
        </w:tc>
        <w:tc>
          <w:tcPr>
            <w:tcW w:w="240" w:type="dxa"/>
            <w:tcBorders>
              <w:top w:val="single" w:sz="8" w:space="0" w:color="auto"/>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2.32</w:t>
            </w:r>
          </w:p>
        </w:tc>
        <w:tc>
          <w:tcPr>
            <w:tcW w:w="112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3.03</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2.43</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na subdodávky</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85"/>
        </w:trPr>
        <w:tc>
          <w:tcPr>
            <w:tcW w:w="2520" w:type="dxa"/>
            <w:gridSpan w:val="2"/>
            <w:tcBorders>
              <w:top w:val="nil"/>
              <w:left w:val="nil"/>
              <w:bottom w:val="nil"/>
              <w:right w:val="nil"/>
            </w:tcBorders>
            <w:vAlign w:val="bottom"/>
          </w:tcPr>
          <w:p w:rsidR="008A2775" w:rsidRDefault="008A2775" w:rsidP="00FA1561">
            <w:pPr>
              <w:widowControl w:val="0"/>
              <w:adjustRightInd w:val="0"/>
              <w:ind w:left="240"/>
              <w:rPr>
                <w:rFonts w:ascii="Times New Roman" w:hAnsi="Times New Roman" w:cs="Times New Roman"/>
                <w:sz w:val="24"/>
                <w:szCs w:val="24"/>
              </w:rPr>
            </w:pPr>
            <w:r>
              <w:rPr>
                <w:rFonts w:ascii="Cambria" w:hAnsi="Cambria" w:cs="Cambria"/>
                <w:b/>
                <w:bCs/>
                <w:sz w:val="16"/>
                <w:szCs w:val="16"/>
              </w:rPr>
              <w:t>Zdroje za projekt</w:t>
            </w:r>
          </w:p>
        </w:tc>
        <w:tc>
          <w:tcPr>
            <w:tcW w:w="76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38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90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2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11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27"/>
        </w:trPr>
        <w:tc>
          <w:tcPr>
            <w:tcW w:w="12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3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380" w:type="dxa"/>
            <w:gridSpan w:val="2"/>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90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19"/>
                <w:szCs w:val="19"/>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vMerge w:val="restart"/>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320"/>
              <w:rPr>
                <w:rFonts w:ascii="Times New Roman" w:hAnsi="Times New Roman" w:cs="Times New Roman"/>
                <w:sz w:val="24"/>
                <w:szCs w:val="24"/>
              </w:rPr>
            </w:pPr>
            <w:r>
              <w:rPr>
                <w:rFonts w:ascii="Cambria" w:hAnsi="Cambria" w:cs="Cambria"/>
                <w:sz w:val="16"/>
                <w:szCs w:val="16"/>
              </w:rPr>
              <w:t>Ukazatel</w:t>
            </w:r>
          </w:p>
        </w:tc>
        <w:tc>
          <w:tcPr>
            <w:tcW w:w="130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left="340"/>
              <w:rPr>
                <w:rFonts w:ascii="Times New Roman" w:hAnsi="Times New Roman" w:cs="Times New Roman"/>
                <w:sz w:val="24"/>
                <w:szCs w:val="24"/>
              </w:rPr>
            </w:pPr>
            <w:r>
              <w:rPr>
                <w:rFonts w:ascii="Cambria" w:hAnsi="Cambria" w:cs="Cambria"/>
                <w:sz w:val="16"/>
                <w:szCs w:val="16"/>
              </w:rPr>
              <w:t>Jednotka</w:t>
            </w:r>
          </w:p>
        </w:tc>
        <w:tc>
          <w:tcPr>
            <w:tcW w:w="76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380" w:type="dxa"/>
            <w:gridSpan w:val="2"/>
            <w:tcBorders>
              <w:top w:val="nil"/>
              <w:left w:val="nil"/>
              <w:bottom w:val="single" w:sz="8" w:space="0" w:color="auto"/>
              <w:right w:val="nil"/>
            </w:tcBorders>
            <w:shd w:val="clear" w:color="auto" w:fill="F5F5F5"/>
            <w:vAlign w:val="bottom"/>
          </w:tcPr>
          <w:p w:rsidR="008A2775" w:rsidRDefault="008A2775" w:rsidP="00FA1561">
            <w:pPr>
              <w:widowControl w:val="0"/>
              <w:adjustRightInd w:val="0"/>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20" w:type="dxa"/>
            <w:tcBorders>
              <w:top w:val="nil"/>
              <w:left w:val="nil"/>
              <w:bottom w:val="single" w:sz="8" w:space="0" w:color="auto"/>
              <w:right w:val="single" w:sz="8" w:space="0" w:color="F5F5F5"/>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rPr>
            </w:pPr>
          </w:p>
        </w:tc>
        <w:tc>
          <w:tcPr>
            <w:tcW w:w="1140" w:type="dxa"/>
            <w:vMerge w:val="restart"/>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35"/>
        </w:trPr>
        <w:tc>
          <w:tcPr>
            <w:tcW w:w="1220" w:type="dxa"/>
            <w:vMerge/>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30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760" w:type="dxa"/>
            <w:vMerge w:val="restart"/>
            <w:tcBorders>
              <w:top w:val="nil"/>
              <w:left w:val="nil"/>
              <w:bottom w:val="nil"/>
              <w:right w:val="nil"/>
            </w:tcBorders>
            <w:shd w:val="clear" w:color="auto" w:fill="F5F5F5"/>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2016</w:t>
            </w:r>
          </w:p>
        </w:tc>
        <w:tc>
          <w:tcPr>
            <w:tcW w:w="3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2017</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2019</w:t>
            </w:r>
          </w:p>
        </w:tc>
        <w:tc>
          <w:tcPr>
            <w:tcW w:w="112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val="restart"/>
            <w:tcBorders>
              <w:top w:val="nil"/>
              <w:left w:val="nil"/>
              <w:bottom w:val="nil"/>
              <w:right w:val="single" w:sz="8" w:space="0" w:color="auto"/>
            </w:tcBorders>
            <w:shd w:val="clear" w:color="auto" w:fill="F5F5F5"/>
            <w:vAlign w:val="bottom"/>
          </w:tcPr>
          <w:p w:rsidR="008A2775" w:rsidRDefault="008A2775" w:rsidP="00FA1561">
            <w:pPr>
              <w:widowControl w:val="0"/>
              <w:adjustRightInd w:val="0"/>
              <w:ind w:right="320"/>
              <w:jc w:val="right"/>
              <w:rPr>
                <w:rFonts w:ascii="Times New Roman" w:hAnsi="Times New Roman" w:cs="Times New Roman"/>
                <w:sz w:val="24"/>
                <w:szCs w:val="24"/>
              </w:rPr>
            </w:pPr>
            <w:r>
              <w:rPr>
                <w:rFonts w:ascii="Cambria" w:hAnsi="Cambria" w:cs="Cambria"/>
                <w:sz w:val="16"/>
                <w:szCs w:val="16"/>
              </w:rPr>
              <w:t>2021</w:t>
            </w:r>
          </w:p>
        </w:tc>
        <w:tc>
          <w:tcPr>
            <w:tcW w:w="1140" w:type="dxa"/>
            <w:vMerge/>
            <w:tcBorders>
              <w:top w:val="nil"/>
              <w:left w:val="nil"/>
              <w:bottom w:val="nil"/>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11"/>
                <w:szCs w:val="1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03"/>
        </w:trPr>
        <w:tc>
          <w:tcPr>
            <w:tcW w:w="1220" w:type="dxa"/>
            <w:tcBorders>
              <w:top w:val="nil"/>
              <w:left w:val="single" w:sz="8" w:space="0" w:color="auto"/>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30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760" w:type="dxa"/>
            <w:vMerge/>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2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8"/>
                <w:szCs w:val="8"/>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Podpora</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2 053 836</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2 063 836</w:t>
            </w: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2 063 836</w:t>
            </w: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1 051 918</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7 233 426</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Ostatní veřejné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59"/>
        </w:trPr>
        <w:tc>
          <w:tcPr>
            <w:tcW w:w="1220" w:type="dxa"/>
            <w:tcBorders>
              <w:top w:val="nil"/>
              <w:left w:val="single" w:sz="8" w:space="0" w:color="auto"/>
              <w:bottom w:val="nil"/>
              <w:right w:val="single" w:sz="8" w:space="0" w:color="auto"/>
            </w:tcBorders>
            <w:vAlign w:val="bottom"/>
          </w:tcPr>
          <w:p w:rsidR="008A2775" w:rsidRDefault="008A2775" w:rsidP="00FA1561">
            <w:pPr>
              <w:widowControl w:val="0"/>
              <w:adjustRightInd w:val="0"/>
              <w:spacing w:line="159" w:lineRule="exact"/>
              <w:ind w:left="40"/>
              <w:rPr>
                <w:rFonts w:ascii="Times New Roman" w:hAnsi="Times New Roman" w:cs="Times New Roman"/>
                <w:sz w:val="24"/>
                <w:szCs w:val="24"/>
              </w:rPr>
            </w:pPr>
            <w:r>
              <w:rPr>
                <w:rFonts w:ascii="Cambria" w:hAnsi="Cambria" w:cs="Cambria"/>
                <w:sz w:val="16"/>
                <w:szCs w:val="16"/>
              </w:rPr>
              <w:t>Neveřejné</w:t>
            </w:r>
          </w:p>
        </w:tc>
        <w:tc>
          <w:tcPr>
            <w:tcW w:w="13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ind w:left="20"/>
              <w:rPr>
                <w:rFonts w:ascii="Times New Roman" w:hAnsi="Times New Roman" w:cs="Times New Roman"/>
                <w:sz w:val="24"/>
                <w:szCs w:val="24"/>
              </w:rPr>
            </w:pPr>
            <w:r>
              <w:rPr>
                <w:rFonts w:ascii="Cambria" w:hAnsi="Cambria" w:cs="Cambria"/>
                <w:sz w:val="16"/>
                <w:szCs w:val="16"/>
              </w:rPr>
              <w:t>Kč</w:t>
            </w:r>
          </w:p>
        </w:tc>
        <w:tc>
          <w:tcPr>
            <w:tcW w:w="76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518 339</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521 339</w:t>
            </w:r>
          </w:p>
        </w:tc>
        <w:tc>
          <w:tcPr>
            <w:tcW w:w="2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13"/>
                <w:szCs w:val="13"/>
              </w:rPr>
            </w:pPr>
          </w:p>
        </w:tc>
        <w:tc>
          <w:tcPr>
            <w:tcW w:w="90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521 339</w:t>
            </w:r>
          </w:p>
        </w:tc>
        <w:tc>
          <w:tcPr>
            <w:tcW w:w="112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269 669</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nil"/>
              <w:right w:val="single" w:sz="8" w:space="0" w:color="auto"/>
            </w:tcBorders>
            <w:vAlign w:val="bottom"/>
          </w:tcPr>
          <w:p w:rsidR="008A2775" w:rsidRDefault="008A2775" w:rsidP="00FA1561">
            <w:pPr>
              <w:widowControl w:val="0"/>
              <w:adjustRightInd w:val="0"/>
              <w:spacing w:line="159" w:lineRule="exact"/>
              <w:jc w:val="right"/>
              <w:rPr>
                <w:rFonts w:ascii="Times New Roman" w:hAnsi="Times New Roman" w:cs="Times New Roman"/>
                <w:sz w:val="24"/>
                <w:szCs w:val="24"/>
              </w:rPr>
            </w:pPr>
            <w:r>
              <w:rPr>
                <w:rFonts w:ascii="Cambria" w:hAnsi="Cambria" w:cs="Cambria"/>
                <w:sz w:val="16"/>
                <w:szCs w:val="16"/>
              </w:rPr>
              <w:t>1 830 686</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72"/>
        </w:trPr>
        <w:tc>
          <w:tcPr>
            <w:tcW w:w="1220" w:type="dxa"/>
            <w:tcBorders>
              <w:top w:val="nil"/>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zdroje</w:t>
            </w:r>
          </w:p>
        </w:tc>
        <w:tc>
          <w:tcPr>
            <w:tcW w:w="13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38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sz w:val="23"/>
                <w:szCs w:val="23"/>
              </w:rPr>
            </w:pPr>
          </w:p>
        </w:tc>
        <w:tc>
          <w:tcPr>
            <w:tcW w:w="90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2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1140" w:type="dxa"/>
            <w:tcBorders>
              <w:top w:val="nil"/>
              <w:left w:val="nil"/>
              <w:bottom w:val="single" w:sz="8" w:space="0" w:color="auto"/>
              <w:right w:val="single" w:sz="8" w:space="0" w:color="auto"/>
            </w:tcBorders>
            <w:vAlign w:val="bottom"/>
          </w:tcPr>
          <w:p w:rsidR="008A2775" w:rsidRDefault="008A2775" w:rsidP="00FA1561">
            <w:pPr>
              <w:widowControl w:val="0"/>
              <w:adjustRightInd w:val="0"/>
              <w:rPr>
                <w:rFonts w:ascii="Times New Roman" w:hAnsi="Times New Roman" w:cs="Times New Roman"/>
                <w:sz w:val="23"/>
                <w:szCs w:val="23"/>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183"/>
        </w:trPr>
        <w:tc>
          <w:tcPr>
            <w:tcW w:w="1220" w:type="dxa"/>
            <w:tcBorders>
              <w:top w:val="nil"/>
              <w:left w:val="single" w:sz="8" w:space="0" w:color="auto"/>
              <w:bottom w:val="nil"/>
              <w:right w:val="single" w:sz="8" w:space="0" w:color="auto"/>
            </w:tcBorders>
            <w:shd w:val="clear" w:color="auto" w:fill="F5F5F5"/>
            <w:vAlign w:val="bottom"/>
          </w:tcPr>
          <w:p w:rsidR="008A2775" w:rsidRDefault="008A2775" w:rsidP="00FA1561">
            <w:pPr>
              <w:widowControl w:val="0"/>
              <w:adjustRightInd w:val="0"/>
              <w:spacing w:line="183" w:lineRule="exact"/>
              <w:ind w:left="40"/>
              <w:rPr>
                <w:rFonts w:ascii="Times New Roman" w:hAnsi="Times New Roman" w:cs="Times New Roman"/>
                <w:sz w:val="24"/>
                <w:szCs w:val="24"/>
              </w:rPr>
            </w:pPr>
            <w:r>
              <w:rPr>
                <w:rFonts w:ascii="Cambria" w:hAnsi="Cambria" w:cs="Cambria"/>
                <w:b/>
                <w:bCs/>
                <w:sz w:val="16"/>
                <w:szCs w:val="16"/>
              </w:rPr>
              <w:t>ZDROJE</w:t>
            </w:r>
          </w:p>
        </w:tc>
        <w:tc>
          <w:tcPr>
            <w:tcW w:w="13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ind w:left="20"/>
              <w:rPr>
                <w:rFonts w:ascii="Times New Roman" w:hAnsi="Times New Roman" w:cs="Times New Roman"/>
                <w:sz w:val="24"/>
                <w:szCs w:val="24"/>
              </w:rPr>
            </w:pPr>
            <w:r>
              <w:rPr>
                <w:rFonts w:ascii="Cambria" w:hAnsi="Cambria" w:cs="Cambria"/>
                <w:b/>
                <w:bCs/>
                <w:sz w:val="16"/>
                <w:szCs w:val="16"/>
              </w:rPr>
              <w:t>Kč</w:t>
            </w:r>
          </w:p>
        </w:tc>
        <w:tc>
          <w:tcPr>
            <w:tcW w:w="76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38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2 572 175</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2 585 175</w:t>
            </w:r>
          </w:p>
        </w:tc>
        <w:tc>
          <w:tcPr>
            <w:tcW w:w="240" w:type="dxa"/>
            <w:tcBorders>
              <w:top w:val="nil"/>
              <w:left w:val="nil"/>
              <w:bottom w:val="nil"/>
              <w:right w:val="nil"/>
            </w:tcBorders>
            <w:shd w:val="clear" w:color="auto" w:fill="F5F5F5"/>
            <w:vAlign w:val="bottom"/>
          </w:tcPr>
          <w:p w:rsidR="008A2775" w:rsidRDefault="008A2775" w:rsidP="00FA1561">
            <w:pPr>
              <w:widowControl w:val="0"/>
              <w:adjustRightInd w:val="0"/>
              <w:rPr>
                <w:rFonts w:ascii="Times New Roman" w:hAnsi="Times New Roman" w:cs="Times New Roman"/>
                <w:sz w:val="15"/>
                <w:szCs w:val="15"/>
              </w:rPr>
            </w:pPr>
          </w:p>
        </w:tc>
        <w:tc>
          <w:tcPr>
            <w:tcW w:w="90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2 585 175</w:t>
            </w:r>
          </w:p>
        </w:tc>
        <w:tc>
          <w:tcPr>
            <w:tcW w:w="112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1 321 587</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0</w:t>
            </w:r>
          </w:p>
        </w:tc>
        <w:tc>
          <w:tcPr>
            <w:tcW w:w="1140" w:type="dxa"/>
            <w:tcBorders>
              <w:top w:val="nil"/>
              <w:left w:val="nil"/>
              <w:bottom w:val="nil"/>
              <w:right w:val="single" w:sz="8" w:space="0" w:color="auto"/>
            </w:tcBorders>
            <w:shd w:val="clear" w:color="auto" w:fill="F5F5F5"/>
            <w:vAlign w:val="bottom"/>
          </w:tcPr>
          <w:p w:rsidR="008A2775" w:rsidRDefault="008A2775" w:rsidP="00FA1561">
            <w:pPr>
              <w:widowControl w:val="0"/>
              <w:adjustRightInd w:val="0"/>
              <w:spacing w:line="183" w:lineRule="exact"/>
              <w:jc w:val="right"/>
              <w:rPr>
                <w:rFonts w:ascii="Times New Roman" w:hAnsi="Times New Roman" w:cs="Times New Roman"/>
                <w:sz w:val="24"/>
                <w:szCs w:val="24"/>
              </w:rPr>
            </w:pPr>
            <w:r>
              <w:rPr>
                <w:rFonts w:ascii="Cambria" w:hAnsi="Cambria" w:cs="Cambria"/>
                <w:b/>
                <w:bCs/>
                <w:sz w:val="16"/>
                <w:szCs w:val="16"/>
              </w:rPr>
              <w:t>9 064 112</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52"/>
        </w:trPr>
        <w:tc>
          <w:tcPr>
            <w:tcW w:w="1220" w:type="dxa"/>
            <w:tcBorders>
              <w:top w:val="nil"/>
              <w:left w:val="single" w:sz="8" w:space="0" w:color="auto"/>
              <w:bottom w:val="single" w:sz="8" w:space="0" w:color="F5F5F5"/>
              <w:right w:val="single" w:sz="8" w:space="0" w:color="auto"/>
            </w:tcBorders>
            <w:shd w:val="clear" w:color="auto" w:fill="F5F5F5"/>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b/>
                <w:bCs/>
                <w:sz w:val="16"/>
                <w:szCs w:val="16"/>
              </w:rPr>
              <w:t>CELKEM</w:t>
            </w:r>
          </w:p>
        </w:tc>
        <w:tc>
          <w:tcPr>
            <w:tcW w:w="13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76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38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240" w:type="dxa"/>
            <w:tcBorders>
              <w:top w:val="nil"/>
              <w:left w:val="nil"/>
              <w:bottom w:val="single" w:sz="8" w:space="0" w:color="F5F5F5"/>
              <w:right w:val="nil"/>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90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2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1140" w:type="dxa"/>
            <w:tcBorders>
              <w:top w:val="nil"/>
              <w:left w:val="nil"/>
              <w:bottom w:val="single" w:sz="8" w:space="0" w:color="F5F5F5"/>
              <w:right w:val="single" w:sz="8" w:space="0" w:color="auto"/>
            </w:tcBorders>
            <w:shd w:val="clear" w:color="auto" w:fill="F5F5F5"/>
            <w:vAlign w:val="bottom"/>
          </w:tcPr>
          <w:p w:rsidR="008A2775" w:rsidRDefault="008A2775" w:rsidP="00FA1561">
            <w:pPr>
              <w:widowControl w:val="0"/>
              <w:adjustRightInd w:val="0"/>
              <w:rPr>
                <w:rFonts w:ascii="Times New Roman" w:hAnsi="Times New Roman" w:cs="Times New Roman"/>
                <w:sz w:val="21"/>
                <w:szCs w:val="21"/>
              </w:rPr>
            </w:pP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r w:rsidR="008A2775" w:rsidTr="00FA1561">
        <w:trPr>
          <w:trHeight w:val="239"/>
        </w:trPr>
        <w:tc>
          <w:tcPr>
            <w:tcW w:w="1220" w:type="dxa"/>
            <w:tcBorders>
              <w:top w:val="single" w:sz="8" w:space="0" w:color="auto"/>
              <w:left w:val="single" w:sz="8" w:space="0" w:color="auto"/>
              <w:bottom w:val="single" w:sz="8" w:space="0" w:color="auto"/>
              <w:right w:val="single" w:sz="8" w:space="0" w:color="auto"/>
            </w:tcBorders>
            <w:vAlign w:val="bottom"/>
          </w:tcPr>
          <w:p w:rsidR="008A2775" w:rsidRDefault="008A2775" w:rsidP="00FA1561">
            <w:pPr>
              <w:widowControl w:val="0"/>
              <w:adjustRightInd w:val="0"/>
              <w:ind w:left="40"/>
              <w:rPr>
                <w:rFonts w:ascii="Times New Roman" w:hAnsi="Times New Roman" w:cs="Times New Roman"/>
                <w:sz w:val="24"/>
                <w:szCs w:val="24"/>
              </w:rPr>
            </w:pPr>
            <w:r>
              <w:rPr>
                <w:rFonts w:ascii="Cambria" w:hAnsi="Cambria" w:cs="Cambria"/>
                <w:sz w:val="16"/>
                <w:szCs w:val="16"/>
              </w:rPr>
              <w:t>Míra podpory</w:t>
            </w:r>
          </w:p>
        </w:tc>
        <w:tc>
          <w:tcPr>
            <w:tcW w:w="13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ind w:left="20"/>
              <w:rPr>
                <w:rFonts w:ascii="Times New Roman" w:hAnsi="Times New Roman" w:cs="Times New Roman"/>
                <w:sz w:val="24"/>
                <w:szCs w:val="24"/>
              </w:rPr>
            </w:pPr>
            <w:r>
              <w:rPr>
                <w:rFonts w:ascii="Cambria" w:hAnsi="Cambria" w:cs="Cambria"/>
                <w:sz w:val="16"/>
                <w:szCs w:val="16"/>
              </w:rPr>
              <w:t>%</w:t>
            </w:r>
          </w:p>
        </w:tc>
        <w:tc>
          <w:tcPr>
            <w:tcW w:w="76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38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2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79.85</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79.83</w:t>
            </w:r>
          </w:p>
        </w:tc>
        <w:tc>
          <w:tcPr>
            <w:tcW w:w="240" w:type="dxa"/>
            <w:tcBorders>
              <w:top w:val="single" w:sz="8" w:space="0" w:color="auto"/>
              <w:left w:val="nil"/>
              <w:bottom w:val="single" w:sz="8" w:space="0" w:color="auto"/>
              <w:right w:val="nil"/>
            </w:tcBorders>
            <w:vAlign w:val="bottom"/>
          </w:tcPr>
          <w:p w:rsidR="008A2775" w:rsidRDefault="008A2775" w:rsidP="00FA1561">
            <w:pPr>
              <w:widowControl w:val="0"/>
              <w:adjustRightInd w:val="0"/>
              <w:rPr>
                <w:rFonts w:ascii="Times New Roman" w:hAnsi="Times New Roman" w:cs="Times New Roman"/>
              </w:rPr>
            </w:pPr>
          </w:p>
        </w:tc>
        <w:tc>
          <w:tcPr>
            <w:tcW w:w="90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79.83</w:t>
            </w:r>
          </w:p>
        </w:tc>
        <w:tc>
          <w:tcPr>
            <w:tcW w:w="112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79.60</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0.00</w:t>
            </w:r>
          </w:p>
        </w:tc>
        <w:tc>
          <w:tcPr>
            <w:tcW w:w="1140" w:type="dxa"/>
            <w:tcBorders>
              <w:top w:val="single" w:sz="8" w:space="0" w:color="auto"/>
              <w:left w:val="nil"/>
              <w:bottom w:val="single" w:sz="8" w:space="0" w:color="auto"/>
              <w:right w:val="single" w:sz="8" w:space="0" w:color="auto"/>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79.80</w:t>
            </w:r>
          </w:p>
        </w:tc>
        <w:tc>
          <w:tcPr>
            <w:tcW w:w="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
                <w:szCs w:val="2"/>
              </w:rPr>
            </w:pPr>
          </w:p>
        </w:tc>
      </w:tr>
    </w:tbl>
    <w:p w:rsidR="008A2775" w:rsidRDefault="008A2775" w:rsidP="008A2775">
      <w:pPr>
        <w:widowControl w:val="0"/>
        <w:adjustRightInd w:val="0"/>
        <w:rPr>
          <w:rFonts w:ascii="Times New Roman" w:hAnsi="Times New Roman" w:cs="Times New Roman"/>
          <w:sz w:val="24"/>
          <w:szCs w:val="24"/>
        </w:rPr>
        <w:sectPr w:rsidR="008A2775">
          <w:pgSz w:w="11906" w:h="16838"/>
          <w:pgMar w:top="723" w:right="620" w:bottom="148" w:left="840" w:header="720" w:footer="720" w:gutter="0"/>
          <w:cols w:space="720" w:equalWidth="0">
            <w:col w:w="1044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50" w:lineRule="exact"/>
        <w:rPr>
          <w:rFonts w:ascii="Times New Roman" w:hAnsi="Times New Roman" w:cs="Times New Roman"/>
          <w:sz w:val="24"/>
          <w:szCs w:val="24"/>
        </w:rPr>
      </w:pPr>
    </w:p>
    <w:p w:rsidR="008A2775" w:rsidRDefault="008A2775" w:rsidP="008A2775">
      <w:pPr>
        <w:widowControl w:val="0"/>
        <w:tabs>
          <w:tab w:val="left" w:pos="9240"/>
        </w:tabs>
        <w:adjustRightInd w:val="0"/>
        <w:rPr>
          <w:rFonts w:ascii="Times New Roman" w:hAnsi="Times New Roman" w:cs="Times New Roman"/>
          <w:sz w:val="24"/>
          <w:szCs w:val="24"/>
        </w:rPr>
      </w:pPr>
      <w:r>
        <w:rPr>
          <w:rFonts w:ascii="Cambria" w:hAnsi="Cambria" w:cs="Cambria"/>
          <w:sz w:val="16"/>
          <w:szCs w:val="16"/>
        </w:rPr>
        <w:t>Evropská 1692/37, 160 00 Praha 6</w:t>
      </w:r>
      <w:r>
        <w:rPr>
          <w:rFonts w:ascii="Times New Roman" w:hAnsi="Times New Roman" w:cs="Times New Roman"/>
          <w:sz w:val="24"/>
          <w:szCs w:val="24"/>
        </w:rPr>
        <w:tab/>
      </w:r>
      <w:r>
        <w:rPr>
          <w:rFonts w:ascii="Cambria" w:hAnsi="Cambria" w:cs="Cambria"/>
          <w:sz w:val="15"/>
          <w:szCs w:val="15"/>
        </w:rPr>
        <w:t>Stránka 7 z 7</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telefon: +420 234 611 111 / fax: +420 234 611 112 / email: info@tacr.cz</w:t>
      </w:r>
    </w:p>
    <w:p w:rsidR="008A2775" w:rsidRDefault="008A2775" w:rsidP="008A2775">
      <w:pPr>
        <w:widowControl w:val="0"/>
        <w:adjustRightInd w:val="0"/>
        <w:spacing w:line="4"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sz w:val="16"/>
          <w:szCs w:val="16"/>
        </w:rPr>
        <w:t>www.tacr.cz</w:t>
      </w:r>
    </w:p>
    <w:p w:rsidR="008A2775" w:rsidRDefault="008A2775" w:rsidP="008A2775">
      <w:pPr>
        <w:widowControl w:val="0"/>
        <w:adjustRightInd w:val="0"/>
        <w:rPr>
          <w:rFonts w:ascii="Times New Roman" w:hAnsi="Times New Roman" w:cs="Times New Roman"/>
          <w:sz w:val="24"/>
          <w:szCs w:val="24"/>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07392" behindDoc="1" locked="0" layoutInCell="0" allowOverlap="1" wp14:anchorId="38B7CA14" wp14:editId="7DD02E83">
            <wp:simplePos x="0" y="0"/>
            <wp:positionH relativeFrom="page">
              <wp:posOffset>539750</wp:posOffset>
            </wp:positionH>
            <wp:positionV relativeFrom="page">
              <wp:posOffset>370205</wp:posOffset>
            </wp:positionV>
            <wp:extent cx="2005330" cy="548640"/>
            <wp:effectExtent l="0" t="0" r="0" b="3810"/>
            <wp:wrapNone/>
            <wp:docPr id="4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69" w:lineRule="exact"/>
        <w:rPr>
          <w:rFonts w:ascii="Times New Roman" w:hAnsi="Times New Roman" w:cs="Times New Roman"/>
          <w:sz w:val="24"/>
          <w:szCs w:val="24"/>
        </w:rPr>
      </w:pPr>
    </w:p>
    <w:p w:rsidR="008A2775" w:rsidRDefault="008A2775" w:rsidP="008A2775">
      <w:pPr>
        <w:widowControl w:val="0"/>
        <w:adjustRightInd w:val="0"/>
        <w:ind w:left="2250"/>
        <w:rPr>
          <w:rFonts w:ascii="Times New Roman" w:hAnsi="Times New Roman" w:cs="Times New Roman"/>
          <w:sz w:val="24"/>
          <w:szCs w:val="24"/>
        </w:rPr>
      </w:pPr>
      <w:r>
        <w:rPr>
          <w:rFonts w:ascii="Cambria" w:hAnsi="Cambria" w:cs="Cambria"/>
          <w:b/>
          <w:bCs/>
          <w:sz w:val="36"/>
          <w:szCs w:val="36"/>
        </w:rPr>
        <w:t>Příloha č. 2 – Všeobecné podmínky</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38" w:lineRule="exact"/>
        <w:rPr>
          <w:rFonts w:ascii="Times New Roman" w:hAnsi="Times New Roman" w:cs="Times New Roman"/>
          <w:sz w:val="24"/>
          <w:szCs w:val="24"/>
        </w:rPr>
      </w:pPr>
    </w:p>
    <w:p w:rsidR="008A2775" w:rsidRDefault="008A2775" w:rsidP="008A2775">
      <w:pPr>
        <w:widowControl w:val="0"/>
        <w:adjustRightInd w:val="0"/>
        <w:ind w:left="3270"/>
        <w:rPr>
          <w:rFonts w:ascii="Times New Roman" w:hAnsi="Times New Roman" w:cs="Times New Roman"/>
          <w:sz w:val="24"/>
          <w:szCs w:val="24"/>
        </w:rPr>
      </w:pPr>
      <w:r>
        <w:rPr>
          <w:rFonts w:ascii="Cambria" w:hAnsi="Cambria" w:cs="Cambria"/>
          <w:b/>
          <w:bCs/>
          <w:sz w:val="28"/>
          <w:szCs w:val="28"/>
        </w:rPr>
        <w:t>Část A – Základní ustanovení</w:t>
      </w:r>
    </w:p>
    <w:p w:rsidR="008A2775" w:rsidRDefault="008A2775" w:rsidP="008A2775">
      <w:pPr>
        <w:widowControl w:val="0"/>
        <w:adjustRightInd w:val="0"/>
        <w:spacing w:line="314" w:lineRule="exact"/>
        <w:rPr>
          <w:rFonts w:ascii="Times New Roman" w:hAnsi="Times New Roman" w:cs="Times New Roman"/>
          <w:sz w:val="24"/>
          <w:szCs w:val="24"/>
        </w:rPr>
      </w:pPr>
    </w:p>
    <w:p w:rsidR="008A2775" w:rsidRDefault="008A2775" w:rsidP="008A2775">
      <w:pPr>
        <w:widowControl w:val="0"/>
        <w:adjustRightInd w:val="0"/>
        <w:ind w:left="4690"/>
        <w:rPr>
          <w:rFonts w:ascii="Times New Roman" w:hAnsi="Times New Roman" w:cs="Times New Roman"/>
          <w:sz w:val="24"/>
          <w:szCs w:val="24"/>
        </w:rPr>
      </w:pPr>
      <w:r>
        <w:rPr>
          <w:rFonts w:ascii="Cambria" w:hAnsi="Cambria" w:cs="Cambria"/>
          <w:b/>
          <w:bCs/>
          <w:i/>
          <w:iCs/>
        </w:rPr>
        <w:t>Článek 1</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170"/>
        <w:rPr>
          <w:rFonts w:ascii="Times New Roman" w:hAnsi="Times New Roman" w:cs="Times New Roman"/>
          <w:sz w:val="24"/>
          <w:szCs w:val="24"/>
        </w:rPr>
      </w:pPr>
      <w:r>
        <w:rPr>
          <w:rFonts w:ascii="Cambria" w:hAnsi="Cambria" w:cs="Cambria"/>
          <w:b/>
          <w:bCs/>
          <w:i/>
          <w:iCs/>
        </w:rPr>
        <w:t>Obecná ustanovení</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15"/>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Všeobecné podmínky jsou závazné a vymahatelné vůči smluvním stranám Smlouvy o poskytnutí podpory na řešení programového projektu (dále jen „Smlouva“).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5"/>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Všeobecné podmínky jsou rovněž závazné a vymahatelné v případě Rozhodnutí o poskytnutí podpory, pokud ve prospěch příjemce bylo vydáno, přičemž v tomto případě se použijí přiměřeně.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5"/>
        </w:numPr>
        <w:tabs>
          <w:tab w:val="clear" w:pos="720"/>
          <w:tab w:val="num" w:pos="430"/>
        </w:tabs>
        <w:overflowPunct w:val="0"/>
        <w:adjustRightInd w:val="0"/>
        <w:spacing w:line="295" w:lineRule="auto"/>
        <w:ind w:left="430" w:hanging="430"/>
        <w:jc w:val="both"/>
        <w:rPr>
          <w:rFonts w:ascii="Cambria" w:hAnsi="Cambria" w:cs="Cambria"/>
          <w:b/>
          <w:bCs/>
        </w:rPr>
      </w:pPr>
      <w:r>
        <w:rPr>
          <w:rFonts w:ascii="Cambria" w:hAnsi="Cambria" w:cs="Cambria"/>
        </w:rPr>
        <w:t xml:space="preserve">Pokud Všeobecné podmínky odkazují na procesy (zejména změnová řízení nebo hodnotící a kontrolní procesy), které jsou upraveny vnitřními předpisy poskytovatele, jsou tyto vnitřní předpisy pro smluvní strany závazné. Vnitřní předpisy jsou dostupné na internetové adrese http://www.tacr.cz v sekci „vnitřní předpisy“.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15"/>
        </w:numPr>
        <w:tabs>
          <w:tab w:val="clear" w:pos="720"/>
          <w:tab w:val="num" w:pos="430"/>
        </w:tabs>
        <w:overflowPunct w:val="0"/>
        <w:adjustRightInd w:val="0"/>
        <w:spacing w:line="305" w:lineRule="auto"/>
        <w:ind w:left="430" w:hanging="430"/>
        <w:jc w:val="both"/>
        <w:rPr>
          <w:rFonts w:ascii="Cambria" w:hAnsi="Cambria" w:cs="Cambria"/>
          <w:b/>
          <w:bCs/>
        </w:rPr>
      </w:pPr>
      <w:r>
        <w:rPr>
          <w:rFonts w:ascii="Cambria" w:hAnsi="Cambria" w:cs="Cambria"/>
        </w:rPr>
        <w:t xml:space="preserve">Poskytovatel si vyhrazuje právo provádět změny vnitřních předpisů a smluvní strany postupují dle verze platné a účinné v době učinění příslušného úkonu. O každé změně takového předpisu poskytovatel informuje na svých webových stránkách neprodleně po nabytí její účinnosti. </w:t>
      </w:r>
    </w:p>
    <w:p w:rsidR="008A2775" w:rsidRDefault="008A2775" w:rsidP="008A2775">
      <w:pPr>
        <w:widowControl w:val="0"/>
        <w:numPr>
          <w:ilvl w:val="0"/>
          <w:numId w:val="15"/>
        </w:numPr>
        <w:tabs>
          <w:tab w:val="clear" w:pos="720"/>
          <w:tab w:val="num" w:pos="430"/>
        </w:tabs>
        <w:overflowPunct w:val="0"/>
        <w:adjustRightInd w:val="0"/>
        <w:spacing w:line="362" w:lineRule="auto"/>
        <w:ind w:left="430" w:hanging="430"/>
        <w:jc w:val="both"/>
        <w:rPr>
          <w:rFonts w:ascii="Cambria" w:hAnsi="Cambria" w:cs="Cambria"/>
          <w:b/>
          <w:bCs/>
        </w:rPr>
      </w:pPr>
      <w:r>
        <w:rPr>
          <w:rFonts w:ascii="Cambria" w:hAnsi="Cambria" w:cs="Cambria"/>
        </w:rPr>
        <w:t xml:space="preserve">Těmito vnitřními předpisy jsou zejména SME-03 Směrnice stanovující pravidla pro oponentní řízení, SME-07 Směrnice pro změnová řízení projektů, SME-12 Směrnice pro předkládání a zpracování zpráv, a SME-22 Směrnice o finanční veřejnosprávní kontrole. </w:t>
      </w:r>
    </w:p>
    <w:p w:rsidR="008A2775" w:rsidRDefault="008A2775" w:rsidP="008A2775">
      <w:pPr>
        <w:widowControl w:val="0"/>
        <w:adjustRightInd w:val="0"/>
        <w:spacing w:line="22" w:lineRule="exact"/>
        <w:rPr>
          <w:rFonts w:ascii="Times New Roman" w:hAnsi="Times New Roman" w:cs="Times New Roman"/>
          <w:sz w:val="24"/>
          <w:szCs w:val="24"/>
        </w:rPr>
      </w:pPr>
    </w:p>
    <w:p w:rsidR="008A2775" w:rsidRDefault="008A2775" w:rsidP="008A2775">
      <w:pPr>
        <w:widowControl w:val="0"/>
        <w:adjustRightInd w:val="0"/>
        <w:ind w:left="4690"/>
        <w:rPr>
          <w:rFonts w:ascii="Times New Roman" w:hAnsi="Times New Roman" w:cs="Times New Roman"/>
          <w:sz w:val="24"/>
          <w:szCs w:val="24"/>
        </w:rPr>
      </w:pPr>
      <w:r>
        <w:rPr>
          <w:rFonts w:ascii="Cambria" w:hAnsi="Cambria" w:cs="Cambria"/>
          <w:b/>
          <w:bCs/>
          <w:i/>
          <w:iCs/>
        </w:rPr>
        <w:t>Článek 2</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290"/>
        <w:rPr>
          <w:rFonts w:ascii="Times New Roman" w:hAnsi="Times New Roman" w:cs="Times New Roman"/>
          <w:sz w:val="24"/>
          <w:szCs w:val="24"/>
        </w:rPr>
      </w:pPr>
      <w:r>
        <w:rPr>
          <w:rFonts w:ascii="Cambria" w:hAnsi="Cambria" w:cs="Cambria"/>
          <w:b/>
          <w:bCs/>
          <w:i/>
          <w:iCs/>
        </w:rPr>
        <w:t>Vymezení pojmů</w:t>
      </w:r>
    </w:p>
    <w:p w:rsidR="008A2775" w:rsidRDefault="008A2775" w:rsidP="008A2775">
      <w:pPr>
        <w:widowControl w:val="0"/>
        <w:adjustRightInd w:val="0"/>
        <w:spacing w:line="150" w:lineRule="exact"/>
        <w:rPr>
          <w:rFonts w:ascii="Times New Roman" w:hAnsi="Times New Roman" w:cs="Times New Roman"/>
          <w:sz w:val="24"/>
          <w:szCs w:val="24"/>
        </w:rPr>
      </w:pPr>
    </w:p>
    <w:p w:rsidR="008A2775" w:rsidRDefault="008A2775" w:rsidP="008A2775">
      <w:pPr>
        <w:widowControl w:val="0"/>
        <w:numPr>
          <w:ilvl w:val="0"/>
          <w:numId w:val="16"/>
        </w:numPr>
        <w:tabs>
          <w:tab w:val="clear" w:pos="720"/>
          <w:tab w:val="num" w:pos="430"/>
        </w:tabs>
        <w:overflowPunct w:val="0"/>
        <w:adjustRightInd w:val="0"/>
        <w:ind w:left="430" w:hanging="430"/>
        <w:jc w:val="both"/>
        <w:rPr>
          <w:rFonts w:ascii="Cambria" w:hAnsi="Cambria" w:cs="Cambria"/>
          <w:b/>
          <w:bCs/>
        </w:rPr>
      </w:pPr>
      <w:r>
        <w:rPr>
          <w:rFonts w:ascii="Cambria" w:hAnsi="Cambria" w:cs="Cambria"/>
          <w:b/>
          <w:bCs/>
        </w:rPr>
        <w:t xml:space="preserve">Pro účely Smlouvy se rozumí: </w:t>
      </w:r>
    </w:p>
    <w:p w:rsidR="008A2775" w:rsidRDefault="008A2775" w:rsidP="008A2775">
      <w:pPr>
        <w:widowControl w:val="0"/>
        <w:adjustRightInd w:val="0"/>
        <w:spacing w:line="78" w:lineRule="exact"/>
        <w:rPr>
          <w:rFonts w:ascii="Cambria" w:hAnsi="Cambria" w:cs="Cambria"/>
          <w:b/>
          <w:bCs/>
        </w:rPr>
      </w:pPr>
    </w:p>
    <w:p w:rsidR="008A2775" w:rsidRDefault="008A2775" w:rsidP="008A2775">
      <w:pPr>
        <w:widowControl w:val="0"/>
        <w:numPr>
          <w:ilvl w:val="1"/>
          <w:numId w:val="16"/>
        </w:numPr>
        <w:tabs>
          <w:tab w:val="num" w:pos="710"/>
        </w:tabs>
        <w:overflowPunct w:val="0"/>
        <w:adjustRightInd w:val="0"/>
        <w:spacing w:line="321" w:lineRule="auto"/>
        <w:ind w:left="1440" w:hanging="360"/>
        <w:jc w:val="both"/>
        <w:rPr>
          <w:rFonts w:ascii="Cambria" w:hAnsi="Cambria" w:cs="Cambria"/>
          <w:b/>
          <w:bCs/>
        </w:rPr>
      </w:pPr>
      <w:r>
        <w:rPr>
          <w:rFonts w:ascii="Cambria" w:hAnsi="Cambria" w:cs="Cambria"/>
          <w:b/>
          <w:bCs/>
        </w:rPr>
        <w:t xml:space="preserve">„Dalším účastníkem” </w:t>
      </w:r>
      <w:r>
        <w:rPr>
          <w:rFonts w:ascii="Cambria" w:hAnsi="Cambria" w:cs="Cambria"/>
        </w:rPr>
        <w:t>právnická osoba nebo fyzická osoba, organizační složka státu nebo organizační</w:t>
      </w:r>
      <w:r>
        <w:rPr>
          <w:rFonts w:ascii="Cambria" w:hAnsi="Cambria" w:cs="Cambria"/>
          <w:b/>
          <w:bCs/>
        </w:rPr>
        <w:t xml:space="preserve"> </w:t>
      </w:r>
      <w:r>
        <w:rPr>
          <w:rFonts w:ascii="Cambria" w:hAnsi="Cambria" w:cs="Cambria"/>
        </w:rPr>
        <w:t xml:space="preserve">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 </w:t>
      </w:r>
    </w:p>
    <w:p w:rsidR="008A2775" w:rsidRDefault="008A2775" w:rsidP="008A2775">
      <w:pPr>
        <w:widowControl w:val="0"/>
        <w:numPr>
          <w:ilvl w:val="1"/>
          <w:numId w:val="16"/>
        </w:numPr>
        <w:tabs>
          <w:tab w:val="num" w:pos="710"/>
        </w:tabs>
        <w:overflowPunct w:val="0"/>
        <w:adjustRightInd w:val="0"/>
        <w:spacing w:line="321" w:lineRule="auto"/>
        <w:ind w:left="1440" w:hanging="360"/>
        <w:jc w:val="both"/>
        <w:rPr>
          <w:rFonts w:ascii="Cambria" w:hAnsi="Cambria" w:cs="Cambria"/>
          <w:b/>
          <w:bCs/>
        </w:rPr>
      </w:pPr>
      <w:r>
        <w:rPr>
          <w:rFonts w:ascii="Cambria" w:hAnsi="Cambria" w:cs="Cambria"/>
          <w:b/>
          <w:bCs/>
        </w:rPr>
        <w:t xml:space="preserve">„Dobou řešení” </w:t>
      </w:r>
      <w:r>
        <w:rPr>
          <w:rFonts w:ascii="Cambria" w:hAnsi="Cambria" w:cs="Cambria"/>
        </w:rPr>
        <w:t>doba ode dne zahájení řešení projektu příjemcem do dne ukončení řešení projektu</w:t>
      </w:r>
      <w:r>
        <w:rPr>
          <w:rFonts w:ascii="Cambria" w:hAnsi="Cambria" w:cs="Cambria"/>
          <w:b/>
          <w:bCs/>
        </w:rPr>
        <w:t xml:space="preserve"> </w:t>
      </w:r>
      <w:r>
        <w:rPr>
          <w:rFonts w:ascii="Cambria" w:hAnsi="Cambria" w:cs="Cambria"/>
        </w:rPr>
        <w:t xml:space="preserve">příjemcem, přičemž řešení projektu se považuje za ukončené rovněž v případě předčasného zastavení řešení projektu v souvislosti s ukončením platnosti smlouvy o poskytnutí podpory či rozhodnutí o poskytnutí podpory, </w:t>
      </w:r>
    </w:p>
    <w:p w:rsidR="008A2775" w:rsidRDefault="008A2775" w:rsidP="008A2775">
      <w:pPr>
        <w:widowControl w:val="0"/>
        <w:numPr>
          <w:ilvl w:val="1"/>
          <w:numId w:val="16"/>
        </w:numPr>
        <w:tabs>
          <w:tab w:val="num" w:pos="710"/>
        </w:tabs>
        <w:overflowPunct w:val="0"/>
        <w:adjustRightInd w:val="0"/>
        <w:spacing w:line="340" w:lineRule="auto"/>
        <w:ind w:left="1440" w:hanging="360"/>
        <w:jc w:val="both"/>
        <w:rPr>
          <w:rFonts w:ascii="Cambria" w:hAnsi="Cambria" w:cs="Cambria"/>
          <w:b/>
          <w:bCs/>
        </w:rPr>
      </w:pPr>
      <w:r>
        <w:rPr>
          <w:rFonts w:ascii="Cambria" w:hAnsi="Cambria" w:cs="Cambria"/>
          <w:b/>
          <w:bCs/>
        </w:rPr>
        <w:t xml:space="preserve">„Důvěrnou informací” </w:t>
      </w:r>
      <w:r>
        <w:rPr>
          <w:rFonts w:ascii="Cambria" w:hAnsi="Cambria" w:cs="Cambria"/>
        </w:rPr>
        <w:t>informace, kterou lze považovat ve smyslu příslušných ustanovení zákona č.</w:t>
      </w:r>
      <w:r>
        <w:rPr>
          <w:rFonts w:ascii="Cambria" w:hAnsi="Cambria" w:cs="Cambria"/>
          <w:b/>
          <w:bCs/>
        </w:rPr>
        <w:t xml:space="preserve"> </w:t>
      </w:r>
      <w:r>
        <w:rPr>
          <w:rFonts w:ascii="Cambria" w:hAnsi="Cambria" w:cs="Cambria"/>
        </w:rPr>
        <w:t xml:space="preserve">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 </w:t>
      </w:r>
    </w:p>
    <w:p w:rsidR="008A2775" w:rsidRDefault="008A2775" w:rsidP="008A2775">
      <w:pPr>
        <w:widowControl w:val="0"/>
        <w:adjustRightInd w:val="0"/>
        <w:rPr>
          <w:rFonts w:ascii="Times New Roman" w:hAnsi="Times New Roman" w:cs="Times New Roman"/>
          <w:sz w:val="24"/>
          <w:szCs w:val="24"/>
        </w:rPr>
        <w:sectPr w:rsidR="008A2775">
          <w:pgSz w:w="11900" w:h="16882"/>
          <w:pgMar w:top="723" w:right="840" w:bottom="0" w:left="850" w:header="720" w:footer="720" w:gutter="0"/>
          <w:cols w:space="720" w:equalWidth="0">
            <w:col w:w="1021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0" w:h="16882"/>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08416" behindDoc="1" locked="0" layoutInCell="0" allowOverlap="1" wp14:anchorId="39DFACDA" wp14:editId="54F70947">
            <wp:simplePos x="0" y="0"/>
            <wp:positionH relativeFrom="page">
              <wp:posOffset>539750</wp:posOffset>
            </wp:positionH>
            <wp:positionV relativeFrom="page">
              <wp:posOffset>370205</wp:posOffset>
            </wp:positionV>
            <wp:extent cx="2005330" cy="548640"/>
            <wp:effectExtent l="0" t="0" r="0" b="3810"/>
            <wp:wrapNone/>
            <wp:docPr id="4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19"/>
        </w:numPr>
        <w:overflowPunct w:val="0"/>
        <w:adjustRightInd w:val="0"/>
        <w:spacing w:line="330" w:lineRule="auto"/>
        <w:ind w:left="700" w:hanging="353"/>
        <w:jc w:val="both"/>
        <w:rPr>
          <w:rFonts w:ascii="Cambria" w:hAnsi="Cambria" w:cs="Cambria"/>
          <w:b/>
          <w:bCs/>
        </w:rPr>
      </w:pPr>
      <w:r>
        <w:rPr>
          <w:rFonts w:ascii="Cambria" w:hAnsi="Cambria" w:cs="Cambria"/>
          <w:b/>
          <w:bCs/>
        </w:rPr>
        <w:t xml:space="preserve">„Hlavním příjemcem” </w:t>
      </w:r>
      <w:r>
        <w:rPr>
          <w:rFonts w:ascii="Cambria" w:hAnsi="Cambria" w:cs="Cambria"/>
        </w:rPr>
        <w:t>ten příjemce, který vstupuje s poskytovatelem do smluvního vztahu a odpovídá</w:t>
      </w:r>
      <w:r>
        <w:rPr>
          <w:rFonts w:ascii="Cambria" w:hAnsi="Cambria" w:cs="Cambria"/>
          <w:b/>
          <w:bCs/>
        </w:rPr>
        <w:t xml:space="preserve"> </w:t>
      </w:r>
      <w:r>
        <w:rPr>
          <w:rFonts w:ascii="Cambria" w:hAnsi="Cambria" w:cs="Cambria"/>
        </w:rPr>
        <w:t xml:space="preserve">za plnění veškerých povinností během řešení projektu vůči poskytovateli na základě smlouvy o poskytnutí podpory nebo rozhodnutí o poskytnutí podpory,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spacing w:line="348" w:lineRule="auto"/>
        <w:ind w:left="700" w:hanging="353"/>
        <w:jc w:val="both"/>
        <w:rPr>
          <w:rFonts w:ascii="Cambria" w:hAnsi="Cambria" w:cs="Cambria"/>
          <w:b/>
          <w:bCs/>
        </w:rPr>
      </w:pPr>
      <w:r>
        <w:rPr>
          <w:rFonts w:ascii="Cambria" w:hAnsi="Cambria" w:cs="Cambria"/>
          <w:b/>
          <w:bCs/>
        </w:rPr>
        <w:t xml:space="preserve">„Implementačním plánem” </w:t>
      </w:r>
      <w:r>
        <w:rPr>
          <w:rFonts w:ascii="Cambria" w:hAnsi="Cambria" w:cs="Cambria"/>
        </w:rPr>
        <w:t>hlavním příjemcem předkládaný plán na využití výsledků projektu, jejich</w:t>
      </w:r>
      <w:r>
        <w:rPr>
          <w:rFonts w:ascii="Cambria" w:hAnsi="Cambria" w:cs="Cambria"/>
          <w:b/>
          <w:bCs/>
        </w:rPr>
        <w:t xml:space="preserve"> </w:t>
      </w:r>
      <w:r>
        <w:rPr>
          <w:rFonts w:ascii="Cambria" w:hAnsi="Cambria" w:cs="Cambria"/>
        </w:rPr>
        <w:t xml:space="preserve">stručný popis, vymezení, stupeň důvěrnosti, uvedení nákladů apod.,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19"/>
        </w:numPr>
        <w:overflowPunct w:val="0"/>
        <w:adjustRightInd w:val="0"/>
        <w:spacing w:line="311" w:lineRule="auto"/>
        <w:ind w:left="700" w:hanging="353"/>
        <w:jc w:val="both"/>
        <w:rPr>
          <w:rFonts w:ascii="Cambria" w:hAnsi="Cambria" w:cs="Cambria"/>
          <w:b/>
          <w:bCs/>
        </w:rPr>
      </w:pPr>
      <w:r>
        <w:rPr>
          <w:rFonts w:ascii="Cambria" w:hAnsi="Cambria" w:cs="Cambria"/>
          <w:b/>
          <w:bCs/>
        </w:rPr>
        <w:t xml:space="preserve">„IS VaVaI„ </w:t>
      </w:r>
      <w:r>
        <w:rPr>
          <w:rFonts w:ascii="Cambria" w:hAnsi="Cambria" w:cs="Cambria"/>
        </w:rPr>
        <w:t>Informační systém výzkumu, experimentálního vývoje a inovací neboli informační systém</w:t>
      </w:r>
      <w:r>
        <w:rPr>
          <w:rFonts w:ascii="Cambria" w:hAnsi="Cambria" w:cs="Cambria"/>
          <w:b/>
          <w:bCs/>
        </w:rPr>
        <w:t xml:space="preserve"> </w:t>
      </w:r>
      <w:r>
        <w:rPr>
          <w:rFonts w:ascii="Cambria" w:hAnsi="Cambria" w:cs="Cambria"/>
        </w:rPr>
        <w:t>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r>
        <w:rPr>
          <w:rFonts w:ascii="Times" w:hAnsi="Times" w:cs="Times"/>
        </w:rPr>
        <w:t>,</w:t>
      </w:r>
      <w:r>
        <w:rPr>
          <w:rFonts w:ascii="Cambria" w:hAnsi="Cambria" w:cs="Cambria"/>
        </w:rPr>
        <w:t xml:space="preserve"> </w:t>
      </w:r>
    </w:p>
    <w:p w:rsidR="008A2775" w:rsidRDefault="008A2775" w:rsidP="008A2775">
      <w:pPr>
        <w:widowControl w:val="0"/>
        <w:adjustRightInd w:val="0"/>
        <w:spacing w:line="4" w:lineRule="exact"/>
        <w:rPr>
          <w:rFonts w:ascii="Cambria" w:hAnsi="Cambria" w:cs="Cambria"/>
          <w:b/>
          <w:bCs/>
        </w:rPr>
      </w:pPr>
    </w:p>
    <w:p w:rsidR="008A2775" w:rsidRDefault="008A2775" w:rsidP="008A2775">
      <w:pPr>
        <w:widowControl w:val="0"/>
        <w:numPr>
          <w:ilvl w:val="0"/>
          <w:numId w:val="19"/>
        </w:numPr>
        <w:overflowPunct w:val="0"/>
        <w:adjustRightInd w:val="0"/>
        <w:spacing w:line="330" w:lineRule="auto"/>
        <w:ind w:left="700" w:hanging="353"/>
        <w:jc w:val="both"/>
        <w:rPr>
          <w:rFonts w:ascii="Cambria" w:hAnsi="Cambria" w:cs="Cambria"/>
          <w:b/>
          <w:bCs/>
        </w:rPr>
      </w:pPr>
      <w:r>
        <w:rPr>
          <w:rFonts w:ascii="Cambria" w:hAnsi="Cambria" w:cs="Cambria"/>
          <w:b/>
          <w:bCs/>
        </w:rPr>
        <w:t xml:space="preserve">„Hodnotícím procesem” </w:t>
      </w:r>
      <w:r>
        <w:rPr>
          <w:rFonts w:ascii="Cambria" w:hAnsi="Cambria" w:cs="Cambria"/>
        </w:rPr>
        <w:t>poskytovatelem stanovený proces, zpravidla vnitřním předpisem, za účelem</w:t>
      </w:r>
      <w:r>
        <w:rPr>
          <w:rFonts w:ascii="Cambria" w:hAnsi="Cambria" w:cs="Cambria"/>
          <w:b/>
          <w:bCs/>
        </w:rPr>
        <w:t xml:space="preserve"> </w:t>
      </w:r>
      <w:r>
        <w:rPr>
          <w:rFonts w:ascii="Cambria" w:hAnsi="Cambria" w:cs="Cambria"/>
        </w:rPr>
        <w:t xml:space="preserve">hodnocení plnění cílů projektu, zhodnocení dosažených výsledků a jejich právní ochrany, zejména oponentní řízení, předkládání zpráv, závěrečné hodnocení a monitoring udržitelnosti,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spacing w:line="317" w:lineRule="auto"/>
        <w:ind w:left="700" w:hanging="353"/>
        <w:jc w:val="both"/>
        <w:rPr>
          <w:rFonts w:ascii="Cambria" w:hAnsi="Cambria" w:cs="Cambria"/>
          <w:b/>
          <w:bCs/>
        </w:rPr>
      </w:pPr>
      <w:r>
        <w:rPr>
          <w:rFonts w:ascii="Cambria" w:hAnsi="Cambria" w:cs="Cambria"/>
          <w:b/>
          <w:bCs/>
        </w:rPr>
        <w:t xml:space="preserve">„Nařízením” </w:t>
      </w:r>
      <w:r>
        <w:rPr>
          <w:rFonts w:ascii="Cambria" w:hAnsi="Cambria" w:cs="Cambria"/>
        </w:rPr>
        <w:t>Nařízení Komise (ES) č. 651/2014 ze dne 17. června 2014, kterým se v souladu s články</w:t>
      </w:r>
      <w:r>
        <w:rPr>
          <w:rFonts w:ascii="Cambria" w:hAnsi="Cambria" w:cs="Cambria"/>
          <w:b/>
          <w:bCs/>
        </w:rPr>
        <w:t xml:space="preserve"> </w:t>
      </w:r>
      <w:r>
        <w:rPr>
          <w:rFonts w:ascii="Cambria" w:hAnsi="Cambria" w:cs="Cambria"/>
        </w:rPr>
        <w:t>107 a 108 Smlouvy</w:t>
      </w:r>
      <w:r>
        <w:rPr>
          <w:rFonts w:ascii="Times" w:hAnsi="Times" w:cs="Times"/>
          <w:sz w:val="28"/>
          <w:szCs w:val="28"/>
          <w:vertAlign w:val="superscript"/>
        </w:rPr>
        <w:t>1</w:t>
      </w:r>
      <w:r>
        <w:rPr>
          <w:rFonts w:ascii="Cambria" w:hAnsi="Cambria" w:cs="Cambria"/>
        </w:rPr>
        <w:t xml:space="preserve"> prohlašují určité kategorie za slučitelné s vnitřním trhem,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spacing w:line="330" w:lineRule="auto"/>
        <w:ind w:left="700" w:hanging="353"/>
        <w:jc w:val="both"/>
        <w:rPr>
          <w:rFonts w:ascii="Cambria" w:hAnsi="Cambria" w:cs="Cambria"/>
          <w:b/>
          <w:bCs/>
        </w:rPr>
      </w:pPr>
      <w:r>
        <w:rPr>
          <w:rFonts w:ascii="Cambria" w:hAnsi="Cambria" w:cs="Cambria"/>
          <w:b/>
          <w:bCs/>
        </w:rPr>
        <w:t xml:space="preserve">„Odborným garantem“ </w:t>
      </w:r>
      <w:r>
        <w:rPr>
          <w:rFonts w:ascii="Cambria" w:hAnsi="Cambria" w:cs="Cambria"/>
        </w:rPr>
        <w:t>orgán státní správy, který je uživatelem výsledků veřejné zakázky ve výzkumu,</w:t>
      </w:r>
      <w:r>
        <w:rPr>
          <w:rFonts w:ascii="Cambria" w:hAnsi="Cambria" w:cs="Cambria"/>
          <w:b/>
          <w:bCs/>
        </w:rPr>
        <w:t xml:space="preserve"> </w:t>
      </w:r>
      <w:r>
        <w:rPr>
          <w:rFonts w:ascii="Cambria" w:hAnsi="Cambria" w:cs="Cambria"/>
        </w:rPr>
        <w:t xml:space="preserve">vývoji a inovacích a který s poskytovatelem uzavřel dohodu o spolupráci v souvislosti s jejím provedením,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„Podnikem” </w:t>
      </w:r>
      <w:r>
        <w:rPr>
          <w:rFonts w:ascii="Cambria" w:hAnsi="Cambria" w:cs="Cambria"/>
        </w:rPr>
        <w:t>každý subjekt vykonávající hospodářskou činnost, bez ohledu na jeho právní formu ve</w:t>
      </w:r>
      <w:r>
        <w:rPr>
          <w:rFonts w:ascii="Cambria" w:hAnsi="Cambria" w:cs="Cambria"/>
          <w:b/>
          <w:bCs/>
        </w:rPr>
        <w:t xml:space="preserve"> </w:t>
      </w:r>
      <w:r>
        <w:rPr>
          <w:rFonts w:ascii="Cambria" w:hAnsi="Cambria" w:cs="Cambria"/>
        </w:rPr>
        <w:t xml:space="preserve">smyslu přílohy č. 1 Nařízení, přičemž tato příloha a článek II odst. 2 a 24 Nařízení vymezují jednotlivé velikosti podniku na velký, střední, malý podnik a mikropodnik,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„Podporou” </w:t>
      </w:r>
      <w:r>
        <w:rPr>
          <w:rFonts w:ascii="Cambria" w:hAnsi="Cambria" w:cs="Cambria"/>
        </w:rPr>
        <w:t>účelové finanční prostředky na řešení projektu poskytnuté poskytovatelem formou</w:t>
      </w:r>
      <w:r>
        <w:rPr>
          <w:rFonts w:ascii="Cambria" w:hAnsi="Cambria" w:cs="Cambria"/>
          <w:b/>
          <w:bCs/>
        </w:rPr>
        <w:t xml:space="preserve"> </w:t>
      </w:r>
      <w:r>
        <w:rPr>
          <w:rFonts w:ascii="Cambria" w:hAnsi="Cambria" w:cs="Cambria"/>
        </w:rPr>
        <w:t xml:space="preserve">dotace v návaznosti na výsledky veřejné soutěže nebo veřejné zakázky ve výzkumu, vývoji a inovacích a na základě smlouvy o poskytnutí podpory či rozhodnutí o poskytnutí podpory,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ind w:left="700" w:hanging="353"/>
        <w:jc w:val="both"/>
        <w:rPr>
          <w:rFonts w:ascii="Cambria" w:hAnsi="Cambria" w:cs="Cambria"/>
          <w:b/>
          <w:bCs/>
        </w:rPr>
      </w:pPr>
      <w:r>
        <w:rPr>
          <w:rFonts w:ascii="Cambria" w:hAnsi="Cambria" w:cs="Cambria"/>
          <w:b/>
          <w:bCs/>
        </w:rPr>
        <w:t xml:space="preserve">„Poskytovatelem” </w:t>
      </w:r>
      <w:r>
        <w:rPr>
          <w:rFonts w:ascii="Cambria" w:hAnsi="Cambria" w:cs="Cambria"/>
        </w:rPr>
        <w:t>Technologická agentura České republiky (TA ČR),</w:t>
      </w:r>
      <w:r>
        <w:rPr>
          <w:rFonts w:ascii="Cambria" w:hAnsi="Cambria" w:cs="Cambria"/>
          <w:b/>
          <w:bCs/>
        </w:rPr>
        <w:t xml:space="preserve">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0"/>
          <w:numId w:val="19"/>
        </w:numPr>
        <w:overflowPunct w:val="0"/>
        <w:adjustRightInd w:val="0"/>
        <w:spacing w:line="336" w:lineRule="auto"/>
        <w:ind w:left="700" w:hanging="353"/>
        <w:jc w:val="both"/>
        <w:rPr>
          <w:rFonts w:ascii="Cambria" w:hAnsi="Cambria" w:cs="Cambria"/>
          <w:b/>
          <w:bCs/>
          <w:sz w:val="21"/>
          <w:szCs w:val="21"/>
        </w:rPr>
      </w:pPr>
      <w:r>
        <w:rPr>
          <w:rFonts w:ascii="Cambria" w:hAnsi="Cambria" w:cs="Cambria"/>
          <w:b/>
          <w:bCs/>
          <w:sz w:val="21"/>
          <w:szCs w:val="21"/>
        </w:rPr>
        <w:t xml:space="preserve">„Pravidly poskytnutí podpory” </w:t>
      </w:r>
      <w:r>
        <w:rPr>
          <w:rFonts w:ascii="Cambria" w:hAnsi="Cambria" w:cs="Cambria"/>
          <w:sz w:val="21"/>
          <w:szCs w:val="21"/>
        </w:rPr>
        <w:t>souhrn práv a povinností stanovených smlouvou o poskytnutí</w:t>
      </w:r>
      <w:r>
        <w:rPr>
          <w:rFonts w:ascii="Cambria" w:hAnsi="Cambria" w:cs="Cambria"/>
          <w:b/>
          <w:bCs/>
          <w:sz w:val="21"/>
          <w:szCs w:val="21"/>
        </w:rPr>
        <w:t xml:space="preserve"> </w:t>
      </w:r>
      <w:r>
        <w:rPr>
          <w:rFonts w:ascii="Cambria" w:hAnsi="Cambria" w:cs="Cambria"/>
          <w:sz w:val="21"/>
          <w:szCs w:val="21"/>
        </w:rPr>
        <w:t xml:space="preserve">podpory či rozhodnutím o poskytnutí podpory, vnitřními předpisy poskytovatele a dalšími dokumenty, na které se odkazuje, příslušným programem a zadávací dokumentací a obecně závaznými právními předpisy (národními i evropskými), zejména ZPVV, rozpočtovými pravidly a pravidly veřejné podpory, </w:t>
      </w:r>
    </w:p>
    <w:p w:rsidR="008A2775" w:rsidRDefault="008A2775" w:rsidP="008A2775">
      <w:pPr>
        <w:widowControl w:val="0"/>
        <w:adjustRightInd w:val="0"/>
        <w:spacing w:line="1" w:lineRule="exact"/>
        <w:rPr>
          <w:rFonts w:ascii="Cambria" w:hAnsi="Cambria" w:cs="Cambria"/>
          <w:b/>
          <w:bCs/>
          <w:sz w:val="21"/>
          <w:szCs w:val="21"/>
        </w:rPr>
      </w:pPr>
    </w:p>
    <w:p w:rsidR="008A2775" w:rsidRDefault="008A2775" w:rsidP="008A2775">
      <w:pPr>
        <w:widowControl w:val="0"/>
        <w:numPr>
          <w:ilvl w:val="0"/>
          <w:numId w:val="19"/>
        </w:numPr>
        <w:overflowPunct w:val="0"/>
        <w:adjustRightInd w:val="0"/>
        <w:spacing w:line="348" w:lineRule="auto"/>
        <w:ind w:left="700" w:hanging="353"/>
        <w:jc w:val="both"/>
        <w:rPr>
          <w:rFonts w:ascii="Cambria" w:hAnsi="Cambria" w:cs="Cambria"/>
          <w:b/>
          <w:bCs/>
        </w:rPr>
      </w:pPr>
      <w:r>
        <w:rPr>
          <w:rFonts w:ascii="Cambria" w:hAnsi="Cambria" w:cs="Cambria"/>
          <w:b/>
          <w:bCs/>
        </w:rPr>
        <w:t xml:space="preserve">„Pravidly veřejné podpory” </w:t>
      </w:r>
      <w:r>
        <w:rPr>
          <w:rFonts w:ascii="Cambria" w:hAnsi="Cambria" w:cs="Cambria"/>
        </w:rPr>
        <w:t>souhrn práv a povinností stanovených článkem 107 až 109 Smlouvy o</w:t>
      </w:r>
      <w:r>
        <w:rPr>
          <w:rFonts w:ascii="Cambria" w:hAnsi="Cambria" w:cs="Cambria"/>
          <w:b/>
          <w:bCs/>
        </w:rPr>
        <w:t xml:space="preserve"> </w:t>
      </w:r>
      <w:r>
        <w:rPr>
          <w:rFonts w:ascii="Cambria" w:hAnsi="Cambria" w:cs="Cambria"/>
        </w:rPr>
        <w:t xml:space="preserve">fungování Evropské unie, a pro účely výzkumu, vývoje a inovací zejména Rámcem a Nařízením,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19"/>
        </w:numPr>
        <w:overflowPunct w:val="0"/>
        <w:adjustRightInd w:val="0"/>
        <w:spacing w:line="330" w:lineRule="auto"/>
        <w:ind w:left="700" w:hanging="353"/>
        <w:jc w:val="both"/>
        <w:rPr>
          <w:rFonts w:ascii="Cambria" w:hAnsi="Cambria" w:cs="Cambria"/>
          <w:b/>
          <w:bCs/>
        </w:rPr>
      </w:pPr>
      <w:r>
        <w:rPr>
          <w:rFonts w:ascii="Cambria" w:hAnsi="Cambria" w:cs="Cambria"/>
          <w:b/>
          <w:bCs/>
        </w:rPr>
        <w:t xml:space="preserve">„Programem” </w:t>
      </w:r>
      <w:r>
        <w:rPr>
          <w:rFonts w:ascii="Cambria" w:hAnsi="Cambria" w:cs="Cambria"/>
        </w:rPr>
        <w:t>soubor věcných, časových a finančních podmínek pro aktivity potřebné k dosažení</w:t>
      </w:r>
      <w:r>
        <w:rPr>
          <w:rFonts w:ascii="Cambria" w:hAnsi="Cambria" w:cs="Cambria"/>
          <w:b/>
          <w:bCs/>
        </w:rPr>
        <w:t xml:space="preserve"> </w:t>
      </w:r>
      <w:r>
        <w:rPr>
          <w:rFonts w:ascii="Cambria" w:hAnsi="Cambria" w:cs="Cambria"/>
        </w:rPr>
        <w:t xml:space="preserve">cílů ve výzkumu, vývoji a inovacích formulovaných poskytovatelem, které poskytovatel vyhlašuje ve veřejné soutěži nebo ve veřejné zakázce ve výzkumu, vývoji a inovacích,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19"/>
        </w:numPr>
        <w:overflowPunct w:val="0"/>
        <w:adjustRightInd w:val="0"/>
        <w:spacing w:line="331" w:lineRule="auto"/>
        <w:ind w:left="700" w:hanging="353"/>
        <w:jc w:val="both"/>
        <w:rPr>
          <w:rFonts w:ascii="Cambria" w:hAnsi="Cambria" w:cs="Cambria"/>
          <w:b/>
          <w:bCs/>
        </w:rPr>
      </w:pPr>
      <w:r>
        <w:rPr>
          <w:rFonts w:ascii="Cambria" w:hAnsi="Cambria" w:cs="Cambria"/>
          <w:b/>
          <w:bCs/>
        </w:rPr>
        <w:t xml:space="preserve">„Projektem” </w:t>
      </w:r>
      <w:r>
        <w:rPr>
          <w:rFonts w:ascii="Cambria" w:hAnsi="Cambria" w:cs="Cambria"/>
        </w:rPr>
        <w:t>soubor věcných, časových a finančních podmínek pro činnosti potřebné k dosažení cílů</w:t>
      </w:r>
      <w:r>
        <w:rPr>
          <w:rFonts w:ascii="Cambria" w:hAnsi="Cambria" w:cs="Cambria"/>
          <w:b/>
          <w:bCs/>
        </w:rPr>
        <w:t xml:space="preserve"> </w:t>
      </w:r>
      <w:r>
        <w:rPr>
          <w:rFonts w:ascii="Cambria" w:hAnsi="Cambria" w:cs="Cambria"/>
        </w:rPr>
        <w:t xml:space="preserve">ve výzkumu, vývoji a inovacích formulovaný uchazečem ve veřejné soutěži, nebo poskytovatelem v rámci zadání veřejné zakázky ve výzkumu, vývoji a inovacích, </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Times" w:hAnsi="Times" w:cs="Times"/>
          <w:sz w:val="28"/>
          <w:szCs w:val="28"/>
          <w:vertAlign w:val="superscript"/>
        </w:rPr>
        <w:t>1</w:t>
      </w:r>
      <w:r>
        <w:rPr>
          <w:rFonts w:ascii="Cambria" w:hAnsi="Cambria" w:cs="Cambria"/>
        </w:rPr>
        <w:t>Smlouva o fungování Evropské unie</w:t>
      </w:r>
    </w:p>
    <w:p w:rsidR="008A2775" w:rsidRDefault="008A2775" w:rsidP="008A2775">
      <w:pPr>
        <w:widowControl w:val="0"/>
        <w:adjustRightInd w:val="0"/>
        <w:spacing w:line="28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2 / 21</w:t>
            </w:r>
          </w:p>
        </w:tc>
      </w:tr>
    </w:tbl>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860" w:header="720" w:footer="720" w:gutter="0"/>
          <w:cols w:space="720" w:equalWidth="0">
            <w:col w:w="1020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09440" behindDoc="1" locked="0" layoutInCell="0" allowOverlap="1" wp14:anchorId="2ECDB676" wp14:editId="24DD9F41">
            <wp:simplePos x="0" y="0"/>
            <wp:positionH relativeFrom="page">
              <wp:posOffset>539750</wp:posOffset>
            </wp:positionH>
            <wp:positionV relativeFrom="page">
              <wp:posOffset>370205</wp:posOffset>
            </wp:positionV>
            <wp:extent cx="2005330" cy="548640"/>
            <wp:effectExtent l="0" t="0" r="0" b="3810"/>
            <wp:wrapNone/>
            <wp:docPr id="5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20"/>
        </w:numPr>
        <w:tabs>
          <w:tab w:val="clear" w:pos="720"/>
          <w:tab w:val="num" w:pos="360"/>
        </w:tabs>
        <w:overflowPunct w:val="0"/>
        <w:adjustRightInd w:val="0"/>
        <w:spacing w:line="311" w:lineRule="auto"/>
        <w:ind w:left="360" w:hanging="353"/>
        <w:jc w:val="both"/>
        <w:rPr>
          <w:rFonts w:ascii="Cambria" w:hAnsi="Cambria" w:cs="Cambria"/>
          <w:b/>
          <w:bCs/>
        </w:rPr>
      </w:pPr>
      <w:r>
        <w:rPr>
          <w:rFonts w:ascii="Cambria" w:hAnsi="Cambria" w:cs="Cambria"/>
          <w:b/>
          <w:bCs/>
        </w:rPr>
        <w:t xml:space="preserve">„Předmětem duševního vlastnictví” </w:t>
      </w:r>
      <w:r>
        <w:rPr>
          <w:rFonts w:ascii="Cambria" w:hAnsi="Cambria" w:cs="Cambria"/>
        </w:rPr>
        <w:t>majetek nehmotné povahy, kterým jsou díla chráněná podle</w:t>
      </w:r>
      <w:r>
        <w:rPr>
          <w:rFonts w:ascii="Cambria" w:hAnsi="Cambria" w:cs="Cambria"/>
          <w:b/>
          <w:bCs/>
        </w:rPr>
        <w:t xml:space="preserve"> </w:t>
      </w:r>
      <w:r>
        <w:rPr>
          <w:rFonts w:ascii="Cambria" w:hAnsi="Cambria" w:cs="Cambria"/>
        </w:rPr>
        <w:t xml:space="preserve">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 </w:t>
      </w:r>
    </w:p>
    <w:p w:rsidR="008A2775" w:rsidRDefault="008A2775" w:rsidP="008A2775">
      <w:pPr>
        <w:widowControl w:val="0"/>
        <w:adjustRightInd w:val="0"/>
        <w:spacing w:line="4"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„Příjemcem” </w:t>
      </w:r>
      <w:r>
        <w:rPr>
          <w:rFonts w:ascii="Cambria" w:hAnsi="Cambria" w:cs="Cambria"/>
        </w:rPr>
        <w:t>uchazeč, v jehož prospěch bylo o poskytnutí podpory poskytovatelem rozhodnuto,</w:t>
      </w:r>
      <w:r>
        <w:rPr>
          <w:rFonts w:ascii="Cambria" w:hAnsi="Cambria" w:cs="Cambria"/>
          <w:b/>
          <w:bCs/>
        </w:rPr>
        <w:t xml:space="preserve"> </w:t>
      </w:r>
      <w:r>
        <w:rPr>
          <w:rFonts w:ascii="Cambria" w:hAnsi="Cambria" w:cs="Cambria"/>
        </w:rPr>
        <w:t xml:space="preserve">přičemž rozhodným dnem je den doručení tohoto rozhodnutí, a kterému pokud se stanoví práva a povinnosti, stanoví se tak společně hlavnímu příjemci a dalším účastníkům,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„Rámcem” </w:t>
      </w:r>
      <w:r>
        <w:rPr>
          <w:rFonts w:ascii="Cambria" w:hAnsi="Cambria" w:cs="Cambria"/>
        </w:rPr>
        <w:t>Sdělení Komise - Rámec pro státní podporu výzkumu, vývoje a inovací (2014/C 198/01),</w:t>
      </w:r>
      <w:r>
        <w:rPr>
          <w:rFonts w:ascii="Cambria" w:hAnsi="Cambria" w:cs="Cambria"/>
          <w:b/>
          <w:bCs/>
        </w:rPr>
        <w:t xml:space="preserve">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„Rozpočtovými pravidly” </w:t>
      </w:r>
      <w:r>
        <w:rPr>
          <w:rFonts w:ascii="Cambria" w:hAnsi="Cambria" w:cs="Cambria"/>
        </w:rPr>
        <w:t>zákon č. 218/2000 Sb., o rozpočtových pravidlech a o změně některých</w:t>
      </w:r>
      <w:r>
        <w:rPr>
          <w:rFonts w:ascii="Cambria" w:hAnsi="Cambria" w:cs="Cambria"/>
          <w:b/>
          <w:bCs/>
        </w:rPr>
        <w:t xml:space="preserve"> </w:t>
      </w:r>
      <w:r>
        <w:rPr>
          <w:rFonts w:ascii="Cambria" w:hAnsi="Cambria" w:cs="Cambria"/>
        </w:rPr>
        <w:t xml:space="preserve">souvisejících zákonů (rozpočtová pravidla), ve znění pozdějších předpisů,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„Řešitelem” </w:t>
      </w:r>
      <w:r>
        <w:rPr>
          <w:rFonts w:ascii="Cambria" w:hAnsi="Cambria" w:cs="Cambria"/>
        </w:rPr>
        <w:t>fyzická osoba odpovědná příjemci za odbornou úroveň projektu,</w:t>
      </w:r>
      <w:r>
        <w:rPr>
          <w:rFonts w:ascii="Cambria" w:hAnsi="Cambria" w:cs="Cambria"/>
          <w:b/>
          <w:bCs/>
        </w:rPr>
        <w:t xml:space="preserve">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„Smlouvou o účasti na řešení projektu” </w:t>
      </w:r>
      <w:r>
        <w:rPr>
          <w:rFonts w:ascii="Cambria" w:hAnsi="Cambria" w:cs="Cambria"/>
        </w:rPr>
        <w:t>smlouva uzavřená mezi hlavním příjemcem a dalšími</w:t>
      </w:r>
      <w:r>
        <w:rPr>
          <w:rFonts w:ascii="Cambria" w:hAnsi="Cambria" w:cs="Cambria"/>
          <w:b/>
          <w:bCs/>
        </w:rPr>
        <w:t xml:space="preserve"> </w:t>
      </w:r>
      <w:r>
        <w:rPr>
          <w:rFonts w:ascii="Cambria" w:hAnsi="Cambria" w:cs="Cambria"/>
        </w:rPr>
        <w:t xml:space="preserve">účastníky v souladu s § 2 odst. 2 písm. j) ZPVV,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„Smlouvou o využití výsledků” </w:t>
      </w:r>
      <w:r>
        <w:rPr>
          <w:rFonts w:ascii="Cambria" w:hAnsi="Cambria" w:cs="Cambria"/>
        </w:rPr>
        <w:t>smlouva uzavřená mezi příjemcem a uživatelem v souladu s § 11</w:t>
      </w:r>
      <w:r>
        <w:rPr>
          <w:rFonts w:ascii="Cambria" w:hAnsi="Cambria" w:cs="Cambria"/>
          <w:b/>
          <w:bCs/>
        </w:rPr>
        <w:t xml:space="preserve"> </w:t>
      </w:r>
      <w:r>
        <w:rPr>
          <w:rFonts w:ascii="Cambria" w:hAnsi="Cambria" w:cs="Cambria"/>
        </w:rPr>
        <w:t xml:space="preserve">ZPVV,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20"/>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„Uznanými náklady” </w:t>
      </w:r>
      <w:r>
        <w:rPr>
          <w:rFonts w:ascii="Cambria" w:hAnsi="Cambria" w:cs="Cambria"/>
        </w:rPr>
        <w:t>takové způsobilé náklady na projekt ve výzkumu, vývoji a inovacích ve smyslu</w:t>
      </w:r>
      <w:r>
        <w:rPr>
          <w:rFonts w:ascii="Cambria" w:hAnsi="Cambria" w:cs="Cambria"/>
          <w:b/>
          <w:bCs/>
        </w:rPr>
        <w:t xml:space="preserve"> </w:t>
      </w:r>
      <w:r>
        <w:rPr>
          <w:rFonts w:ascii="Cambria" w:hAnsi="Cambria" w:cs="Cambria"/>
        </w:rPr>
        <w:t xml:space="preserve">ustanovení § 2 odst. 2 l) ZPVV, které poskytovatel schválí pro řešení projektu a které budou vynaloženy během jeho řešení, jsou zdůvodněné, prokazatelné a přiřazené ke schváleným aktivitám, </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tabs>
          <w:tab w:val="left" w:pos="340"/>
        </w:tabs>
        <w:overflowPunct w:val="0"/>
        <w:adjustRightInd w:val="0"/>
        <w:spacing w:line="330" w:lineRule="auto"/>
        <w:ind w:left="360" w:hanging="360"/>
        <w:jc w:val="both"/>
        <w:rPr>
          <w:rFonts w:ascii="Times New Roman" w:hAnsi="Times New Roman" w:cs="Times New Roman"/>
          <w:sz w:val="24"/>
          <w:szCs w:val="24"/>
        </w:rPr>
      </w:pPr>
      <w:r>
        <w:rPr>
          <w:rFonts w:ascii="Cambria" w:hAnsi="Cambria" w:cs="Cambria"/>
          <w:b/>
          <w:bCs/>
        </w:rPr>
        <w:t>y)</w:t>
      </w:r>
      <w:r>
        <w:rPr>
          <w:rFonts w:ascii="Times New Roman" w:hAnsi="Times New Roman" w:cs="Times New Roman"/>
          <w:sz w:val="24"/>
          <w:szCs w:val="24"/>
        </w:rPr>
        <w:tab/>
      </w:r>
      <w:r>
        <w:rPr>
          <w:rFonts w:ascii="Cambria" w:hAnsi="Cambria" w:cs="Cambria"/>
          <w:b/>
          <w:bCs/>
        </w:rPr>
        <w:t xml:space="preserve">„Veřejnosprávní kontrolou“ </w:t>
      </w:r>
      <w:r>
        <w:rPr>
          <w:rFonts w:ascii="Cambria" w:hAnsi="Cambria" w:cs="Cambria"/>
        </w:rPr>
        <w:t>kontrola prováděná u příjemců veřejné finanční podpory nebo</w:t>
      </w:r>
      <w:r>
        <w:rPr>
          <w:rFonts w:ascii="Cambria" w:hAnsi="Cambria" w:cs="Cambria"/>
          <w:b/>
          <w:bCs/>
        </w:rPr>
        <w:t xml:space="preserve"> </w:t>
      </w:r>
      <w:r>
        <w:rPr>
          <w:rFonts w:ascii="Cambria" w:hAnsi="Cambria" w:cs="Cambria"/>
        </w:rPr>
        <w:t>u uchazečů o veřejnou finanční podporu poskytovatelem jako kontrolním orgánem ve smyslu § 3 odst. 1 písm. a) zákona č. 320/2001 Sb., o finanční kontrole,</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404" w:lineRule="auto"/>
        <w:ind w:right="340"/>
        <w:rPr>
          <w:rFonts w:ascii="Times New Roman" w:hAnsi="Times New Roman" w:cs="Times New Roman"/>
          <w:sz w:val="24"/>
          <w:szCs w:val="24"/>
        </w:rPr>
      </w:pPr>
      <w:r>
        <w:rPr>
          <w:rFonts w:ascii="Cambria" w:hAnsi="Cambria" w:cs="Cambria"/>
          <w:b/>
          <w:bCs/>
        </w:rPr>
        <w:t xml:space="preserve">z) „Veřejnou podporou” </w:t>
      </w:r>
      <w:r>
        <w:rPr>
          <w:rFonts w:ascii="Cambria" w:hAnsi="Cambria" w:cs="Cambria"/>
        </w:rPr>
        <w:t>podpora ve smyslu článku 107 odst. 1 Smlouvy o fungování Evropské unie,</w:t>
      </w:r>
      <w:r>
        <w:rPr>
          <w:rFonts w:ascii="Cambria" w:hAnsi="Cambria" w:cs="Cambria"/>
          <w:b/>
          <w:bCs/>
        </w:rPr>
        <w:t xml:space="preserve"> aa) „Veřejnou soutěží” </w:t>
      </w:r>
      <w:r>
        <w:rPr>
          <w:rFonts w:ascii="Cambria" w:hAnsi="Cambria" w:cs="Cambria"/>
        </w:rPr>
        <w:t>veřejná soutěž ve výzkumu, vývoji a inovacích podle Hlavy V ZPVV,</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overflowPunct w:val="0"/>
        <w:adjustRightInd w:val="0"/>
        <w:spacing w:line="348" w:lineRule="auto"/>
        <w:ind w:left="360" w:hanging="357"/>
        <w:rPr>
          <w:rFonts w:ascii="Times New Roman" w:hAnsi="Times New Roman" w:cs="Times New Roman"/>
          <w:sz w:val="24"/>
          <w:szCs w:val="24"/>
        </w:rPr>
      </w:pPr>
      <w:r>
        <w:rPr>
          <w:rFonts w:ascii="Cambria" w:hAnsi="Cambria" w:cs="Cambria"/>
          <w:b/>
          <w:bCs/>
        </w:rPr>
        <w:t>bb)„Veřejnou zakázkouve výzkumu, vývoji a inovacích</w:t>
      </w:r>
      <w:r>
        <w:rPr>
          <w:rFonts w:ascii="Cambria" w:hAnsi="Cambria" w:cs="Cambria"/>
        </w:rPr>
        <w:t>“ zakázka na služby v aplikovaném výzkumu,</w:t>
      </w:r>
      <w:r>
        <w:rPr>
          <w:rFonts w:ascii="Cambria" w:hAnsi="Cambria" w:cs="Cambria"/>
          <w:b/>
          <w:bCs/>
        </w:rPr>
        <w:t xml:space="preserve"> </w:t>
      </w:r>
      <w:r>
        <w:rPr>
          <w:rFonts w:ascii="Cambria" w:hAnsi="Cambria" w:cs="Cambria"/>
        </w:rPr>
        <w:t>vývoji nebo inovacích podle § 2 odst. 2, písm. g) ZPVV,</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b/>
          <w:bCs/>
        </w:rPr>
        <w:t xml:space="preserve">cc) „Výsledek projektu” </w:t>
      </w:r>
      <w:r>
        <w:rPr>
          <w:rFonts w:ascii="Cambria" w:hAnsi="Cambria" w:cs="Cambria"/>
        </w:rPr>
        <w:t>výsledek ve smyslu § 2 odst. 2 písm. k) ZPVV,</w:t>
      </w:r>
    </w:p>
    <w:p w:rsidR="008A2775" w:rsidRDefault="008A2775" w:rsidP="008A2775">
      <w:pPr>
        <w:widowControl w:val="0"/>
        <w:adjustRightInd w:val="0"/>
        <w:spacing w:line="177" w:lineRule="exact"/>
        <w:rPr>
          <w:rFonts w:ascii="Times New Roman" w:hAnsi="Times New Roman" w:cs="Times New Roman"/>
          <w:sz w:val="24"/>
          <w:szCs w:val="24"/>
        </w:rPr>
      </w:pPr>
    </w:p>
    <w:p w:rsidR="008A2775" w:rsidRDefault="008A2775" w:rsidP="008A2775">
      <w:pPr>
        <w:widowControl w:val="0"/>
        <w:overflowPunct w:val="0"/>
        <w:adjustRightInd w:val="0"/>
        <w:spacing w:line="348" w:lineRule="auto"/>
        <w:ind w:left="360" w:hanging="357"/>
        <w:rPr>
          <w:rFonts w:ascii="Times New Roman" w:hAnsi="Times New Roman" w:cs="Times New Roman"/>
          <w:sz w:val="24"/>
          <w:szCs w:val="24"/>
        </w:rPr>
      </w:pPr>
      <w:r>
        <w:rPr>
          <w:rFonts w:ascii="Cambria" w:hAnsi="Cambria" w:cs="Cambria"/>
          <w:b/>
          <w:bCs/>
        </w:rPr>
        <w:t xml:space="preserve">dd)„Využitím výsledků” </w:t>
      </w:r>
      <w:r>
        <w:rPr>
          <w:rFonts w:ascii="Cambria" w:hAnsi="Cambria" w:cs="Cambria"/>
        </w:rPr>
        <w:t>přímé nebo nepřímé použití vnesených práv nebo výsledků projektu</w:t>
      </w:r>
      <w:r>
        <w:rPr>
          <w:rFonts w:ascii="Cambria" w:hAnsi="Cambria" w:cs="Cambria"/>
          <w:b/>
          <w:bCs/>
        </w:rPr>
        <w:t xml:space="preserve"> </w:t>
      </w:r>
      <w:r>
        <w:rPr>
          <w:rFonts w:ascii="Cambria" w:hAnsi="Cambria" w:cs="Cambria"/>
        </w:rPr>
        <w:t>k výzkumným nebo komerčním účelům,</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numPr>
          <w:ilvl w:val="0"/>
          <w:numId w:val="21"/>
        </w:numPr>
        <w:tabs>
          <w:tab w:val="clear" w:pos="720"/>
          <w:tab w:val="num" w:pos="360"/>
        </w:tabs>
        <w:overflowPunct w:val="0"/>
        <w:adjustRightInd w:val="0"/>
        <w:spacing w:line="348" w:lineRule="auto"/>
        <w:ind w:left="360" w:hanging="353"/>
        <w:jc w:val="both"/>
        <w:rPr>
          <w:rFonts w:ascii="Cambria" w:hAnsi="Cambria" w:cs="Cambria"/>
          <w:b/>
          <w:bCs/>
        </w:rPr>
      </w:pPr>
      <w:r>
        <w:rPr>
          <w:rFonts w:ascii="Cambria" w:hAnsi="Cambria" w:cs="Cambria"/>
          <w:b/>
          <w:bCs/>
        </w:rPr>
        <w:t xml:space="preserve">„Výzkumnou organizací” </w:t>
      </w:r>
      <w:r>
        <w:rPr>
          <w:rFonts w:ascii="Cambria" w:hAnsi="Cambria" w:cs="Cambria"/>
        </w:rPr>
        <w:t>organizace pro výzkum a šíření znalostí ve smyslu článku. II odst. 83</w:t>
      </w:r>
      <w:r>
        <w:rPr>
          <w:rFonts w:ascii="Cambria" w:hAnsi="Cambria" w:cs="Cambria"/>
          <w:b/>
          <w:bCs/>
        </w:rPr>
        <w:t xml:space="preserve"> </w:t>
      </w:r>
      <w:r>
        <w:rPr>
          <w:rFonts w:ascii="Cambria" w:hAnsi="Cambria" w:cs="Cambria"/>
        </w:rPr>
        <w:t xml:space="preserve">Nařízení a § 2 odst. 2 písm. d) ZPVV,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21"/>
        </w:numPr>
        <w:tabs>
          <w:tab w:val="clear" w:pos="720"/>
          <w:tab w:val="num" w:pos="360"/>
        </w:tabs>
        <w:overflowPunct w:val="0"/>
        <w:adjustRightInd w:val="0"/>
        <w:spacing w:line="330" w:lineRule="auto"/>
        <w:ind w:left="360" w:hanging="353"/>
        <w:jc w:val="both"/>
        <w:rPr>
          <w:rFonts w:ascii="Cambria" w:hAnsi="Cambria" w:cs="Cambria"/>
          <w:b/>
          <w:bCs/>
        </w:rPr>
      </w:pPr>
      <w:r>
        <w:rPr>
          <w:rFonts w:ascii="Cambria" w:hAnsi="Cambria" w:cs="Cambria"/>
          <w:b/>
          <w:bCs/>
        </w:rPr>
        <w:t xml:space="preserve">„ZPVV” </w:t>
      </w:r>
      <w:r>
        <w:rPr>
          <w:rFonts w:ascii="Cambria" w:hAnsi="Cambria" w:cs="Cambria"/>
        </w:rPr>
        <w:t>zákon č. 130/2002 Sb., o podpoře výzkumu, experimentálního vývoje a inovací z veřejných</w:t>
      </w:r>
      <w:r>
        <w:rPr>
          <w:rFonts w:ascii="Cambria" w:hAnsi="Cambria" w:cs="Cambria"/>
          <w:b/>
          <w:bCs/>
        </w:rPr>
        <w:t xml:space="preserve"> </w:t>
      </w:r>
      <w:r>
        <w:rPr>
          <w:rFonts w:ascii="Cambria" w:hAnsi="Cambria" w:cs="Cambria"/>
        </w:rPr>
        <w:t xml:space="preserve">prostředků a o změně některých souvisejících zákonů (zákon o podpoře výzkumu, experimentálního vývoje a inovací),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21"/>
        </w:numPr>
        <w:tabs>
          <w:tab w:val="clear" w:pos="720"/>
          <w:tab w:val="num" w:pos="360"/>
        </w:tabs>
        <w:overflowPunct w:val="0"/>
        <w:adjustRightInd w:val="0"/>
        <w:ind w:left="360" w:hanging="353"/>
        <w:jc w:val="both"/>
        <w:rPr>
          <w:rFonts w:ascii="Cambria" w:hAnsi="Cambria" w:cs="Cambria"/>
          <w:b/>
          <w:bCs/>
        </w:rPr>
      </w:pPr>
      <w:r>
        <w:rPr>
          <w:rFonts w:ascii="Cambria" w:hAnsi="Cambria" w:cs="Cambria"/>
          <w:b/>
          <w:bCs/>
        </w:rPr>
        <w:t xml:space="preserve">“ZVZ” </w:t>
      </w:r>
      <w:r>
        <w:rPr>
          <w:rFonts w:ascii="Cambria" w:hAnsi="Cambria" w:cs="Cambria"/>
        </w:rPr>
        <w:t>zákon č. 137/2006 Sb., o veřejných zakázkách,</w:t>
      </w:r>
      <w:r>
        <w:rPr>
          <w:rFonts w:ascii="Cambria" w:hAnsi="Cambria" w:cs="Cambria"/>
          <w:b/>
          <w:bCs/>
        </w:rPr>
        <w:t xml:space="preserve">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1200" w:header="720" w:footer="720" w:gutter="0"/>
          <w:cols w:space="720" w:equalWidth="0">
            <w:col w:w="986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6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3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10464" behindDoc="1" locked="0" layoutInCell="0" allowOverlap="1" wp14:anchorId="02D50F06" wp14:editId="42AE05B1">
            <wp:simplePos x="0" y="0"/>
            <wp:positionH relativeFrom="page">
              <wp:posOffset>539750</wp:posOffset>
            </wp:positionH>
            <wp:positionV relativeFrom="page">
              <wp:posOffset>370205</wp:posOffset>
            </wp:positionV>
            <wp:extent cx="2005330" cy="548640"/>
            <wp:effectExtent l="0" t="0" r="0" b="3810"/>
            <wp:wrapNone/>
            <wp:docPr id="5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overflowPunct w:val="0"/>
        <w:adjustRightInd w:val="0"/>
        <w:spacing w:line="387" w:lineRule="auto"/>
        <w:ind w:left="710" w:hanging="357"/>
        <w:jc w:val="both"/>
        <w:rPr>
          <w:rFonts w:ascii="Times New Roman" w:hAnsi="Times New Roman" w:cs="Times New Roman"/>
          <w:sz w:val="24"/>
          <w:szCs w:val="24"/>
        </w:rPr>
      </w:pPr>
      <w:r>
        <w:rPr>
          <w:rFonts w:ascii="Cambria" w:hAnsi="Cambria" w:cs="Cambria"/>
          <w:b/>
          <w:bCs/>
        </w:rPr>
        <w:t xml:space="preserve">hh)„Způsobilými náklady” </w:t>
      </w:r>
      <w:r>
        <w:rPr>
          <w:rFonts w:ascii="Cambria" w:hAnsi="Cambria" w:cs="Cambria"/>
        </w:rPr>
        <w:t>takové náklady nebo výdaje ve výzkumu, vývoji a inovacích, které mohou být</w:t>
      </w:r>
      <w:r>
        <w:rPr>
          <w:rFonts w:ascii="Cambria" w:hAnsi="Cambria" w:cs="Cambria"/>
          <w:b/>
          <w:bCs/>
        </w:rPr>
        <w:t xml:space="preserve"> </w:t>
      </w:r>
      <w:r>
        <w:rPr>
          <w:rFonts w:ascii="Cambria" w:hAnsi="Cambria" w:cs="Cambria"/>
        </w:rPr>
        <w:t>příjemcem vynaloženy na činnosti ve výzkumu, vývoji a inovacích, nebo v souvislosti s nimi ve smyslu § 2 odst. 2 písm. l) ZPVV.</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11" w:lineRule="exact"/>
        <w:rPr>
          <w:rFonts w:ascii="Times New Roman" w:hAnsi="Times New Roman" w:cs="Times New Roman"/>
          <w:sz w:val="24"/>
          <w:szCs w:val="24"/>
        </w:rPr>
      </w:pPr>
    </w:p>
    <w:p w:rsidR="008A2775" w:rsidRDefault="008A2775" w:rsidP="008A2775">
      <w:pPr>
        <w:widowControl w:val="0"/>
        <w:overflowPunct w:val="0"/>
        <w:adjustRightInd w:val="0"/>
        <w:spacing w:line="366" w:lineRule="auto"/>
        <w:ind w:left="2230" w:right="1680" w:hanging="547"/>
        <w:rPr>
          <w:rFonts w:ascii="Times New Roman" w:hAnsi="Times New Roman" w:cs="Times New Roman"/>
          <w:sz w:val="24"/>
          <w:szCs w:val="24"/>
        </w:rPr>
      </w:pPr>
      <w:r>
        <w:rPr>
          <w:rFonts w:ascii="Cambria" w:hAnsi="Cambria" w:cs="Cambria"/>
          <w:b/>
          <w:bCs/>
          <w:sz w:val="27"/>
          <w:szCs w:val="27"/>
        </w:rPr>
        <w:t>Část B – Práva a povinnosti smluvních stran, důsledky jejich porušení a ukončení platnosti Smlouvy</w:t>
      </w:r>
    </w:p>
    <w:p w:rsidR="008A2775" w:rsidRDefault="008A2775" w:rsidP="008A2775">
      <w:pPr>
        <w:widowControl w:val="0"/>
        <w:adjustRightInd w:val="0"/>
        <w:spacing w:line="102" w:lineRule="exact"/>
        <w:rPr>
          <w:rFonts w:ascii="Times New Roman" w:hAnsi="Times New Roman" w:cs="Times New Roman"/>
          <w:sz w:val="24"/>
          <w:szCs w:val="24"/>
        </w:rPr>
      </w:pPr>
    </w:p>
    <w:p w:rsidR="008A2775" w:rsidRDefault="008A2775" w:rsidP="008A2775">
      <w:pPr>
        <w:widowControl w:val="0"/>
        <w:adjustRightInd w:val="0"/>
        <w:ind w:left="4690"/>
        <w:rPr>
          <w:rFonts w:ascii="Times New Roman" w:hAnsi="Times New Roman" w:cs="Times New Roman"/>
          <w:sz w:val="24"/>
          <w:szCs w:val="24"/>
        </w:rPr>
      </w:pPr>
      <w:r>
        <w:rPr>
          <w:rFonts w:ascii="Cambria" w:hAnsi="Cambria" w:cs="Cambria"/>
          <w:b/>
          <w:bCs/>
          <w:i/>
          <w:iCs/>
        </w:rPr>
        <w:t>Článek 3</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130"/>
        <w:rPr>
          <w:rFonts w:ascii="Times New Roman" w:hAnsi="Times New Roman" w:cs="Times New Roman"/>
          <w:sz w:val="24"/>
          <w:szCs w:val="24"/>
        </w:rPr>
      </w:pPr>
      <w:r>
        <w:rPr>
          <w:rFonts w:ascii="Cambria" w:hAnsi="Cambria" w:cs="Cambria"/>
          <w:b/>
          <w:bCs/>
          <w:i/>
          <w:iCs/>
        </w:rPr>
        <w:t>Poskytnutí podpory</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22"/>
        </w:numPr>
        <w:tabs>
          <w:tab w:val="clear" w:pos="720"/>
          <w:tab w:val="num" w:pos="430"/>
        </w:tabs>
        <w:overflowPunct w:val="0"/>
        <w:adjustRightInd w:val="0"/>
        <w:spacing w:line="323" w:lineRule="auto"/>
        <w:ind w:left="430" w:hanging="430"/>
        <w:jc w:val="both"/>
        <w:rPr>
          <w:rFonts w:ascii="Cambria" w:hAnsi="Cambria" w:cs="Cambria"/>
          <w:b/>
          <w:bCs/>
        </w:rPr>
      </w:pPr>
      <w:r>
        <w:rPr>
          <w:rFonts w:ascii="Cambria" w:hAnsi="Cambria" w:cs="Cambria"/>
        </w:rPr>
        <w:t xml:space="preserve">Poskytovatel poskytuje hlavnímu příjemci podporu na základě Smlouvy a za podmínek v ní uvedených včetně podpory určené dalším účastníkům.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22"/>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Poskytovatel se zavazuje po provedení veřejné soutěže poskytnout podporu jednorázově na příslušný rok řešení ve výši uvedené v Závazných parametrech řešení projektu </w:t>
      </w:r>
    </w:p>
    <w:p w:rsidR="008A2775" w:rsidRDefault="008A2775" w:rsidP="008A2775">
      <w:pPr>
        <w:widowControl w:val="0"/>
        <w:numPr>
          <w:ilvl w:val="1"/>
          <w:numId w:val="22"/>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pro první rok řešení do 60 kalendářních dnů ode dne nabytí účinnosti Smlouvy a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2"/>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u víceletých projektů pro druhý a každý následující rok řešení do 60 kalendářních dnů od začátku příslušného kalendářního roku.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22"/>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Poskytovatel se zavazuje ve veřejné zakázce ve výzkumu, vývoji a inovacích začít poskytovat podporu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1"/>
          <w:numId w:val="22"/>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v prvním roce řešení do 60 kalendářních dnů ode dne nabytí účinnosti Smlouvy a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2"/>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u víceletých projektů ve druhém a dalších letech řešení do 60 kalendářních dnů od začátku příslušného kalendářního roku, přičemž harmonogram plateb jednotlivých částí podpory je stanoven Závaznými parametry řešení projektu.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0"/>
          <w:numId w:val="22"/>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Předpokladem pro poskytnutí podpory je, že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1"/>
          <w:numId w:val="23"/>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nedojde v důsledku rozpočtového provizoria nebo krácení prostředků ze státního rozpočtu k regulaci čerpání státního rozpočtu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3"/>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jsou splněny veškeré povinnosti příjemce.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0"/>
          <w:numId w:val="24"/>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Dojde-li k regulaci čerpání státního rozpočtu, poskytovatel v závislosti na povaze a rozsahu takového opatření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1"/>
          <w:numId w:val="24"/>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oznámí písemně hlavnímu příjemci, že příslušnou část podpory neposkytne ve stanovené lhůtě a je-li tak možné, uvede jinou lhůtu, kdy bude hlavnímu příjemci tato část podpory poskytnuta,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4"/>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navrhne hlavnímu příjemci změnu Závazných parametrů řešení projektu nebo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4"/>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Smlouvu vypoví.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0"/>
          <w:numId w:val="24"/>
        </w:numPr>
        <w:tabs>
          <w:tab w:val="clear" w:pos="720"/>
          <w:tab w:val="num" w:pos="430"/>
        </w:tabs>
        <w:overflowPunct w:val="0"/>
        <w:adjustRightInd w:val="0"/>
        <w:spacing w:line="340" w:lineRule="auto"/>
        <w:ind w:left="430" w:hanging="430"/>
        <w:jc w:val="both"/>
        <w:rPr>
          <w:rFonts w:ascii="Cambria" w:hAnsi="Cambria" w:cs="Cambria"/>
          <w:b/>
          <w:bCs/>
        </w:rPr>
      </w:pPr>
      <w:r>
        <w:rPr>
          <w:rFonts w:ascii="Cambria" w:hAnsi="Cambria" w:cs="Cambria"/>
        </w:rPr>
        <w:t xml:space="preserve">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 prováděn ověřovací hodnotící proces nebo veřejnosprávní kontrola.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850" w:header="720" w:footer="720" w:gutter="0"/>
          <w:cols w:space="720" w:equalWidth="0">
            <w:col w:w="10210"/>
          </w:cols>
          <w:noEndnote/>
        </w:sectPr>
      </w:pPr>
    </w:p>
    <w:p w:rsidR="008A2775" w:rsidRDefault="008A2775" w:rsidP="008A2775">
      <w:pPr>
        <w:widowControl w:val="0"/>
        <w:adjustRightInd w:val="0"/>
        <w:spacing w:line="15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4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11488" behindDoc="1" locked="0" layoutInCell="0" allowOverlap="1" wp14:anchorId="39775425" wp14:editId="31E3DEF1">
            <wp:simplePos x="0" y="0"/>
            <wp:positionH relativeFrom="page">
              <wp:posOffset>539750</wp:posOffset>
            </wp:positionH>
            <wp:positionV relativeFrom="page">
              <wp:posOffset>370205</wp:posOffset>
            </wp:positionV>
            <wp:extent cx="2005330" cy="548640"/>
            <wp:effectExtent l="0" t="0" r="0" b="3810"/>
            <wp:wrapNone/>
            <wp:docPr id="5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25"/>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Povinnosti hlavního příjemce se považují za splněné, pokud na základě ukončených nebo probíhajících hodnotících procesů nebo veřejnosprávní kontroly poskytovatel ve lhůtě podle odst. 2 nebo 3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1"/>
          <w:numId w:val="25"/>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písemně hlavnímu příjemci neoznámí zahájení jiného hodnotícího procesu nebo veřejnosprávní kontroly,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5"/>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písemně hlavního příjemce nevyzve k dodatečnému splnění všech jeho závazků,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5"/>
        </w:numPr>
        <w:tabs>
          <w:tab w:val="clear" w:pos="1440"/>
          <w:tab w:val="num" w:pos="730"/>
        </w:tabs>
        <w:overflowPunct w:val="0"/>
        <w:adjustRightInd w:val="0"/>
        <w:ind w:left="730" w:hanging="370"/>
        <w:jc w:val="both"/>
        <w:rPr>
          <w:rFonts w:ascii="Cambria" w:hAnsi="Cambria" w:cs="Cambria"/>
        </w:rPr>
      </w:pPr>
      <w:r>
        <w:rPr>
          <w:rFonts w:ascii="Cambria" w:hAnsi="Cambria" w:cs="Cambria"/>
        </w:rPr>
        <w:t xml:space="preserve">neodešle hlavnímu příjemci výpověď nebo odstoupení od Smlouvy, nebo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5"/>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0"/>
          <w:numId w:val="25"/>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Poskytovatel poskytuje podporu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1"/>
          <w:numId w:val="25"/>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veřejné vysoké škole a veřejné výzkumné instituci převodem z bankovního účtu poskytovatele na bankovní účet u České národní banky uvedený ve Smlouvě,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5"/>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ostatním fyzickým a právnickým osobám převodem z bankovního účtu poskytovatele na bankovní účet uvedený ve Smlouvě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5"/>
        </w:numPr>
        <w:tabs>
          <w:tab w:val="clear" w:pos="1440"/>
          <w:tab w:val="num" w:pos="730"/>
        </w:tabs>
        <w:overflowPunct w:val="0"/>
        <w:adjustRightInd w:val="0"/>
        <w:spacing w:line="348" w:lineRule="auto"/>
        <w:ind w:left="730" w:hanging="370"/>
        <w:jc w:val="both"/>
        <w:rPr>
          <w:rFonts w:ascii="Cambria" w:hAnsi="Cambria" w:cs="Cambria"/>
        </w:rPr>
      </w:pPr>
      <w:r>
        <w:rPr>
          <w:rFonts w:ascii="Cambria" w:hAnsi="Cambria" w:cs="Cambria"/>
        </w:rPr>
        <w:t xml:space="preserve">organizačním složkám státu nebo organizačním jednotkám ministerstva přesunem prostředků státního rozpočtu pomocí rozpočtového opatření.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25"/>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Příslušná část podpory se považuje za poskytnutou dnem, kdy jsou finanční prostředky takto určené uvolněny z bankovního účtu poskytovatele, nebo schválením rozpočtového opatření Ministerstvem financí České republiky.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25"/>
        </w:numPr>
        <w:tabs>
          <w:tab w:val="clear" w:pos="720"/>
          <w:tab w:val="num" w:pos="430"/>
        </w:tabs>
        <w:overflowPunct w:val="0"/>
        <w:adjustRightInd w:val="0"/>
        <w:spacing w:line="330" w:lineRule="auto"/>
        <w:ind w:left="430" w:hanging="430"/>
        <w:jc w:val="both"/>
        <w:rPr>
          <w:rFonts w:ascii="Cambria" w:hAnsi="Cambria" w:cs="Cambria"/>
          <w:b/>
          <w:bCs/>
        </w:rPr>
      </w:pPr>
      <w:r>
        <w:rPr>
          <w:rFonts w:ascii="Cambria" w:hAnsi="Cambria" w:cs="Cambria"/>
        </w:rPr>
        <w:t xml:space="preserve">Veškeré činnosti, na které je podpora poskytována musí směřovat k dosažení cílů projektu, neboli k naplnění účelu podpory, tj. příjemce svou činností vytvoří předpoklady k tomu, aby těchto cílů bylo dosaženo.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25"/>
        </w:numPr>
        <w:tabs>
          <w:tab w:val="clear" w:pos="720"/>
          <w:tab w:val="num" w:pos="430"/>
        </w:tabs>
        <w:overflowPunct w:val="0"/>
        <w:adjustRightInd w:val="0"/>
        <w:spacing w:line="340" w:lineRule="auto"/>
        <w:ind w:left="430" w:hanging="430"/>
        <w:jc w:val="both"/>
        <w:rPr>
          <w:rFonts w:ascii="Cambria" w:hAnsi="Cambria" w:cs="Cambria"/>
          <w:b/>
          <w:bCs/>
        </w:rPr>
      </w:pPr>
      <w:r>
        <w:rPr>
          <w:rFonts w:ascii="Cambria" w:hAnsi="Cambria" w:cs="Cambria"/>
        </w:rPr>
        <w:t xml:space="preserve">Pokud nedojde k efektivnímu čerpání poskytnuté podpory v příslušném kalendářním roce, hlavní příjemce vrací nevyčerpanou část podpory zpět poskytovateli na běžný výdajový účet uvedený ve Smlouvě a v termínu stanoveném níže v povinnostech hlavního příjemce. Hlavní příjemce může zároveň podat žádost o převod těchto finančních prostředků do následujícího kalendářního roku a poskytovatel s touto žádostí naloží v souladu se směrnicí </w:t>
      </w:r>
      <w:r>
        <w:rPr>
          <w:rFonts w:ascii="Cambria" w:hAnsi="Cambria" w:cs="Cambria"/>
          <w:b/>
          <w:bCs/>
        </w:rPr>
        <w:t>SME-07 Směrnice pro změnová řízení projektů.</w:t>
      </w:r>
      <w:r>
        <w:rPr>
          <w:rFonts w:ascii="Cambria" w:hAnsi="Cambria" w:cs="Cambria"/>
        </w:rPr>
        <w:t xml:space="preserve"> </w:t>
      </w:r>
    </w:p>
    <w:p w:rsidR="008A2775" w:rsidRDefault="008A2775" w:rsidP="008A2775">
      <w:pPr>
        <w:widowControl w:val="0"/>
        <w:adjustRightInd w:val="0"/>
        <w:spacing w:line="60" w:lineRule="exact"/>
        <w:rPr>
          <w:rFonts w:ascii="Times New Roman" w:hAnsi="Times New Roman" w:cs="Times New Roman"/>
          <w:sz w:val="24"/>
          <w:szCs w:val="24"/>
        </w:rPr>
      </w:pPr>
    </w:p>
    <w:p w:rsidR="008A2775" w:rsidRDefault="008A2775" w:rsidP="008A2775">
      <w:pPr>
        <w:widowControl w:val="0"/>
        <w:adjustRightInd w:val="0"/>
        <w:ind w:left="4690"/>
        <w:rPr>
          <w:rFonts w:ascii="Times New Roman" w:hAnsi="Times New Roman" w:cs="Times New Roman"/>
          <w:sz w:val="24"/>
          <w:szCs w:val="24"/>
        </w:rPr>
      </w:pPr>
      <w:r>
        <w:rPr>
          <w:rFonts w:ascii="Cambria" w:hAnsi="Cambria" w:cs="Cambria"/>
          <w:b/>
          <w:bCs/>
          <w:i/>
          <w:iCs/>
        </w:rPr>
        <w:t>Článek 4</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670"/>
        <w:rPr>
          <w:rFonts w:ascii="Times New Roman" w:hAnsi="Times New Roman" w:cs="Times New Roman"/>
          <w:sz w:val="24"/>
          <w:szCs w:val="24"/>
        </w:rPr>
      </w:pPr>
      <w:r>
        <w:rPr>
          <w:rFonts w:ascii="Cambria" w:hAnsi="Cambria" w:cs="Cambria"/>
          <w:b/>
          <w:bCs/>
          <w:i/>
          <w:iCs/>
        </w:rPr>
        <w:t>Povinnosti hlavního příjemce</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26"/>
        </w:numPr>
        <w:tabs>
          <w:tab w:val="clear" w:pos="720"/>
          <w:tab w:val="num" w:pos="430"/>
        </w:tabs>
        <w:overflowPunct w:val="0"/>
        <w:adjustRightInd w:val="0"/>
        <w:ind w:left="430" w:hanging="364"/>
        <w:jc w:val="both"/>
        <w:rPr>
          <w:rFonts w:ascii="Cambria" w:hAnsi="Cambria" w:cs="Cambria"/>
          <w:b/>
          <w:bCs/>
        </w:rPr>
      </w:pPr>
      <w:r>
        <w:rPr>
          <w:rFonts w:ascii="Cambria" w:hAnsi="Cambria" w:cs="Cambria"/>
        </w:rPr>
        <w:t xml:space="preserve">Hlavní příjemce je povinen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26"/>
        </w:numPr>
        <w:tabs>
          <w:tab w:val="clear" w:pos="1440"/>
          <w:tab w:val="num" w:pos="730"/>
        </w:tabs>
        <w:overflowPunct w:val="0"/>
        <w:adjustRightInd w:val="0"/>
        <w:spacing w:line="330" w:lineRule="auto"/>
        <w:ind w:left="730" w:hanging="370"/>
        <w:jc w:val="both"/>
        <w:rPr>
          <w:rFonts w:ascii="Cambria" w:hAnsi="Cambria" w:cs="Cambria"/>
        </w:rPr>
      </w:pPr>
      <w:r>
        <w:rPr>
          <w:rFonts w:ascii="Cambria" w:hAnsi="Cambria" w:cs="Cambria"/>
        </w:rPr>
        <w:t xml:space="preserve">čerpat a využívat podporu v souladu s pravidly poskytnutí podpory a Závaznými parametry řešení projektu, zejména využívat podporu na uznané náklady v souladu s částí E a postupovat v souladu s § 8 odst. 5 ZPVV podle ZVZ,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26"/>
        </w:numPr>
        <w:tabs>
          <w:tab w:val="clear" w:pos="1440"/>
          <w:tab w:val="num" w:pos="730"/>
        </w:tabs>
        <w:overflowPunct w:val="0"/>
        <w:adjustRightInd w:val="0"/>
        <w:spacing w:line="482" w:lineRule="auto"/>
        <w:ind w:left="730" w:hanging="370"/>
        <w:jc w:val="both"/>
        <w:rPr>
          <w:rFonts w:ascii="Cambria" w:hAnsi="Cambria" w:cs="Cambria"/>
        </w:rPr>
      </w:pPr>
      <w:r>
        <w:rPr>
          <w:rFonts w:ascii="Cambria" w:hAnsi="Cambria" w:cs="Cambria"/>
        </w:rPr>
        <w:t xml:space="preserve">svou činností při řešení projektu dosahovat výsledků ve lhůtách uvedených v Závazných parametrech řešení projektu,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850" w:header="720" w:footer="720" w:gutter="0"/>
          <w:cols w:space="720" w:equalWidth="0">
            <w:col w:w="1021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5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12512" behindDoc="1" locked="0" layoutInCell="0" allowOverlap="1" wp14:anchorId="717483A2" wp14:editId="1DEACA46">
            <wp:simplePos x="0" y="0"/>
            <wp:positionH relativeFrom="page">
              <wp:posOffset>539750</wp:posOffset>
            </wp:positionH>
            <wp:positionV relativeFrom="page">
              <wp:posOffset>370205</wp:posOffset>
            </wp:positionV>
            <wp:extent cx="2005330" cy="548640"/>
            <wp:effectExtent l="0" t="0" r="0" b="3810"/>
            <wp:wrapNone/>
            <wp:docPr id="5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1"/>
          <w:numId w:val="27"/>
        </w:numPr>
        <w:tabs>
          <w:tab w:val="clear" w:pos="1440"/>
          <w:tab w:val="num" w:pos="664"/>
        </w:tabs>
        <w:overflowPunct w:val="0"/>
        <w:adjustRightInd w:val="0"/>
        <w:spacing w:line="365" w:lineRule="auto"/>
        <w:ind w:left="664" w:hanging="370"/>
        <w:jc w:val="both"/>
        <w:rPr>
          <w:rFonts w:ascii="Cambria" w:hAnsi="Cambria" w:cs="Cambria"/>
          <w:sz w:val="21"/>
          <w:szCs w:val="21"/>
        </w:rPr>
      </w:pPr>
      <w:r>
        <w:rPr>
          <w:rFonts w:ascii="Cambria" w:hAnsi="Cambria" w:cs="Cambria"/>
          <w:sz w:val="21"/>
          <w:szCs w:val="21"/>
        </w:rPr>
        <w:t xml:space="preserve">převést ze svého bankovního účtu na bankovní účty dalších účastníků příslušnou část podpory podle Závazných parametrů řešení projektu ve lhůtách stanovených ve smlouvě o účasti na řešení projektu, </w:t>
      </w:r>
    </w:p>
    <w:p w:rsidR="008A2775" w:rsidRDefault="008A2775" w:rsidP="008A2775">
      <w:pPr>
        <w:widowControl w:val="0"/>
        <w:adjustRightInd w:val="0"/>
        <w:spacing w:line="1" w:lineRule="exact"/>
        <w:rPr>
          <w:rFonts w:ascii="Cambria" w:hAnsi="Cambria" w:cs="Cambria"/>
          <w:sz w:val="21"/>
          <w:szCs w:val="21"/>
        </w:rPr>
      </w:pPr>
    </w:p>
    <w:p w:rsidR="008A2775" w:rsidRDefault="008A2775" w:rsidP="008A2775">
      <w:pPr>
        <w:widowControl w:val="0"/>
        <w:numPr>
          <w:ilvl w:val="1"/>
          <w:numId w:val="27"/>
        </w:numPr>
        <w:tabs>
          <w:tab w:val="clear" w:pos="1440"/>
          <w:tab w:val="num" w:pos="664"/>
        </w:tabs>
        <w:overflowPunct w:val="0"/>
        <w:adjustRightInd w:val="0"/>
        <w:spacing w:line="310" w:lineRule="auto"/>
        <w:ind w:left="664" w:hanging="370"/>
        <w:jc w:val="both"/>
        <w:rPr>
          <w:rFonts w:ascii="Cambria" w:hAnsi="Cambria" w:cs="Cambria"/>
        </w:rPr>
      </w:pPr>
      <w:r>
        <w:rPr>
          <w:rFonts w:ascii="Cambria" w:hAnsi="Cambria" w:cs="Cambria"/>
        </w:rPr>
        <w:t>vrátit poskytovateli na jeho běžný výdajový účet část podpory, a to do 14 kalendářních dnů poté, co 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 za příslušný rok za projekt, kterou je možno vrátit až do 15. února roku následujícího na účet 6015-3125001/0710, pokud tak řádně odůvodní v průběžné nebo závěrečné zprávě</w:t>
      </w:r>
      <w:r>
        <w:rPr>
          <w:rFonts w:ascii="Symbol" w:hAnsi="Symbol" w:cs="Symbol"/>
        </w:rPr>
        <w:t></w:t>
      </w:r>
      <w:r>
        <w:rPr>
          <w:rFonts w:ascii="Cambria" w:hAnsi="Cambria" w:cs="Cambria"/>
        </w:rPr>
        <w:t xml:space="preserve"> pokud je příjemce veřejnou vysokou školou nebo veřejnou výzkumnou institucí, může takto nevyužitou podporu převést do fondu účelově určených prostředků, nejvýše však 5 % objemu podpory poskytnuté a pouze jemu příslušné v příslušném kalendářním roce, </w:t>
      </w:r>
    </w:p>
    <w:p w:rsidR="008A2775" w:rsidRDefault="008A2775" w:rsidP="008A2775">
      <w:pPr>
        <w:widowControl w:val="0"/>
        <w:adjustRightInd w:val="0"/>
        <w:spacing w:line="5" w:lineRule="exact"/>
        <w:rPr>
          <w:rFonts w:ascii="Cambria" w:hAnsi="Cambria" w:cs="Cambria"/>
        </w:rPr>
      </w:pPr>
    </w:p>
    <w:p w:rsidR="008A2775" w:rsidRDefault="008A2775" w:rsidP="008A2775">
      <w:pPr>
        <w:widowControl w:val="0"/>
        <w:numPr>
          <w:ilvl w:val="1"/>
          <w:numId w:val="2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vést v účetnictví oddělenou účetní evidenci uznaných nákladů projektu financovaných z prostředků určených k řešení projektu pro každý jednotlivý projekt,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zaplatit smluvní pokutu stanovenou podle článku 5 odst. 3,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mít uzavřenou písemnou smlouvu o účasti na řešení projektu se všemi jejími povinnými náležitostmi podle článku 6, pokud se na řešení projektu podílí více příjemců,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7"/>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 výjimkou veřejné zakázky ve výzkumu, vývoji a inovacích předložit nejpozději před ukončením řešení projektu smlouvu o využití výsledků uzavřenou s uživatelem výsledků anebo řádné odůvodnění (čestné prohlášení o využití výsledků), zejména pokud příjemce bude jediným uživatelem výsledku projektu, </w:t>
      </w:r>
    </w:p>
    <w:p w:rsidR="008A2775" w:rsidRDefault="008A2775" w:rsidP="008A2775">
      <w:pPr>
        <w:widowControl w:val="0"/>
        <w:numPr>
          <w:ilvl w:val="1"/>
          <w:numId w:val="2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poskytovat výsledky podle pravidel stanovených v článku 15,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27"/>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bez zbytečného odkladu po výzvě poskytovatele protokolárně předat poskytovateli výsledek veřejné zakázky ve výzkumu, vývoji a inovacích,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7"/>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v souladu s článkem 9 vyčíslit a odvést poskytovateli veškeré příjmy z projektů a nezamezovat jejich získávání. </w:t>
      </w:r>
    </w:p>
    <w:p w:rsidR="008A2775" w:rsidRDefault="008A2775" w:rsidP="008A2775">
      <w:pPr>
        <w:widowControl w:val="0"/>
        <w:adjustRightInd w:val="0"/>
        <w:spacing w:line="149" w:lineRule="exact"/>
        <w:rPr>
          <w:rFonts w:ascii="Cambria" w:hAnsi="Cambria" w:cs="Cambria"/>
        </w:rPr>
      </w:pPr>
    </w:p>
    <w:p w:rsidR="008A2775" w:rsidRDefault="008A2775" w:rsidP="008A2775">
      <w:pPr>
        <w:widowControl w:val="0"/>
        <w:numPr>
          <w:ilvl w:val="0"/>
          <w:numId w:val="28"/>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Hlavní příjemce je dále povinen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1"/>
          <w:numId w:val="2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zahájit řešení projektu v termínu stanoveném v Závazných parametrech řešení projektu, nejpozději však do 60 kalendářních dnů ode dne nabytí účinnosti Smlouvy,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8"/>
        </w:numPr>
        <w:tabs>
          <w:tab w:val="clear" w:pos="1440"/>
          <w:tab w:val="num" w:pos="664"/>
        </w:tabs>
        <w:overflowPunct w:val="0"/>
        <w:adjustRightInd w:val="0"/>
        <w:spacing w:line="309" w:lineRule="auto"/>
        <w:ind w:left="664" w:hanging="370"/>
        <w:jc w:val="both"/>
        <w:rPr>
          <w:rFonts w:ascii="Cambria" w:hAnsi="Cambria" w:cs="Cambria"/>
        </w:rPr>
      </w:pPr>
      <w:r>
        <w:rPr>
          <w:rFonts w:ascii="Cambria" w:hAnsi="Cambria" w:cs="Cambria"/>
        </w:rP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rFonts w:ascii="Cambria" w:hAnsi="Cambria" w:cs="Cambria"/>
          <w:b/>
          <w:bCs/>
        </w:rPr>
        <w:t>SME-07 Změnová řízení projektů</w:t>
      </w:r>
      <w:r>
        <w:rPr>
          <w:rFonts w:ascii="Cambria" w:hAnsi="Cambria" w:cs="Cambria"/>
        </w:rPr>
        <w:t>, přičemž informování je možné provést rovnou žádostí o změnu</w:t>
      </w:r>
      <w:r>
        <w:rPr>
          <w:rFonts w:ascii="Cambria" w:hAnsi="Cambria" w:cs="Cambria"/>
          <w:b/>
          <w:bCs/>
        </w:rPr>
        <w:t xml:space="preserve"> </w:t>
      </w:r>
      <w:r>
        <w:rPr>
          <w:rFonts w:ascii="Cambria" w:hAnsi="Cambria" w:cs="Cambria"/>
        </w:rPr>
        <w:t xml:space="preserve">podle této směrnice, </w:t>
      </w:r>
    </w:p>
    <w:p w:rsidR="008A2775" w:rsidRDefault="008A2775" w:rsidP="008A2775">
      <w:pPr>
        <w:widowControl w:val="0"/>
        <w:numPr>
          <w:ilvl w:val="1"/>
          <w:numId w:val="28"/>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postupovat v souladu s dokumentem </w:t>
      </w:r>
      <w:r>
        <w:rPr>
          <w:rFonts w:ascii="Cambria" w:hAnsi="Cambria" w:cs="Cambria"/>
          <w:b/>
          <w:bCs/>
        </w:rPr>
        <w:t>„Pravidla pro publicitu projektů podpořených z prostředků</w:t>
      </w:r>
      <w:r>
        <w:rPr>
          <w:rFonts w:ascii="Cambria" w:hAnsi="Cambria" w:cs="Cambria"/>
        </w:rPr>
        <w:t xml:space="preserve"> </w:t>
      </w:r>
      <w:r>
        <w:rPr>
          <w:rFonts w:ascii="Cambria" w:hAnsi="Cambria" w:cs="Cambria"/>
          <w:b/>
          <w:bCs/>
        </w:rPr>
        <w:t>TA ČR“</w:t>
      </w:r>
      <w:r>
        <w:rPr>
          <w:rFonts w:ascii="Cambria" w:hAnsi="Cambria" w:cs="Cambria"/>
        </w:rPr>
        <w:t>,</w:t>
      </w:r>
      <w:r>
        <w:rPr>
          <w:rFonts w:ascii="Cambria" w:hAnsi="Cambria" w:cs="Cambria"/>
          <w:b/>
          <w:bCs/>
        </w:rPr>
        <w:t xml:space="preserve">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17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6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13536" behindDoc="1" locked="0" layoutInCell="0" allowOverlap="1" wp14:anchorId="5484ED4D" wp14:editId="0A907E77">
            <wp:simplePos x="0" y="0"/>
            <wp:positionH relativeFrom="page">
              <wp:posOffset>539750</wp:posOffset>
            </wp:positionH>
            <wp:positionV relativeFrom="page">
              <wp:posOffset>370205</wp:posOffset>
            </wp:positionV>
            <wp:extent cx="2005330" cy="548640"/>
            <wp:effectExtent l="0" t="0" r="0" b="3810"/>
            <wp:wrapNone/>
            <wp:docPr id="5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1"/>
          <w:numId w:val="2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předkládat úplné zprávy a další relevantní informace v souladu se Smlouvou a příslušnými hodnotícími procesy, které se týkají jak řešení projektu tak plnění implementačního plánu,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9"/>
        </w:numPr>
        <w:tabs>
          <w:tab w:val="clear" w:pos="1440"/>
          <w:tab w:val="num" w:pos="664"/>
        </w:tabs>
        <w:overflowPunct w:val="0"/>
        <w:adjustRightInd w:val="0"/>
        <w:spacing w:line="346" w:lineRule="auto"/>
        <w:ind w:left="664" w:hanging="370"/>
        <w:jc w:val="both"/>
        <w:rPr>
          <w:rFonts w:ascii="Cambria" w:hAnsi="Cambria" w:cs="Cambria"/>
          <w:sz w:val="21"/>
          <w:szCs w:val="21"/>
        </w:rPr>
      </w:pPr>
      <w:r>
        <w:rPr>
          <w:rFonts w:ascii="Cambria" w:hAnsi="Cambria" w:cs="Cambria"/>
          <w:sz w:val="21"/>
          <w:szCs w:val="21"/>
        </w:rPr>
        <w:t xml:space="preserve">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 </w:t>
      </w:r>
    </w:p>
    <w:p w:rsidR="008A2775" w:rsidRDefault="008A2775" w:rsidP="008A2775">
      <w:pPr>
        <w:widowControl w:val="0"/>
        <w:numPr>
          <w:ilvl w:val="1"/>
          <w:numId w:val="29"/>
        </w:numPr>
        <w:tabs>
          <w:tab w:val="clear" w:pos="1440"/>
          <w:tab w:val="num" w:pos="664"/>
        </w:tabs>
        <w:overflowPunct w:val="0"/>
        <w:adjustRightInd w:val="0"/>
        <w:spacing w:line="311" w:lineRule="auto"/>
        <w:ind w:left="664" w:hanging="370"/>
        <w:jc w:val="both"/>
        <w:rPr>
          <w:rFonts w:ascii="Cambria" w:hAnsi="Cambria" w:cs="Cambria"/>
        </w:rPr>
      </w:pPr>
      <w:r>
        <w:rPr>
          <w:rFonts w:ascii="Cambria" w:hAnsi="Cambria" w:cs="Cambria"/>
        </w:rPr>
        <w:t xml:space="preserve">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 informaci, </w:t>
      </w:r>
    </w:p>
    <w:p w:rsidR="008A2775" w:rsidRDefault="008A2775" w:rsidP="008A2775">
      <w:pPr>
        <w:widowControl w:val="0"/>
        <w:adjustRightInd w:val="0"/>
        <w:spacing w:line="4" w:lineRule="exact"/>
        <w:rPr>
          <w:rFonts w:ascii="Cambria" w:hAnsi="Cambria" w:cs="Cambria"/>
        </w:rPr>
      </w:pPr>
    </w:p>
    <w:p w:rsidR="008A2775" w:rsidRDefault="008A2775" w:rsidP="008A2775">
      <w:pPr>
        <w:widowControl w:val="0"/>
        <w:numPr>
          <w:ilvl w:val="1"/>
          <w:numId w:val="2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prokázat na výzvu poskytovatele, že splňuje povinnosti stanovené pravidly poskytnutí podpory, a to ve lhůtě uvedené v této výzvě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29"/>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poskytovat veškerou součinnost podle směrnice </w:t>
      </w:r>
      <w:r>
        <w:rPr>
          <w:rFonts w:ascii="Cambria" w:hAnsi="Cambria" w:cs="Cambria"/>
          <w:b/>
          <w:bCs/>
        </w:rPr>
        <w:t>SME-07 Změnová řízení projektů</w:t>
      </w:r>
      <w:r>
        <w:rPr>
          <w:rFonts w:ascii="Cambria" w:hAnsi="Cambria" w:cs="Cambria"/>
        </w:rPr>
        <w:t xml:space="preserve">, zejména předkládat požadované informace a dokumenty ve stanovených lhůtách tak, aby mohl být proces podle této směrnice řádně dokončen, včetně uzavření dodatku ke smlouvě či rozhodnutí o poskytnutí podpory, pokud tak tato směrnice stanoví. </w:t>
      </w:r>
    </w:p>
    <w:p w:rsidR="008A2775" w:rsidRDefault="008A2775" w:rsidP="008A2775">
      <w:pPr>
        <w:widowControl w:val="0"/>
        <w:numPr>
          <w:ilvl w:val="0"/>
          <w:numId w:val="30"/>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Hlavní příjemce je zároveň povinen zajistit, aby další účastník rovněž dodržoval výše uvedené povinnosti, popř. aby prováděl veškerou potřebnou součinnost za účelem dodržení těchto povinností hlavním příjemcem.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30"/>
        </w:numPr>
        <w:tabs>
          <w:tab w:val="clear" w:pos="720"/>
          <w:tab w:val="num" w:pos="364"/>
        </w:tabs>
        <w:overflowPunct w:val="0"/>
        <w:adjustRightInd w:val="0"/>
        <w:spacing w:line="315" w:lineRule="auto"/>
        <w:ind w:left="364" w:hanging="364"/>
        <w:jc w:val="both"/>
        <w:rPr>
          <w:rFonts w:ascii="Cambria" w:hAnsi="Cambria" w:cs="Cambria"/>
          <w:b/>
          <w:bCs/>
        </w:rPr>
      </w:pPr>
      <w:r>
        <w:rPr>
          <w:rFonts w:ascii="Cambria" w:hAnsi="Cambria" w:cs="Cambria"/>
        </w:rPr>
        <w:t xml:space="preserve">Pokud je hlavnímu příjemci stanovena povinnost písemného doručování poskytovateli v dané lhůtě, a v případě, že nevyužije elektronické podání (informační systém datových schránek nebo e-mailová zpráva se zaručeným elektronickým podpisem na adresu </w:t>
      </w:r>
      <w:r>
        <w:rPr>
          <w:rFonts w:ascii="Cambria" w:hAnsi="Cambria" w:cs="Cambria"/>
          <w:u w:val="single"/>
        </w:rPr>
        <w:t>posta@tacr.cz</w:t>
      </w:r>
      <w:r>
        <w:rPr>
          <w:rFonts w:ascii="Cambria" w:hAnsi="Cambria" w:cs="Cambria"/>
        </w:rPr>
        <w:t xml:space="preserve">), je povinen doručit příslušný dokument nejpozději do konce úředních hodin podatelny TA ČR v poslední den lhůty. Úřední hodiny podatelny TA ČR jsou uvedeny na webových stránkách poskytovatele.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30"/>
        </w:numPr>
        <w:tabs>
          <w:tab w:val="clear" w:pos="720"/>
          <w:tab w:val="num" w:pos="364"/>
        </w:tabs>
        <w:overflowPunct w:val="0"/>
        <w:adjustRightInd w:val="0"/>
        <w:spacing w:line="356" w:lineRule="auto"/>
        <w:ind w:left="364" w:hanging="364"/>
        <w:jc w:val="both"/>
        <w:rPr>
          <w:rFonts w:ascii="Cambria" w:hAnsi="Cambria" w:cs="Cambria"/>
          <w:b/>
          <w:bCs/>
        </w:rPr>
      </w:pPr>
      <w:r>
        <w:rPr>
          <w:rFonts w:ascii="Cambria" w:hAnsi="Cambria" w:cs="Cambria"/>
        </w:rPr>
        <w:t xml:space="preserve">Příjemce je povinen přijmout opatření k odstranění nedostatků zjištěných při veřejnosprávní kontrole bez zbytečného odkladu, nejpozději však ve lhůtě stanovené kontrolním orgánem, a o příjemcem přijatých opatřeních informovat poskytovatele, přičemž si poskytovatel vyhrazuje právo prověřit u příjemce plnění uložených opatření k nápravě. </w:t>
      </w:r>
    </w:p>
    <w:p w:rsidR="008A2775" w:rsidRDefault="008A2775" w:rsidP="008A2775">
      <w:pPr>
        <w:widowControl w:val="0"/>
        <w:adjustRightInd w:val="0"/>
        <w:spacing w:line="41" w:lineRule="exact"/>
        <w:rPr>
          <w:rFonts w:ascii="Times New Roman" w:hAnsi="Times New Roman" w:cs="Times New Roman"/>
          <w:sz w:val="24"/>
          <w:szCs w:val="24"/>
        </w:rPr>
      </w:pPr>
    </w:p>
    <w:p w:rsidR="008A2775" w:rsidRDefault="008A2775" w:rsidP="008A2775">
      <w:pPr>
        <w:widowControl w:val="0"/>
        <w:adjustRightInd w:val="0"/>
        <w:ind w:left="4624"/>
        <w:rPr>
          <w:rFonts w:ascii="Times New Roman" w:hAnsi="Times New Roman" w:cs="Times New Roman"/>
          <w:sz w:val="24"/>
          <w:szCs w:val="24"/>
        </w:rPr>
      </w:pPr>
      <w:r>
        <w:rPr>
          <w:rFonts w:ascii="Cambria" w:hAnsi="Cambria" w:cs="Cambria"/>
          <w:b/>
          <w:bCs/>
          <w:i/>
          <w:iCs/>
        </w:rPr>
        <w:t>Článek 5</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2624"/>
        <w:rPr>
          <w:rFonts w:ascii="Times New Roman" w:hAnsi="Times New Roman" w:cs="Times New Roman"/>
          <w:sz w:val="24"/>
          <w:szCs w:val="24"/>
        </w:rPr>
      </w:pPr>
      <w:r>
        <w:rPr>
          <w:rFonts w:ascii="Cambria" w:hAnsi="Cambria" w:cs="Cambria"/>
          <w:b/>
          <w:bCs/>
          <w:i/>
          <w:iCs/>
        </w:rPr>
        <w:t>Důsledky porušení podmínek poskytnutí podpory</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31"/>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 případě jakéhokoliv porušení povinností hlavním příjemcem je poskytovatel oprávněn pozastavit poskytování podpory a neposkytnout příslušnou část podpory ve stanovených lhůtách.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31"/>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Porušení povinností hlavním příjemcem stanovených v čl. 4 odst. 1 se považuje za porušení rozpočtové kázně a má za následek podání podnětu k zahájení řízení o porušení rozpočtové kázně s tím, že </w:t>
      </w:r>
    </w:p>
    <w:p w:rsidR="008A2775" w:rsidRDefault="008A2775" w:rsidP="008A2775">
      <w:pPr>
        <w:widowControl w:val="0"/>
        <w:numPr>
          <w:ilvl w:val="1"/>
          <w:numId w:val="31"/>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a) se odvádí 100% takto neoprávněně použité podpory,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1"/>
        </w:numPr>
        <w:tabs>
          <w:tab w:val="clear" w:pos="1440"/>
          <w:tab w:val="num" w:pos="664"/>
        </w:tabs>
        <w:overflowPunct w:val="0"/>
        <w:adjustRightInd w:val="0"/>
        <w:spacing w:line="482" w:lineRule="auto"/>
        <w:ind w:left="664" w:hanging="370"/>
        <w:jc w:val="both"/>
        <w:rPr>
          <w:rFonts w:ascii="Cambria" w:hAnsi="Cambria" w:cs="Cambria"/>
        </w:rPr>
      </w:pPr>
      <w:r>
        <w:rPr>
          <w:rFonts w:ascii="Cambria" w:hAnsi="Cambria" w:cs="Cambria"/>
        </w:rPr>
        <w:t xml:space="preserve">podle písm. b) se odvádí 100% poskytnuté podpory určené k dosažení toho výsledku, kterého nebylo dosaženo,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15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7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0" w:name="page15"/>
      <w:bookmarkEnd w:id="10"/>
      <w:r>
        <w:rPr>
          <w:noProof/>
          <w:lang w:val="cs-CZ"/>
        </w:rPr>
        <w:lastRenderedPageBreak/>
        <w:drawing>
          <wp:anchor distT="0" distB="0" distL="114300" distR="114300" simplePos="0" relativeHeight="251714560" behindDoc="1" locked="0" layoutInCell="0" allowOverlap="1" wp14:anchorId="3521CBCA" wp14:editId="6C93D022">
            <wp:simplePos x="0" y="0"/>
            <wp:positionH relativeFrom="page">
              <wp:posOffset>539750</wp:posOffset>
            </wp:positionH>
            <wp:positionV relativeFrom="page">
              <wp:posOffset>370205</wp:posOffset>
            </wp:positionV>
            <wp:extent cx="2005330" cy="548640"/>
            <wp:effectExtent l="0" t="0" r="0" b="3810"/>
            <wp:wrapNone/>
            <wp:docPr id="5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c) se odvádí 5 % příslušné části podpory nepřevedené dalšímu účastníku,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d) se odvádí 100 % takto nevrácené příslušné části podpory a její části vrácené v dalším kalendářním roce nad rámec povolených procentuálních limitů,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e) se odvádí 100% veškeré dosud poskytnuté podpory,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f) se odvádí 100% částky odpovídající stanovené smluvní pokutě,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g) se odvádí 100% veškeré dosud poskytnuté podpory,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h) se odvádí 5 % veškeré dosud poskytnuté podpory,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i) se odvádí 100 % celkové podpory,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j) se odvádí 100 % celkové podpory,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32"/>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podle písm. k) se odvádí 5 % veškeré dosud poskytnuté podpory a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0"/>
          <w:numId w:val="3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Porušení povinností hlavním příjemcem stanovených v čl. 4 odst. 2 má za následek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1"/>
          <w:numId w:val="33"/>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a) smluvní pokutu ve výši 5.000,- Kč za každý byť započatý měsíc prodlení, maximálně však 50.000 Kč,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3"/>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b) povinnost uhradit smluvní pokutu ve výši 5.000,- Kč za každé takové jednotlivé porušení </w:t>
      </w:r>
    </w:p>
    <w:p w:rsidR="008A2775" w:rsidRDefault="008A2775" w:rsidP="008A2775">
      <w:pPr>
        <w:widowControl w:val="0"/>
        <w:adjustRightInd w:val="0"/>
        <w:spacing w:line="188" w:lineRule="exact"/>
        <w:rPr>
          <w:rFonts w:ascii="Cambria" w:hAnsi="Cambria" w:cs="Cambria"/>
          <w:sz w:val="21"/>
          <w:szCs w:val="21"/>
        </w:rPr>
      </w:pPr>
    </w:p>
    <w:p w:rsidR="008A2775" w:rsidRDefault="008A2775" w:rsidP="008A2775">
      <w:pPr>
        <w:widowControl w:val="0"/>
        <w:numPr>
          <w:ilvl w:val="1"/>
          <w:numId w:val="33"/>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c) povinnost uhradit smluvní pokutu ve výši 5.000 Kč,- za každé takové jednotlivé porušení, </w:t>
      </w:r>
    </w:p>
    <w:p w:rsidR="008A2775" w:rsidRDefault="008A2775" w:rsidP="008A2775">
      <w:pPr>
        <w:widowControl w:val="0"/>
        <w:adjustRightInd w:val="0"/>
        <w:spacing w:line="188" w:lineRule="exact"/>
        <w:rPr>
          <w:rFonts w:ascii="Cambria" w:hAnsi="Cambria" w:cs="Cambria"/>
          <w:sz w:val="21"/>
          <w:szCs w:val="21"/>
        </w:rPr>
      </w:pPr>
    </w:p>
    <w:p w:rsidR="008A2775" w:rsidRDefault="008A2775" w:rsidP="008A2775">
      <w:pPr>
        <w:widowControl w:val="0"/>
        <w:numPr>
          <w:ilvl w:val="1"/>
          <w:numId w:val="33"/>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d) povinnost uhradit smluvní pokutu ve výši 1.000 Kč,- za každý byť započatý den prodlení, maximálně však 50.000 Kč,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3"/>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e) povinnost uhradit smluvní pokutu ve výši 5.000 Kč,- za každé takové jednotlivé porušení, </w:t>
      </w:r>
    </w:p>
    <w:p w:rsidR="008A2775" w:rsidRDefault="008A2775" w:rsidP="008A2775">
      <w:pPr>
        <w:widowControl w:val="0"/>
        <w:adjustRightInd w:val="0"/>
        <w:spacing w:line="188" w:lineRule="exact"/>
        <w:rPr>
          <w:rFonts w:ascii="Cambria" w:hAnsi="Cambria" w:cs="Cambria"/>
          <w:sz w:val="21"/>
          <w:szCs w:val="21"/>
        </w:rPr>
      </w:pPr>
    </w:p>
    <w:p w:rsidR="008A2775" w:rsidRDefault="008A2775" w:rsidP="008A2775">
      <w:pPr>
        <w:widowControl w:val="0"/>
        <w:numPr>
          <w:ilvl w:val="1"/>
          <w:numId w:val="33"/>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f) povinnost uhradit smluvní pokutu ve výši 10.000 Kč,- za každé takové jednotlivé porušení,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3"/>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podle písm. g) povinnost uhradit smluvní pokutu ve výši 10.000 Kč,- za každé takové jednotlivé porušení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3"/>
        </w:numPr>
        <w:tabs>
          <w:tab w:val="clear" w:pos="1440"/>
          <w:tab w:val="num" w:pos="664"/>
        </w:tabs>
        <w:overflowPunct w:val="0"/>
        <w:adjustRightInd w:val="0"/>
        <w:ind w:left="664" w:hanging="370"/>
        <w:jc w:val="both"/>
        <w:rPr>
          <w:rFonts w:ascii="Cambria" w:hAnsi="Cambria" w:cs="Cambria"/>
          <w:sz w:val="21"/>
          <w:szCs w:val="21"/>
        </w:rPr>
      </w:pPr>
      <w:r>
        <w:rPr>
          <w:rFonts w:ascii="Cambria" w:hAnsi="Cambria" w:cs="Cambria"/>
          <w:sz w:val="21"/>
          <w:szCs w:val="21"/>
        </w:rPr>
        <w:t xml:space="preserve">podle písm. h) povinnost uhradit smluvní pokutu ve výši 5.000 Kč,- za každé takové jednotlivé porušení. </w:t>
      </w:r>
    </w:p>
    <w:p w:rsidR="008A2775" w:rsidRDefault="008A2775" w:rsidP="008A2775">
      <w:pPr>
        <w:widowControl w:val="0"/>
        <w:adjustRightInd w:val="0"/>
        <w:spacing w:line="188" w:lineRule="exact"/>
        <w:rPr>
          <w:rFonts w:ascii="Cambria" w:hAnsi="Cambria" w:cs="Cambria"/>
          <w:sz w:val="21"/>
          <w:szCs w:val="21"/>
        </w:rPr>
      </w:pPr>
    </w:p>
    <w:p w:rsidR="008A2775" w:rsidRDefault="008A2775" w:rsidP="008A2775">
      <w:pPr>
        <w:widowControl w:val="0"/>
        <w:numPr>
          <w:ilvl w:val="0"/>
          <w:numId w:val="33"/>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Porušení některé z povinností dalším účastníkem má za následek uplatnění příslušných ustanovení podle tohoto článku vůči hlavnímu příjemci.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3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Odstoupení od Smlouvy nemá vliv na uplatnění ostatních příslušných ustanovení podle tohoto článku.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0"/>
          <w:numId w:val="33"/>
        </w:numPr>
        <w:tabs>
          <w:tab w:val="clear" w:pos="720"/>
          <w:tab w:val="num" w:pos="364"/>
        </w:tabs>
        <w:overflowPunct w:val="0"/>
        <w:adjustRightInd w:val="0"/>
        <w:spacing w:line="320" w:lineRule="auto"/>
        <w:ind w:left="364" w:hanging="364"/>
        <w:jc w:val="both"/>
        <w:rPr>
          <w:rFonts w:ascii="Cambria" w:hAnsi="Cambria" w:cs="Cambria"/>
          <w:b/>
          <w:bCs/>
        </w:rPr>
      </w:pPr>
      <w:r>
        <w:rPr>
          <w:rFonts w:ascii="Cambria" w:hAnsi="Cambria" w:cs="Cambria"/>
        </w:rPr>
        <w:t xml:space="preserve">Hlavní příjemce bere na vědomí, že pokud soustavně porušuje své povinnosti nebo porušení vyhodnotí poskytovatel jako závažné, je poskytovatel oprávněn vyloučit návrhy projektů podané hlavním 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 avšak v dostatečném předstihu tak, aby nedocházelo k marnému podání návrhu projektu tímto subjektem jako hlavním uchazečem nebo dalším účastníkem.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8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1" w:name="page17"/>
      <w:bookmarkEnd w:id="11"/>
      <w:r>
        <w:rPr>
          <w:noProof/>
          <w:lang w:val="cs-CZ"/>
        </w:rPr>
        <w:lastRenderedPageBreak/>
        <w:drawing>
          <wp:anchor distT="0" distB="0" distL="114300" distR="114300" simplePos="0" relativeHeight="251715584" behindDoc="1" locked="0" layoutInCell="0" allowOverlap="1" wp14:anchorId="35E2573E" wp14:editId="4739A583">
            <wp:simplePos x="0" y="0"/>
            <wp:positionH relativeFrom="page">
              <wp:posOffset>539750</wp:posOffset>
            </wp:positionH>
            <wp:positionV relativeFrom="page">
              <wp:posOffset>370205</wp:posOffset>
            </wp:positionV>
            <wp:extent cx="2005330" cy="548640"/>
            <wp:effectExtent l="0" t="0" r="0" b="3810"/>
            <wp:wrapNone/>
            <wp:docPr id="5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34"/>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této Smlouvy.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34"/>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Jednotlivé smluvní pokuty stanovené podle tohoto článku se sčítají, maximálně však do výše odpovídající maximální výši podpory stanovené ve Smlouvě.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34"/>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Pokud hlavní příjemce předpokládá, že nebude schopen splnit některou z výše uvedených povinností, je oprávněn nejpozději do lhůty jejího splnění podat žádost o změnu v souladu se směrnicí </w:t>
      </w:r>
      <w:r>
        <w:rPr>
          <w:rFonts w:ascii="Cambria" w:hAnsi="Cambria" w:cs="Cambria"/>
          <w:b/>
          <w:bCs/>
        </w:rPr>
        <w:t>SME-07</w:t>
      </w:r>
      <w:r>
        <w:rPr>
          <w:rFonts w:ascii="Cambria" w:hAnsi="Cambria" w:cs="Cambria"/>
        </w:rPr>
        <w:t xml:space="preserve"> </w:t>
      </w:r>
      <w:r>
        <w:rPr>
          <w:rFonts w:ascii="Cambria" w:hAnsi="Cambria" w:cs="Cambria"/>
          <w:b/>
          <w:bCs/>
        </w:rPr>
        <w:t xml:space="preserve">Směrnice pro změnová řízení projektů </w:t>
      </w:r>
      <w:r>
        <w:rPr>
          <w:rFonts w:ascii="Cambria" w:hAnsi="Cambria" w:cs="Cambria"/>
        </w:rPr>
        <w:t>u takové změny, která je touto směrnicí umožněna, anebo</w:t>
      </w:r>
      <w:r>
        <w:rPr>
          <w:rFonts w:ascii="Cambria" w:hAnsi="Cambria" w:cs="Cambria"/>
          <w:b/>
          <w:bCs/>
        </w:rPr>
        <w:t xml:space="preserve"> </w:t>
      </w:r>
      <w:r>
        <w:rPr>
          <w:rFonts w:ascii="Cambria" w:hAnsi="Cambria" w:cs="Cambria"/>
        </w:rPr>
        <w:t xml:space="preserve">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 výsledků). </w:t>
      </w:r>
    </w:p>
    <w:p w:rsidR="008A2775" w:rsidRDefault="008A2775" w:rsidP="008A2775">
      <w:pPr>
        <w:widowControl w:val="0"/>
        <w:adjustRightInd w:val="0"/>
        <w:spacing w:line="5" w:lineRule="exact"/>
        <w:rPr>
          <w:rFonts w:ascii="Cambria" w:hAnsi="Cambria" w:cs="Cambria"/>
          <w:b/>
          <w:bCs/>
        </w:rPr>
      </w:pPr>
    </w:p>
    <w:p w:rsidR="008A2775" w:rsidRDefault="008A2775" w:rsidP="008A2775">
      <w:pPr>
        <w:widowControl w:val="0"/>
        <w:numPr>
          <w:ilvl w:val="0"/>
          <w:numId w:val="34"/>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Žádost nebo vyjádření podle předchozího odstavce podané později staví lhůtu pro počítání smluvních pokut podle dnů, týdnů či měsíců, nebo stanovenou lhůtu k nápravě.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34"/>
        </w:numPr>
        <w:tabs>
          <w:tab w:val="clear" w:pos="720"/>
          <w:tab w:val="num" w:pos="364"/>
        </w:tabs>
        <w:overflowPunct w:val="0"/>
        <w:adjustRightInd w:val="0"/>
        <w:spacing w:line="307" w:lineRule="auto"/>
        <w:ind w:left="364" w:hanging="364"/>
        <w:jc w:val="both"/>
        <w:rPr>
          <w:rFonts w:ascii="Cambria" w:hAnsi="Cambria" w:cs="Cambria"/>
          <w:b/>
          <w:bCs/>
        </w:rPr>
      </w:pPr>
      <w:r>
        <w:rPr>
          <w:rFonts w:ascii="Cambria" w:hAnsi="Cambria" w:cs="Cambria"/>
        </w:rPr>
        <w:t xml:space="preserve">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 </w:t>
      </w:r>
    </w:p>
    <w:p w:rsidR="008A2775" w:rsidRDefault="008A2775" w:rsidP="008A2775">
      <w:pPr>
        <w:widowControl w:val="0"/>
        <w:numPr>
          <w:ilvl w:val="0"/>
          <w:numId w:val="34"/>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w:t>
      </w:r>
    </w:p>
    <w:p w:rsidR="008A2775" w:rsidRDefault="008A2775" w:rsidP="008A2775">
      <w:pPr>
        <w:widowControl w:val="0"/>
        <w:adjustRightInd w:val="0"/>
        <w:spacing w:line="74" w:lineRule="exact"/>
        <w:rPr>
          <w:rFonts w:ascii="Times New Roman" w:hAnsi="Times New Roman" w:cs="Times New Roman"/>
          <w:sz w:val="24"/>
          <w:szCs w:val="24"/>
        </w:rPr>
      </w:pPr>
    </w:p>
    <w:p w:rsidR="008A2775" w:rsidRDefault="008A2775" w:rsidP="008A2775">
      <w:pPr>
        <w:widowControl w:val="0"/>
        <w:adjustRightInd w:val="0"/>
        <w:ind w:left="4624"/>
        <w:rPr>
          <w:rFonts w:ascii="Times New Roman" w:hAnsi="Times New Roman" w:cs="Times New Roman"/>
          <w:sz w:val="24"/>
          <w:szCs w:val="24"/>
        </w:rPr>
      </w:pPr>
      <w:r>
        <w:rPr>
          <w:rFonts w:ascii="Cambria" w:hAnsi="Cambria" w:cs="Cambria"/>
          <w:b/>
          <w:bCs/>
          <w:i/>
          <w:iCs/>
        </w:rPr>
        <w:t>Článek 6</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284"/>
        <w:rPr>
          <w:rFonts w:ascii="Times New Roman" w:hAnsi="Times New Roman" w:cs="Times New Roman"/>
          <w:sz w:val="24"/>
          <w:szCs w:val="24"/>
        </w:rPr>
      </w:pPr>
      <w:r>
        <w:rPr>
          <w:rFonts w:ascii="Cambria" w:hAnsi="Cambria" w:cs="Cambria"/>
          <w:b/>
          <w:bCs/>
          <w:i/>
          <w:iCs/>
        </w:rPr>
        <w:t>Smlouva o účasti na řešení projektu</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35"/>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Smlouva o účasti na řešení projektu slouží jako nástroj hlavního příjemce k zajištění dodržování výše uvedených povinností i dalšími účastníky.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35"/>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účasti na řešení projektu musí být písemná a jejím obsahem je zejména </w:t>
      </w:r>
    </w:p>
    <w:p w:rsidR="008A2775" w:rsidRDefault="008A2775" w:rsidP="008A2775">
      <w:pPr>
        <w:widowControl w:val="0"/>
        <w:adjustRightInd w:val="0"/>
        <w:spacing w:line="164" w:lineRule="exact"/>
        <w:rPr>
          <w:rFonts w:ascii="Times New Roman" w:hAnsi="Times New Roman" w:cs="Times New Roman"/>
          <w:sz w:val="24"/>
          <w:szCs w:val="24"/>
        </w:rPr>
      </w:pPr>
    </w:p>
    <w:p w:rsidR="008A2775" w:rsidRDefault="008A2775" w:rsidP="008A2775">
      <w:pPr>
        <w:widowControl w:val="0"/>
        <w:tabs>
          <w:tab w:val="left" w:pos="643"/>
        </w:tabs>
        <w:overflowPunct w:val="0"/>
        <w:adjustRightInd w:val="0"/>
        <w:spacing w:line="356" w:lineRule="auto"/>
        <w:ind w:left="664" w:hanging="360"/>
        <w:jc w:val="both"/>
        <w:rPr>
          <w:rFonts w:ascii="Times New Roman" w:hAnsi="Times New Roman" w:cs="Times New Roman"/>
          <w:sz w:val="24"/>
          <w:szCs w:val="24"/>
        </w:rPr>
      </w:pPr>
      <w:r>
        <w:rPr>
          <w:rFonts w:ascii="Cambria" w:hAnsi="Cambria" w:cs="Cambria"/>
        </w:rPr>
        <w:t>a)</w:t>
      </w:r>
      <w:r>
        <w:rPr>
          <w:rFonts w:ascii="Times New Roman" w:hAnsi="Times New Roman" w:cs="Times New Roman"/>
          <w:sz w:val="24"/>
          <w:szCs w:val="24"/>
        </w:rPr>
        <w:tab/>
      </w:r>
      <w:r>
        <w:rPr>
          <w:rFonts w:ascii="Cambria" w:hAnsi="Cambria" w:cs="Cambria"/>
        </w:rPr>
        <w:t>rozdělení práv k výsledkům, které vychází ze Závazných parametrů řešení projektu (přístup k výsledkům projektu a kapacitám a rozdělení práv k výsledkům projektu) a zároveň respektuje zákaz nepřímé státní podpory dle Rámce, tj. při stanovení spoluvlastnického poměru se úměrně přihlíží k poměru nákladů jednotlivých příjemců tak, aby nedocházelo k zakázané nepřímé státní podpoře,</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3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9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2" w:name="page19"/>
      <w:bookmarkEnd w:id="12"/>
      <w:r>
        <w:rPr>
          <w:noProof/>
          <w:lang w:val="cs-CZ"/>
        </w:rPr>
        <w:lastRenderedPageBreak/>
        <w:drawing>
          <wp:anchor distT="0" distB="0" distL="114300" distR="114300" simplePos="0" relativeHeight="251716608" behindDoc="1" locked="0" layoutInCell="0" allowOverlap="1" wp14:anchorId="20AC96CB" wp14:editId="1821AA90">
            <wp:simplePos x="0" y="0"/>
            <wp:positionH relativeFrom="page">
              <wp:posOffset>539750</wp:posOffset>
            </wp:positionH>
            <wp:positionV relativeFrom="page">
              <wp:posOffset>370205</wp:posOffset>
            </wp:positionV>
            <wp:extent cx="2005330" cy="548640"/>
            <wp:effectExtent l="0" t="0" r="0" b="3810"/>
            <wp:wrapNone/>
            <wp:docPr id="5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36"/>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úprava, řízení a kontrola vnesených a během řešení projektu pořízených či vytvořených práv, která jsou nezbytná pro řešení projektu,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36"/>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k dodržování povinností podle článku 4 i dalšími účastníky popř. k provádění veškeré potřebné součinnosti za účelem dodržení těchto povinností hlavním příjemcem,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36"/>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hlavního příjemce k převodu příslušné části podpory ze svého bankovního účtu na bankovní účty dalších účastníků včetně stanovení lhůty k tomuto převodu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36"/>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závazek smluvních stran k mlčenlivosti ohledně veškerých informací vztahujících se k řešení projektu včetně jeho návrhu tak, aby nebyly ohroženy výsledky a cíle jeho řešení, </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overflowPunct w:val="0"/>
        <w:adjustRightInd w:val="0"/>
        <w:spacing w:line="348" w:lineRule="auto"/>
        <w:ind w:left="364"/>
        <w:rPr>
          <w:rFonts w:ascii="Times New Roman" w:hAnsi="Times New Roman" w:cs="Times New Roman"/>
          <w:sz w:val="24"/>
          <w:szCs w:val="24"/>
        </w:rPr>
      </w:pPr>
      <w:r>
        <w:rPr>
          <w:rFonts w:ascii="Cambria" w:hAnsi="Cambria" w:cs="Cambria"/>
        </w:rPr>
        <w:t>přičemž v případě veřejné zakázky ve výzkumu, vývoji a inovacích jsou povinné náležitosti smlouvy o účasti na řešení projektu stanoveny příslušnou zadávací dokumentací.</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numPr>
          <w:ilvl w:val="0"/>
          <w:numId w:val="37"/>
        </w:numPr>
        <w:tabs>
          <w:tab w:val="clear" w:pos="720"/>
          <w:tab w:val="num" w:pos="364"/>
        </w:tabs>
        <w:overflowPunct w:val="0"/>
        <w:adjustRightInd w:val="0"/>
        <w:spacing w:line="376" w:lineRule="auto"/>
        <w:ind w:left="364" w:hanging="364"/>
        <w:jc w:val="both"/>
        <w:rPr>
          <w:rFonts w:ascii="Cambria" w:hAnsi="Cambria" w:cs="Cambria"/>
          <w:b/>
          <w:bCs/>
          <w:sz w:val="21"/>
          <w:szCs w:val="21"/>
        </w:rPr>
      </w:pPr>
      <w:r>
        <w:rPr>
          <w:rFonts w:ascii="Cambria" w:hAnsi="Cambria" w:cs="Cambria"/>
          <w:sz w:val="21"/>
          <w:szCs w:val="21"/>
        </w:rPr>
        <w:t xml:space="preserve">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 pokud ta bude v rozporu s pravidly poskytnutí podpory anebo se schváleným návrhem projektu. </w:t>
      </w:r>
    </w:p>
    <w:p w:rsidR="008A2775" w:rsidRDefault="008A2775" w:rsidP="008A2775">
      <w:pPr>
        <w:widowControl w:val="0"/>
        <w:adjustRightInd w:val="0"/>
        <w:spacing w:line="29" w:lineRule="exact"/>
        <w:rPr>
          <w:rFonts w:ascii="Times New Roman" w:hAnsi="Times New Roman" w:cs="Times New Roman"/>
          <w:sz w:val="24"/>
          <w:szCs w:val="24"/>
        </w:rPr>
      </w:pPr>
    </w:p>
    <w:p w:rsidR="008A2775" w:rsidRDefault="008A2775" w:rsidP="008A2775">
      <w:pPr>
        <w:widowControl w:val="0"/>
        <w:adjustRightInd w:val="0"/>
        <w:ind w:left="4624"/>
        <w:rPr>
          <w:rFonts w:ascii="Times New Roman" w:hAnsi="Times New Roman" w:cs="Times New Roman"/>
          <w:sz w:val="24"/>
          <w:szCs w:val="24"/>
        </w:rPr>
      </w:pPr>
      <w:r>
        <w:rPr>
          <w:rFonts w:ascii="Cambria" w:hAnsi="Cambria" w:cs="Cambria"/>
          <w:b/>
          <w:bCs/>
          <w:i/>
          <w:iCs/>
        </w:rPr>
        <w:t>Článek 7</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604"/>
        <w:rPr>
          <w:rFonts w:ascii="Times New Roman" w:hAnsi="Times New Roman" w:cs="Times New Roman"/>
          <w:sz w:val="24"/>
          <w:szCs w:val="24"/>
        </w:rPr>
      </w:pPr>
      <w:r>
        <w:rPr>
          <w:rFonts w:ascii="Cambria" w:hAnsi="Cambria" w:cs="Cambria"/>
          <w:b/>
          <w:bCs/>
          <w:i/>
          <w:iCs/>
        </w:rPr>
        <w:t>Výpověď</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38"/>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je oprávněn vypovědět Smlouvu v případě, že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38"/>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hlavní příjemce či další účastník přestal splňovat podmínky kvalifikace podle § 18 odst. 2 ZPVV, s výjimkou pravomocného odsouzení pro trestný čin dotýkající se splnění podmínek pro poskytnutí podpory,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38"/>
        </w:numPr>
        <w:tabs>
          <w:tab w:val="clear" w:pos="144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nezaviněných,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dojde v důsledku rozpočtového provizoria nebo krácení prostředků ze státního rozpočtu k regulaci čerpání státního rozpočtu nebo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8"/>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 </w:t>
      </w:r>
    </w:p>
    <w:p w:rsidR="008A2775" w:rsidRDefault="008A2775" w:rsidP="008A2775">
      <w:pPr>
        <w:widowControl w:val="0"/>
        <w:numPr>
          <w:ilvl w:val="0"/>
          <w:numId w:val="38"/>
        </w:numPr>
        <w:tabs>
          <w:tab w:val="clear" w:pos="720"/>
          <w:tab w:val="num" w:pos="364"/>
        </w:tabs>
        <w:overflowPunct w:val="0"/>
        <w:adjustRightInd w:val="0"/>
        <w:spacing w:line="356" w:lineRule="auto"/>
        <w:ind w:left="364" w:hanging="364"/>
        <w:jc w:val="both"/>
        <w:rPr>
          <w:rFonts w:ascii="Cambria" w:hAnsi="Cambria" w:cs="Cambria"/>
          <w:b/>
          <w:bCs/>
        </w:rPr>
      </w:pPr>
      <w:r>
        <w:rPr>
          <w:rFonts w:ascii="Cambria" w:hAnsi="Cambria" w:cs="Cambria"/>
        </w:rPr>
        <w:t xml:space="preserve">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10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3" w:name="page21"/>
      <w:bookmarkEnd w:id="13"/>
      <w:r>
        <w:rPr>
          <w:noProof/>
          <w:lang w:val="cs-CZ"/>
        </w:rPr>
        <w:lastRenderedPageBreak/>
        <w:drawing>
          <wp:anchor distT="0" distB="0" distL="114300" distR="114300" simplePos="0" relativeHeight="251717632" behindDoc="1" locked="0" layoutInCell="0" allowOverlap="1" wp14:anchorId="50873BC6" wp14:editId="6F0CE9FA">
            <wp:simplePos x="0" y="0"/>
            <wp:positionH relativeFrom="page">
              <wp:posOffset>539750</wp:posOffset>
            </wp:positionH>
            <wp:positionV relativeFrom="page">
              <wp:posOffset>370205</wp:posOffset>
            </wp:positionV>
            <wp:extent cx="2005330" cy="548640"/>
            <wp:effectExtent l="0" t="0" r="0" b="3810"/>
            <wp:wrapNone/>
            <wp:docPr id="5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adjustRightInd w:val="0"/>
        <w:ind w:left="4"/>
        <w:rPr>
          <w:rFonts w:ascii="Times New Roman" w:hAnsi="Times New Roman" w:cs="Times New Roman"/>
          <w:sz w:val="24"/>
          <w:szCs w:val="24"/>
        </w:rPr>
      </w:pPr>
      <w:r>
        <w:rPr>
          <w:rFonts w:ascii="Cambria" w:hAnsi="Cambria" w:cs="Cambria"/>
          <w:b/>
          <w:bCs/>
        </w:rPr>
        <w:t xml:space="preserve">3.  </w:t>
      </w:r>
      <w:r>
        <w:rPr>
          <w:rFonts w:ascii="Cambria" w:hAnsi="Cambria" w:cs="Cambria"/>
        </w:rPr>
        <w:t>Výpověď nabývá účinnosti dnem doručení písemné a odůvodněné výpovědi hlavnímu příjemci.</w:t>
      </w:r>
    </w:p>
    <w:p w:rsidR="008A2775" w:rsidRDefault="008A2775" w:rsidP="008A2775">
      <w:pPr>
        <w:widowControl w:val="0"/>
        <w:adjustRightInd w:val="0"/>
        <w:spacing w:line="369" w:lineRule="exact"/>
        <w:rPr>
          <w:rFonts w:ascii="Times New Roman" w:hAnsi="Times New Roman" w:cs="Times New Roman"/>
          <w:sz w:val="24"/>
          <w:szCs w:val="24"/>
        </w:rPr>
      </w:pPr>
    </w:p>
    <w:p w:rsidR="008A2775" w:rsidRDefault="008A2775" w:rsidP="008A2775">
      <w:pPr>
        <w:widowControl w:val="0"/>
        <w:adjustRightInd w:val="0"/>
        <w:ind w:left="4624"/>
        <w:rPr>
          <w:rFonts w:ascii="Times New Roman" w:hAnsi="Times New Roman" w:cs="Times New Roman"/>
          <w:sz w:val="24"/>
          <w:szCs w:val="24"/>
        </w:rPr>
      </w:pPr>
      <w:r>
        <w:rPr>
          <w:rFonts w:ascii="Cambria" w:hAnsi="Cambria" w:cs="Cambria"/>
          <w:b/>
          <w:bCs/>
          <w:i/>
          <w:iCs/>
        </w:rPr>
        <w:t>Článek 8</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464"/>
        <w:rPr>
          <w:rFonts w:ascii="Times New Roman" w:hAnsi="Times New Roman" w:cs="Times New Roman"/>
          <w:sz w:val="24"/>
          <w:szCs w:val="24"/>
        </w:rPr>
      </w:pPr>
      <w:r>
        <w:rPr>
          <w:rFonts w:ascii="Cambria" w:hAnsi="Cambria" w:cs="Cambria"/>
          <w:b/>
          <w:bCs/>
          <w:i/>
          <w:iCs/>
        </w:rPr>
        <w:t>Odstoupení</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39"/>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od Smlouvy odstoupí v případě, že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39"/>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hlavní příjemce anebo další účastník se dopustil jednání (včetně nečinnosti v případech, kdy měl povinnost jednat), kterým sám porušil pravidla veřejné podpory, nebo v důsledku něhož dojde k porušení pravidel veřejné podpory na straně poskytovatele,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39"/>
        </w:numPr>
        <w:tabs>
          <w:tab w:val="clear" w:pos="144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 </w:t>
      </w:r>
    </w:p>
    <w:p w:rsidR="008A2775" w:rsidRDefault="008A2775" w:rsidP="008A2775">
      <w:pPr>
        <w:widowControl w:val="0"/>
        <w:numPr>
          <w:ilvl w:val="1"/>
          <w:numId w:val="39"/>
        </w:numPr>
        <w:tabs>
          <w:tab w:val="clear" w:pos="1440"/>
          <w:tab w:val="num" w:pos="664"/>
        </w:tabs>
        <w:overflowPunct w:val="0"/>
        <w:adjustRightInd w:val="0"/>
        <w:spacing w:line="365" w:lineRule="auto"/>
        <w:ind w:left="664" w:hanging="370"/>
        <w:jc w:val="both"/>
        <w:rPr>
          <w:rFonts w:ascii="Cambria" w:hAnsi="Cambria" w:cs="Cambria"/>
          <w:sz w:val="21"/>
          <w:szCs w:val="21"/>
        </w:rPr>
      </w:pPr>
      <w:r>
        <w:rPr>
          <w:rFonts w:ascii="Cambria" w:hAnsi="Cambria" w:cs="Cambria"/>
          <w:sz w:val="21"/>
          <w:szCs w:val="21"/>
        </w:rPr>
        <w:t xml:space="preserve">hlavní příjemce porušil některou z povinností podle článku 4, přičemž pokud hlavního příjemce vyzval k nápravě, odstoupí poskytovatel od Smlouvy až po marném uplynutí stanovené lhůty k nápravě, </w:t>
      </w:r>
    </w:p>
    <w:p w:rsidR="008A2775" w:rsidRDefault="008A2775" w:rsidP="008A2775">
      <w:pPr>
        <w:widowControl w:val="0"/>
        <w:adjustRightInd w:val="0"/>
        <w:spacing w:line="1" w:lineRule="exact"/>
        <w:rPr>
          <w:rFonts w:ascii="Cambria" w:hAnsi="Cambria" w:cs="Cambria"/>
          <w:sz w:val="21"/>
          <w:szCs w:val="21"/>
        </w:rPr>
      </w:pPr>
    </w:p>
    <w:p w:rsidR="008A2775" w:rsidRDefault="008A2775" w:rsidP="008A2775">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hlavní příjemce porušil opakovaně 3x některou z povinností, u kterých nejsou dány lhůty pro jejich plnění, ale jejich plnění je podmíněno jinými skutečnostmi,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hlavní příjemce anebo další účastník byl pravomocně odsouzen pro trestný čin týkající se splnění podmínek pro poskytnutí podpory,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9"/>
        </w:numPr>
        <w:tabs>
          <w:tab w:val="clear" w:pos="144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zaviněných (v pochybnostech se použije obdobné ustanovení o výpovědi) nebo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39"/>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u příjemce byly po ukončení platnosti Smlouvy zjištěny na základě provedení některého z kontrolních procesů závažné finanční nesrovnalosti nebo podvod.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39"/>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Poskytovatel není oprávněn odstoupit od smlouvy v případě, kdy porušení povinností hlavním příjemcem bylo způsobeno výlučně nedodržením povinností poskytovatele.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39"/>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Odstoupení nabývá účinnosti dnem doručení písemného a odůvodněného oznámení o odstoupení hlavnímu příjemci.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39"/>
        </w:numPr>
        <w:tabs>
          <w:tab w:val="clear" w:pos="720"/>
          <w:tab w:val="num" w:pos="364"/>
        </w:tabs>
        <w:overflowPunct w:val="0"/>
        <w:adjustRightInd w:val="0"/>
        <w:spacing w:line="438" w:lineRule="auto"/>
        <w:ind w:left="364" w:hanging="364"/>
        <w:jc w:val="both"/>
        <w:rPr>
          <w:rFonts w:ascii="Cambria" w:hAnsi="Cambria" w:cs="Cambria"/>
          <w:b/>
          <w:bCs/>
        </w:rPr>
      </w:pPr>
      <w:r>
        <w:rPr>
          <w:rFonts w:ascii="Cambria" w:hAnsi="Cambria" w:cs="Cambria"/>
        </w:rPr>
        <w:t xml:space="preserve">Odstoupením od Smlouvy nastávají jeho účinky uvedené v § 2004 a 2005 zákona č. 89/2012 Sb., občanský zákoník. </w:t>
      </w:r>
    </w:p>
    <w:p w:rsidR="008A2775" w:rsidRDefault="008A2775" w:rsidP="008A2775">
      <w:pPr>
        <w:widowControl w:val="0"/>
        <w:adjustRightInd w:val="0"/>
        <w:ind w:left="4624"/>
        <w:rPr>
          <w:rFonts w:ascii="Times New Roman" w:hAnsi="Times New Roman" w:cs="Times New Roman"/>
          <w:sz w:val="24"/>
          <w:szCs w:val="24"/>
        </w:rPr>
      </w:pPr>
      <w:r>
        <w:rPr>
          <w:rFonts w:ascii="Cambria" w:hAnsi="Cambria" w:cs="Cambria"/>
          <w:b/>
          <w:bCs/>
          <w:i/>
          <w:iCs/>
        </w:rPr>
        <w:t>Článek 9</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184"/>
        <w:rPr>
          <w:rFonts w:ascii="Times New Roman" w:hAnsi="Times New Roman" w:cs="Times New Roman"/>
          <w:sz w:val="24"/>
          <w:szCs w:val="24"/>
        </w:rPr>
      </w:pPr>
      <w:r>
        <w:rPr>
          <w:rFonts w:ascii="Cambria" w:hAnsi="Cambria" w:cs="Cambria"/>
          <w:b/>
          <w:bCs/>
          <w:i/>
          <w:iCs/>
        </w:rPr>
        <w:t>Příjmy z projektů</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40"/>
        </w:numPr>
        <w:tabs>
          <w:tab w:val="clear" w:pos="720"/>
          <w:tab w:val="num" w:pos="364"/>
        </w:tabs>
        <w:overflowPunct w:val="0"/>
        <w:adjustRightInd w:val="0"/>
        <w:spacing w:line="490" w:lineRule="auto"/>
        <w:ind w:left="364" w:hanging="364"/>
        <w:jc w:val="both"/>
        <w:rPr>
          <w:rFonts w:ascii="Cambria" w:hAnsi="Cambria" w:cs="Cambria"/>
          <w:b/>
          <w:bCs/>
          <w:sz w:val="21"/>
          <w:szCs w:val="21"/>
        </w:rPr>
      </w:pPr>
      <w:r>
        <w:rPr>
          <w:rFonts w:ascii="Cambria" w:hAnsi="Cambria" w:cs="Cambria"/>
          <w:sz w:val="21"/>
          <w:szCs w:val="21"/>
        </w:rPr>
        <w:t xml:space="preserve">Příjmy z projektů jsou jakékoliv příjmy příjemce v souvislosti s řešením projektu s výjimkou veřejné zakázky ve výzkumu, vývoji a inovacích, které by za jiných okolností neměl, a s kterými se v průběhu řešení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8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11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4" w:name="page23"/>
      <w:bookmarkEnd w:id="14"/>
      <w:r>
        <w:rPr>
          <w:noProof/>
          <w:lang w:val="cs-CZ"/>
        </w:rPr>
        <w:lastRenderedPageBreak/>
        <w:drawing>
          <wp:anchor distT="0" distB="0" distL="114300" distR="114300" simplePos="0" relativeHeight="251718656" behindDoc="1" locked="0" layoutInCell="0" allowOverlap="1" wp14:anchorId="6283DEAA" wp14:editId="780215FE">
            <wp:simplePos x="0" y="0"/>
            <wp:positionH relativeFrom="page">
              <wp:posOffset>539750</wp:posOffset>
            </wp:positionH>
            <wp:positionV relativeFrom="page">
              <wp:posOffset>370205</wp:posOffset>
            </wp:positionV>
            <wp:extent cx="2005330" cy="548640"/>
            <wp:effectExtent l="0" t="0" r="0" b="3810"/>
            <wp:wrapNone/>
            <wp:docPr id="5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71" w:lineRule="exact"/>
        <w:rPr>
          <w:rFonts w:ascii="Times New Roman" w:hAnsi="Times New Roman" w:cs="Times New Roman"/>
          <w:sz w:val="24"/>
          <w:szCs w:val="24"/>
        </w:rPr>
      </w:pPr>
    </w:p>
    <w:p w:rsidR="008A2775" w:rsidRDefault="008A2775" w:rsidP="008A2775">
      <w:pPr>
        <w:widowControl w:val="0"/>
        <w:overflowPunct w:val="0"/>
        <w:adjustRightInd w:val="0"/>
        <w:spacing w:line="305" w:lineRule="auto"/>
        <w:ind w:left="364"/>
        <w:jc w:val="both"/>
        <w:rPr>
          <w:rFonts w:ascii="Times New Roman" w:hAnsi="Times New Roman" w:cs="Times New Roman"/>
          <w:sz w:val="24"/>
          <w:szCs w:val="24"/>
        </w:rPr>
      </w:pPr>
      <w:r>
        <w:rPr>
          <w:rFonts w:ascii="Cambria" w:hAnsi="Cambria" w:cs="Cambria"/>
        </w:rPr>
        <w:t>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numPr>
          <w:ilvl w:val="0"/>
          <w:numId w:val="41"/>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Mezi příjmy z projektů lze zahrnout zejména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4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úroky z příslušné části finančních prostředků z poskytnuté podpory po tu dobu, co je uložena na účtu příjemce,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4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jakékoliv komerční využití či jiné zpeněžení majetku pořízeného z podpory, který již nelze využít k samotnému řešení projektu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41"/>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sankce dodavatelům, včetně těch neuplatněných, při pořizování zboží či služeb za účelem řešení projektu popř. jiná náhradní plnění (např. slevy za pozdní dodání).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41"/>
        </w:numPr>
        <w:tabs>
          <w:tab w:val="clear" w:pos="720"/>
          <w:tab w:val="num" w:pos="364"/>
        </w:tabs>
        <w:overflowPunct w:val="0"/>
        <w:adjustRightInd w:val="0"/>
        <w:spacing w:line="330" w:lineRule="auto"/>
        <w:ind w:left="364" w:hanging="364"/>
        <w:jc w:val="both"/>
        <w:rPr>
          <w:rFonts w:ascii="Cambria" w:hAnsi="Cambria" w:cs="Cambria"/>
          <w:b/>
          <w:bCs/>
          <w:sz w:val="21"/>
          <w:szCs w:val="21"/>
        </w:rPr>
      </w:pPr>
      <w:r>
        <w:rPr>
          <w:rFonts w:ascii="Cambria" w:hAnsi="Cambria" w:cs="Cambria"/>
          <w:sz w:val="21"/>
          <w:szCs w:val="21"/>
        </w:rPr>
        <w:t xml:space="preserve">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Příjemce však neporuší pravidla veřejné podpory ani nebude jednat v rozporu se zásadou řádného hospodáře v případě nezískání úroků, pokud bude mít uložené finanční prostředky z poskytnuté podpory na účtu zřízeném u České národní banky. </w:t>
      </w:r>
    </w:p>
    <w:p w:rsidR="008A2775" w:rsidRDefault="008A2775" w:rsidP="008A2775">
      <w:pPr>
        <w:widowControl w:val="0"/>
        <w:adjustRightInd w:val="0"/>
        <w:spacing w:line="2" w:lineRule="exact"/>
        <w:rPr>
          <w:rFonts w:ascii="Cambria" w:hAnsi="Cambria" w:cs="Cambria"/>
          <w:b/>
          <w:bCs/>
          <w:sz w:val="21"/>
          <w:szCs w:val="21"/>
        </w:rPr>
      </w:pPr>
    </w:p>
    <w:p w:rsidR="008A2775" w:rsidRDefault="008A2775" w:rsidP="008A2775">
      <w:pPr>
        <w:widowControl w:val="0"/>
        <w:numPr>
          <w:ilvl w:val="0"/>
          <w:numId w:val="41"/>
        </w:numPr>
        <w:tabs>
          <w:tab w:val="clear" w:pos="720"/>
          <w:tab w:val="num" w:pos="364"/>
        </w:tabs>
        <w:overflowPunct w:val="0"/>
        <w:adjustRightInd w:val="0"/>
        <w:spacing w:line="309" w:lineRule="auto"/>
        <w:ind w:left="364" w:hanging="364"/>
        <w:jc w:val="both"/>
        <w:rPr>
          <w:rFonts w:ascii="Cambria" w:hAnsi="Cambria" w:cs="Cambria"/>
          <w:b/>
          <w:bCs/>
        </w:rPr>
      </w:pPr>
      <w:r>
        <w:rPr>
          <w:rFonts w:ascii="Cambria" w:hAnsi="Cambria" w:cs="Cambria"/>
        </w:rPr>
        <w:t xml:space="preserve">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 </w:t>
      </w:r>
    </w:p>
    <w:p w:rsidR="008A2775" w:rsidRDefault="008A2775" w:rsidP="008A2775">
      <w:pPr>
        <w:widowControl w:val="0"/>
        <w:numPr>
          <w:ilvl w:val="0"/>
          <w:numId w:val="41"/>
        </w:numPr>
        <w:tabs>
          <w:tab w:val="clear" w:pos="720"/>
          <w:tab w:val="num" w:pos="364"/>
        </w:tabs>
        <w:overflowPunct w:val="0"/>
        <w:adjustRightInd w:val="0"/>
        <w:spacing w:line="348" w:lineRule="auto"/>
        <w:ind w:left="364" w:hanging="364"/>
        <w:jc w:val="both"/>
        <w:rPr>
          <w:rFonts w:ascii="Cambria" w:hAnsi="Cambria" w:cs="Cambria"/>
          <w:b/>
          <w:bCs/>
        </w:rPr>
      </w:pPr>
      <w:r>
        <w:rPr>
          <w:rFonts w:ascii="Cambria" w:hAnsi="Cambria" w:cs="Cambria"/>
        </w:rPr>
        <w:t xml:space="preserve">Za období pro odvod těchto příjmů z projektů se považuje doba řešení projektu a doba 3 let po ukončení řešení.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41"/>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Pokud dojde k příjmům, které byly generovány z majetku pořízeného z podpory v té části, ve které mají být využity k řešení projektu, považují se tyto příjmy za nepovolené s důsledkem porušení rozpočtové kázně příjemce.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41"/>
        </w:numPr>
        <w:tabs>
          <w:tab w:val="clear" w:pos="720"/>
          <w:tab w:val="num" w:pos="364"/>
        </w:tabs>
        <w:overflowPunct w:val="0"/>
        <w:adjustRightInd w:val="0"/>
        <w:spacing w:line="482" w:lineRule="auto"/>
        <w:ind w:left="364" w:hanging="364"/>
        <w:jc w:val="both"/>
        <w:rPr>
          <w:rFonts w:ascii="Cambria" w:hAnsi="Cambria" w:cs="Cambria"/>
          <w:b/>
          <w:bCs/>
        </w:rPr>
      </w:pPr>
      <w:r>
        <w:rPr>
          <w:rFonts w:ascii="Cambria" w:hAnsi="Cambria" w:cs="Cambria"/>
        </w:rPr>
        <w:t xml:space="preserve">Povinnost odvádět se nevztahuje na příjmy, které nedosáhnou za příslušný kalendářní rok 200,-Kč v jednom projektu u jednoho příjemce. </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7" w:lineRule="exact"/>
        <w:rPr>
          <w:rFonts w:ascii="Times New Roman" w:hAnsi="Times New Roman" w:cs="Times New Roman"/>
          <w:sz w:val="24"/>
          <w:szCs w:val="24"/>
        </w:rPr>
      </w:pPr>
    </w:p>
    <w:p w:rsidR="008A2775" w:rsidRDefault="008A2775" w:rsidP="008A2775">
      <w:pPr>
        <w:widowControl w:val="0"/>
        <w:adjustRightInd w:val="0"/>
        <w:ind w:left="964"/>
        <w:rPr>
          <w:rFonts w:ascii="Times New Roman" w:hAnsi="Times New Roman" w:cs="Times New Roman"/>
          <w:sz w:val="24"/>
          <w:szCs w:val="24"/>
        </w:rPr>
      </w:pPr>
      <w:r>
        <w:rPr>
          <w:rFonts w:ascii="Cambria" w:hAnsi="Cambria" w:cs="Cambria"/>
          <w:b/>
          <w:bCs/>
          <w:sz w:val="28"/>
          <w:szCs w:val="28"/>
        </w:rPr>
        <w:t>Část C – Poskytování informací, mlčenlivost a předkládání zpráv</w:t>
      </w:r>
    </w:p>
    <w:p w:rsidR="008A2775" w:rsidRDefault="008A2775" w:rsidP="008A2775">
      <w:pPr>
        <w:widowControl w:val="0"/>
        <w:adjustRightInd w:val="0"/>
        <w:spacing w:line="314"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10</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264"/>
        <w:rPr>
          <w:rFonts w:ascii="Times New Roman" w:hAnsi="Times New Roman" w:cs="Times New Roman"/>
          <w:sz w:val="24"/>
          <w:szCs w:val="24"/>
        </w:rPr>
      </w:pPr>
      <w:r>
        <w:rPr>
          <w:rFonts w:ascii="Cambria" w:hAnsi="Cambria" w:cs="Cambria"/>
          <w:b/>
          <w:bCs/>
          <w:i/>
          <w:iCs/>
        </w:rPr>
        <w:t>Poskytování informací a mlčenlivost</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42"/>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Poskytovatel zajistí předávání relevantních informací do IS VaVaI v souladu s hlavou VII ZPVV a nařízením vlády č. 397/2009 Sb. o informačním systému výzkumu, experimentálního vývoje a inovací. Za tímto účelem si od příjemce dle potřeby takové informace vyžádá, pokud je již neobdržel na základě jiných skutečností.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3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12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5" w:name="page25"/>
      <w:bookmarkEnd w:id="15"/>
      <w:r>
        <w:rPr>
          <w:noProof/>
          <w:lang w:val="cs-CZ"/>
        </w:rPr>
        <w:lastRenderedPageBreak/>
        <w:drawing>
          <wp:anchor distT="0" distB="0" distL="114300" distR="114300" simplePos="0" relativeHeight="251719680" behindDoc="1" locked="0" layoutInCell="0" allowOverlap="1" wp14:anchorId="28F2A003" wp14:editId="7EF16B47">
            <wp:simplePos x="0" y="0"/>
            <wp:positionH relativeFrom="page">
              <wp:posOffset>539750</wp:posOffset>
            </wp:positionH>
            <wp:positionV relativeFrom="page">
              <wp:posOffset>370205</wp:posOffset>
            </wp:positionV>
            <wp:extent cx="2005330" cy="548640"/>
            <wp:effectExtent l="0" t="0" r="0" b="3810"/>
            <wp:wrapNone/>
            <wp:docPr id="60"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71" w:lineRule="exact"/>
        <w:rPr>
          <w:rFonts w:ascii="Times New Roman" w:hAnsi="Times New Roman" w:cs="Times New Roman"/>
          <w:sz w:val="24"/>
          <w:szCs w:val="24"/>
        </w:rPr>
      </w:pPr>
    </w:p>
    <w:p w:rsidR="008A2775" w:rsidRDefault="008A2775" w:rsidP="008A2775">
      <w:pPr>
        <w:widowControl w:val="0"/>
        <w:numPr>
          <w:ilvl w:val="0"/>
          <w:numId w:val="43"/>
        </w:numPr>
        <w:tabs>
          <w:tab w:val="clear" w:pos="720"/>
          <w:tab w:val="num" w:pos="364"/>
        </w:tabs>
        <w:overflowPunct w:val="0"/>
        <w:adjustRightInd w:val="0"/>
        <w:spacing w:line="286" w:lineRule="auto"/>
        <w:ind w:left="364" w:hanging="364"/>
        <w:jc w:val="both"/>
        <w:rPr>
          <w:rFonts w:ascii="Cambria" w:hAnsi="Cambria" w:cs="Cambria"/>
          <w:b/>
          <w:bCs/>
        </w:rPr>
      </w:pPr>
      <w:r>
        <w:rPr>
          <w:rFonts w:ascii="Cambria" w:hAnsi="Cambria" w:cs="Cambria"/>
        </w:rPr>
        <w:t xml:space="preserve">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43"/>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 předány.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43"/>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Předchozí odstavec se nevztahuje na informování veřejnosti o tom, že projekt resp. jeho výstupy a výsledky byl nebo je spolufinancován z prostředků poskytovatele a příjemce zároveň postupuje v souladu s dokumentem </w:t>
      </w:r>
      <w:r>
        <w:rPr>
          <w:rFonts w:ascii="Cambria" w:hAnsi="Cambria" w:cs="Cambria"/>
          <w:b/>
          <w:bCs/>
        </w:rPr>
        <w:t>„Pravidla pro publicitu projektů podpořených z prostředků TA ČR“</w:t>
      </w:r>
      <w:r>
        <w:rPr>
          <w:rFonts w:ascii="Times" w:hAnsi="Times" w:cs="Times"/>
        </w:rPr>
        <w:t>.</w:t>
      </w:r>
      <w:r>
        <w:rPr>
          <w:rFonts w:ascii="Cambria" w:hAnsi="Cambria" w:cs="Cambria"/>
        </w:rPr>
        <w:t xml:space="preserve"> </w:t>
      </w:r>
    </w:p>
    <w:p w:rsidR="008A2775" w:rsidRDefault="008A2775" w:rsidP="008A2775">
      <w:pPr>
        <w:widowControl w:val="0"/>
        <w:numPr>
          <w:ilvl w:val="0"/>
          <w:numId w:val="43"/>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 </w:t>
      </w:r>
    </w:p>
    <w:p w:rsidR="008A2775" w:rsidRDefault="008A2775" w:rsidP="008A2775">
      <w:pPr>
        <w:widowControl w:val="0"/>
        <w:numPr>
          <w:ilvl w:val="0"/>
          <w:numId w:val="43"/>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rsidR="008A2775" w:rsidRDefault="008A2775" w:rsidP="008A2775">
      <w:pPr>
        <w:widowControl w:val="0"/>
        <w:numPr>
          <w:ilvl w:val="0"/>
          <w:numId w:val="4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Smluvní strany jsou povinnosti zachovávat mlčenlivost zproštěny,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43"/>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pokud se obsah informací, které jim byly poskytnuty jako důvěrné, stane veřejně přístupným, a to na základě jiných činností prováděných mimo rámec Smlouvy nebo na základě opatření, která nesouvisí s řešením projektu, nebo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43"/>
        </w:numPr>
        <w:tabs>
          <w:tab w:val="clear" w:pos="1440"/>
          <w:tab w:val="num" w:pos="664"/>
        </w:tabs>
        <w:overflowPunct w:val="0"/>
        <w:adjustRightInd w:val="0"/>
        <w:spacing w:line="438" w:lineRule="auto"/>
        <w:ind w:left="664" w:hanging="370"/>
        <w:jc w:val="both"/>
        <w:rPr>
          <w:rFonts w:ascii="Cambria" w:hAnsi="Cambria" w:cs="Cambria"/>
        </w:rPr>
      </w:pPr>
      <w:r>
        <w:rPr>
          <w:rFonts w:ascii="Cambria" w:hAnsi="Cambria" w:cs="Cambria"/>
        </w:rPr>
        <w:t xml:space="preserve">pokud byl požadavek zachovávat mlčenlivost odvolán těmi, v jejichž prospěch byla tato povinnost stanovena. </w:t>
      </w: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11</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124"/>
        <w:rPr>
          <w:rFonts w:ascii="Times New Roman" w:hAnsi="Times New Roman" w:cs="Times New Roman"/>
          <w:sz w:val="24"/>
          <w:szCs w:val="24"/>
        </w:rPr>
      </w:pPr>
      <w:r>
        <w:rPr>
          <w:rFonts w:ascii="Cambria" w:hAnsi="Cambria" w:cs="Cambria"/>
          <w:b/>
          <w:bCs/>
          <w:i/>
          <w:iCs/>
        </w:rPr>
        <w:t>Předkládání zpráv</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44"/>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Hlavní příjemce předkládá v průběhu řešení projektu a po jeho skončení tyto zprávy: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44"/>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průběžnou zprávu o postupu řešení projektu za každý rok řešení do 15. ledna následujícího kalendářního roku anebo do 15. dne následujícího měsíce po ukončení jiného období či etapy řešení projektu, nestanoví-li poskytovatel jinak,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44"/>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mimořádnou zprávu na základě písemné žádosti poskytovatele, zejména v případě jeho podezření porušování výše uvedených povinností příjemcem, a to ve lhůtě, která nesmí být kratší 30 kalendářní dní, v rozsahu a způsobu předložení stanoveném poskytovatelem,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44"/>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závěrečnou zprávu o řešení projektu spolu s implementačním plánem do 30 dnů ode dne ukončení řešení projektu uvedeném v Závazných parametrech řešení projektu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44"/>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zprávu o implementaci výsledků.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0"/>
          <w:numId w:val="44"/>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Závěrečná zpráva nahrazuje průběžnou zprávu za poslední rok či poslední etapu řešení projektu.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13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6" w:name="page27"/>
      <w:bookmarkEnd w:id="16"/>
      <w:r>
        <w:rPr>
          <w:noProof/>
          <w:lang w:val="cs-CZ"/>
        </w:rPr>
        <w:lastRenderedPageBreak/>
        <w:drawing>
          <wp:anchor distT="0" distB="0" distL="114300" distR="114300" simplePos="0" relativeHeight="251720704" behindDoc="1" locked="0" layoutInCell="0" allowOverlap="1" wp14:anchorId="555A5FB8" wp14:editId="0716FCF3">
            <wp:simplePos x="0" y="0"/>
            <wp:positionH relativeFrom="page">
              <wp:posOffset>539750</wp:posOffset>
            </wp:positionH>
            <wp:positionV relativeFrom="page">
              <wp:posOffset>370205</wp:posOffset>
            </wp:positionV>
            <wp:extent cx="2005330" cy="548640"/>
            <wp:effectExtent l="0" t="0" r="0" b="3810"/>
            <wp:wrapNone/>
            <wp:docPr id="6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45"/>
        </w:numPr>
        <w:tabs>
          <w:tab w:val="clear" w:pos="720"/>
          <w:tab w:val="num" w:pos="364"/>
        </w:tabs>
        <w:overflowPunct w:val="0"/>
        <w:adjustRightInd w:val="0"/>
        <w:spacing w:line="311" w:lineRule="auto"/>
        <w:ind w:left="364" w:hanging="364"/>
        <w:jc w:val="both"/>
        <w:rPr>
          <w:rFonts w:ascii="Cambria" w:hAnsi="Cambria" w:cs="Cambria"/>
          <w:b/>
          <w:bCs/>
        </w:rPr>
      </w:pPr>
      <w:r>
        <w:rPr>
          <w:rFonts w:ascii="Cambria" w:hAnsi="Cambria" w:cs="Cambria"/>
        </w:rPr>
        <w:t xml:space="preserve">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 </w:t>
      </w:r>
    </w:p>
    <w:p w:rsidR="008A2775" w:rsidRDefault="008A2775" w:rsidP="008A2775">
      <w:pPr>
        <w:widowControl w:val="0"/>
        <w:adjustRightInd w:val="0"/>
        <w:spacing w:line="4" w:lineRule="exact"/>
        <w:rPr>
          <w:rFonts w:ascii="Cambria" w:hAnsi="Cambria" w:cs="Cambria"/>
          <w:b/>
          <w:bCs/>
        </w:rPr>
      </w:pPr>
    </w:p>
    <w:p w:rsidR="008A2775" w:rsidRDefault="008A2775" w:rsidP="008A2775">
      <w:pPr>
        <w:widowControl w:val="0"/>
        <w:numPr>
          <w:ilvl w:val="0"/>
          <w:numId w:val="45"/>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Zpráva se považuje za předloženou, pokud je doručena na adresu poskytovatele a obsahuje veškeré povinné náležitosti a jsou k ní přiloženy další povinné dokumenty, zejména je k průběžné (pokud býti má) nebo závěrečné zprávě přiložen implementační plán.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45"/>
        </w:numPr>
        <w:tabs>
          <w:tab w:val="clear" w:pos="720"/>
          <w:tab w:val="num" w:pos="364"/>
        </w:tabs>
        <w:overflowPunct w:val="0"/>
        <w:adjustRightInd w:val="0"/>
        <w:spacing w:line="387" w:lineRule="auto"/>
        <w:ind w:left="364" w:hanging="364"/>
        <w:jc w:val="both"/>
        <w:rPr>
          <w:rFonts w:ascii="Cambria" w:hAnsi="Cambria" w:cs="Cambria"/>
          <w:b/>
          <w:bCs/>
        </w:rPr>
      </w:pPr>
      <w:r>
        <w:rPr>
          <w:rFonts w:ascii="Cambria" w:hAnsi="Cambria" w:cs="Cambria"/>
        </w:rPr>
        <w:t xml:space="preserve">Způsob, forma a další podmínky vypracování a předkládání zpráv a dalších podkladů příjemcem jsou stanoveny v příslušném hodnotícím procesu, zejména směrnice SME-12 Směrnice pro předkládání a zpracování zpráv. </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11" w:lineRule="exact"/>
        <w:rPr>
          <w:rFonts w:ascii="Times New Roman" w:hAnsi="Times New Roman" w:cs="Times New Roman"/>
          <w:sz w:val="24"/>
          <w:szCs w:val="24"/>
        </w:rPr>
      </w:pPr>
    </w:p>
    <w:p w:rsidR="008A2775" w:rsidRDefault="008A2775" w:rsidP="008A2775">
      <w:pPr>
        <w:widowControl w:val="0"/>
        <w:adjustRightInd w:val="0"/>
        <w:ind w:left="804"/>
        <w:rPr>
          <w:rFonts w:ascii="Times New Roman" w:hAnsi="Times New Roman" w:cs="Times New Roman"/>
          <w:sz w:val="24"/>
          <w:szCs w:val="24"/>
        </w:rPr>
      </w:pPr>
      <w:r>
        <w:rPr>
          <w:rFonts w:ascii="Cambria" w:hAnsi="Cambria" w:cs="Cambria"/>
          <w:b/>
          <w:bCs/>
          <w:sz w:val="28"/>
          <w:szCs w:val="28"/>
        </w:rPr>
        <w:t>Část D – Vlastnictví majetku, práva k výsledkům a využití výsledků</w:t>
      </w:r>
    </w:p>
    <w:p w:rsidR="008A2775" w:rsidRDefault="008A2775" w:rsidP="008A2775">
      <w:pPr>
        <w:widowControl w:val="0"/>
        <w:adjustRightInd w:val="0"/>
        <w:spacing w:line="314"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12</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084"/>
        <w:rPr>
          <w:rFonts w:ascii="Times New Roman" w:hAnsi="Times New Roman" w:cs="Times New Roman"/>
          <w:sz w:val="24"/>
          <w:szCs w:val="24"/>
        </w:rPr>
      </w:pPr>
      <w:r>
        <w:rPr>
          <w:rFonts w:ascii="Cambria" w:hAnsi="Cambria" w:cs="Cambria"/>
          <w:b/>
          <w:bCs/>
          <w:i/>
          <w:iCs/>
        </w:rPr>
        <w:t>Vlastnictví majetku</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46"/>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Vlastníky majetku potřebného k řešení projektu jsou ve smyslu § 15 ZPVV hlavní příjemce a další účastníci, kteří si uvedený majetek pořídili nebo ho při řešení projektu vytvořili.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46"/>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Je-li příjemcem organizační složka státu nebo organizační jednotka ministerstva, je vlastníkem takového majetku Česká republika.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46"/>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Je-li příjemcem organizační složka územního samosprávného celku, je vlastníkem takového majetku územní samosprávný celek. </w:t>
      </w: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13</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1724"/>
        <w:rPr>
          <w:rFonts w:ascii="Times New Roman" w:hAnsi="Times New Roman" w:cs="Times New Roman"/>
          <w:sz w:val="24"/>
          <w:szCs w:val="24"/>
        </w:rPr>
      </w:pPr>
      <w:r>
        <w:rPr>
          <w:rFonts w:ascii="Cambria" w:hAnsi="Cambria" w:cs="Cambria"/>
          <w:b/>
          <w:bCs/>
          <w:i/>
          <w:iCs/>
        </w:rPr>
        <w:t>Implementační plán výsledků projektu a smlouva o využití výsledků</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tabs>
          <w:tab w:val="left" w:pos="343"/>
        </w:tabs>
        <w:overflowPunct w:val="0"/>
        <w:adjustRightInd w:val="0"/>
        <w:spacing w:line="293" w:lineRule="auto"/>
        <w:ind w:left="364" w:hanging="360"/>
        <w:jc w:val="both"/>
        <w:rPr>
          <w:rFonts w:ascii="Times New Roman" w:hAnsi="Times New Roman" w:cs="Times New Roman"/>
          <w:sz w:val="24"/>
          <w:szCs w:val="24"/>
        </w:rPr>
      </w:pPr>
      <w:r>
        <w:rPr>
          <w:rFonts w:ascii="Cambria" w:hAnsi="Cambria" w:cs="Cambria"/>
          <w:b/>
          <w:bCs/>
          <w:sz w:val="21"/>
          <w:szCs w:val="21"/>
        </w:rPr>
        <w:t>1.</w:t>
      </w:r>
      <w:r>
        <w:rPr>
          <w:rFonts w:ascii="Times New Roman" w:hAnsi="Times New Roman" w:cs="Times New Roman"/>
          <w:sz w:val="24"/>
          <w:szCs w:val="24"/>
        </w:rPr>
        <w:tab/>
      </w:r>
      <w:r>
        <w:rPr>
          <w:rFonts w:ascii="Cambria" w:hAnsi="Cambria" w:cs="Cambria"/>
          <w:sz w:val="21"/>
          <w:szCs w:val="21"/>
        </w:rPr>
        <w:t xml:space="preserve">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 nehodlá dále komerčně ani výzkumně zabývat, a další povinné náležitosti uvedené ve formuláři pro implementační plán, který je součástí směrnice </w:t>
      </w:r>
      <w:r>
        <w:rPr>
          <w:rFonts w:ascii="Cambria" w:hAnsi="Cambria" w:cs="Cambria"/>
          <w:b/>
          <w:bCs/>
          <w:sz w:val="21"/>
          <w:szCs w:val="21"/>
        </w:rPr>
        <w:t>SME-12</w:t>
      </w:r>
      <w:r>
        <w:rPr>
          <w:rFonts w:ascii="Cambria" w:hAnsi="Cambria" w:cs="Cambria"/>
          <w:sz w:val="21"/>
          <w:szCs w:val="21"/>
        </w:rPr>
        <w:t xml:space="preserve"> </w:t>
      </w:r>
      <w:r>
        <w:rPr>
          <w:rFonts w:ascii="Cambria" w:hAnsi="Cambria" w:cs="Cambria"/>
          <w:b/>
          <w:bCs/>
          <w:sz w:val="21"/>
          <w:szCs w:val="21"/>
        </w:rPr>
        <w:t>Směrnice pro předkládání a zpracování zpráv</w:t>
      </w:r>
      <w:r>
        <w:rPr>
          <w:rFonts w:ascii="Cambria" w:hAnsi="Cambria" w:cs="Cambria"/>
          <w:sz w:val="21"/>
          <w:szCs w:val="21"/>
        </w:rPr>
        <w:t>. Návrh implementačního plánu výsledků projektu musí</w:t>
      </w:r>
      <w:r>
        <w:rPr>
          <w:rFonts w:ascii="Cambria" w:hAnsi="Cambria" w:cs="Cambria"/>
          <w:b/>
          <w:bCs/>
          <w:sz w:val="21"/>
          <w:szCs w:val="21"/>
        </w:rPr>
        <w:t xml:space="preserve"> </w:t>
      </w:r>
      <w:r>
        <w:rPr>
          <w:rFonts w:ascii="Cambria" w:hAnsi="Cambria" w:cs="Cambria"/>
          <w:sz w:val="21"/>
          <w:szCs w:val="21"/>
        </w:rPr>
        <w:t>být vypracován v souladu s podmínkami Smlouvy a se Závaznými parametry řešení projektu.</w:t>
      </w:r>
    </w:p>
    <w:p w:rsidR="008A2775" w:rsidRDefault="008A2775" w:rsidP="008A2775">
      <w:pPr>
        <w:widowControl w:val="0"/>
        <w:adjustRightInd w:val="0"/>
        <w:spacing w:line="7" w:lineRule="exact"/>
        <w:rPr>
          <w:rFonts w:ascii="Times New Roman" w:hAnsi="Times New Roman" w:cs="Times New Roman"/>
          <w:sz w:val="24"/>
          <w:szCs w:val="24"/>
        </w:rPr>
      </w:pPr>
    </w:p>
    <w:p w:rsidR="008A2775" w:rsidRDefault="008A2775" w:rsidP="008A2775">
      <w:pPr>
        <w:widowControl w:val="0"/>
        <w:numPr>
          <w:ilvl w:val="0"/>
          <w:numId w:val="47"/>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Poskytovatel si vyhrazuje právo sledovat plnění implementačního plánu výsledků po celou dobu jeho platnosti, min. však po dobu 3 let od dosažení výsledku, nejpozději však do 3 let po ukončení řešení projektu, a to zejména na základě příjemcem předkládaných zpráv o implementaci v souladu s příslušným hodnotícím procesem.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4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využití výsledků obsahuje zejména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5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14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7" w:name="page29"/>
      <w:bookmarkEnd w:id="17"/>
      <w:r>
        <w:rPr>
          <w:noProof/>
          <w:lang w:val="cs-CZ"/>
        </w:rPr>
        <w:lastRenderedPageBreak/>
        <w:drawing>
          <wp:anchor distT="0" distB="0" distL="114300" distR="114300" simplePos="0" relativeHeight="251721728" behindDoc="1" locked="0" layoutInCell="0" allowOverlap="1" wp14:anchorId="10426D9A" wp14:editId="5F7356FA">
            <wp:simplePos x="0" y="0"/>
            <wp:positionH relativeFrom="page">
              <wp:posOffset>539750</wp:posOffset>
            </wp:positionH>
            <wp:positionV relativeFrom="page">
              <wp:posOffset>370205</wp:posOffset>
            </wp:positionV>
            <wp:extent cx="2005330" cy="548640"/>
            <wp:effectExtent l="0" t="0" r="0" b="3810"/>
            <wp:wrapNone/>
            <wp:docPr id="6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1"/>
          <w:numId w:val="48"/>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název a identifikační údaje projektu,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48"/>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vymezení výsledků a jejich srovnání s cíli projektu,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48"/>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úprava vlastnických a užívacích práv k výsledkům podle § 16 ZPVV,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48"/>
        </w:numPr>
        <w:tabs>
          <w:tab w:val="clear" w:pos="144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způsob využití výsledků a doba, ve které budou výsledky využity, nejdéle však do 5 let od ukončení řešení projektu,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1"/>
          <w:numId w:val="48"/>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rozsah stupně důvěrnosti údajů a způsob nakládání s nimi podle zvláštních právních předpisů,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48"/>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sankce za porušení smlouvy a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48"/>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datum nabytí a ukončení účinnosti smlouvy.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0"/>
          <w:numId w:val="49"/>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Smlouva o využití výsledků musí být uzavřena v souladu s podmínkami Smlouvy. </w:t>
      </w:r>
    </w:p>
    <w:p w:rsidR="008A2775" w:rsidRDefault="008A2775" w:rsidP="008A2775">
      <w:pPr>
        <w:widowControl w:val="0"/>
        <w:adjustRightInd w:val="0"/>
        <w:spacing w:line="177" w:lineRule="exact"/>
        <w:rPr>
          <w:rFonts w:ascii="Cambria" w:hAnsi="Cambria" w:cs="Cambria"/>
          <w:b/>
          <w:bCs/>
        </w:rPr>
      </w:pPr>
    </w:p>
    <w:p w:rsidR="008A2775" w:rsidRDefault="008A2775" w:rsidP="008A2775">
      <w:pPr>
        <w:widowControl w:val="0"/>
        <w:numPr>
          <w:ilvl w:val="0"/>
          <w:numId w:val="49"/>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Poskytovatel si vyhrazuje právo kontroly obsahu smlouvy o využití výsledků a kontrolu její úplnosti. </w:t>
      </w:r>
    </w:p>
    <w:p w:rsidR="008A2775" w:rsidRDefault="008A2775" w:rsidP="008A2775">
      <w:pPr>
        <w:widowControl w:val="0"/>
        <w:adjustRightInd w:val="0"/>
        <w:spacing w:line="369"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14</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2864"/>
        <w:rPr>
          <w:rFonts w:ascii="Times New Roman" w:hAnsi="Times New Roman" w:cs="Times New Roman"/>
          <w:sz w:val="24"/>
          <w:szCs w:val="24"/>
        </w:rPr>
      </w:pPr>
      <w:r>
        <w:rPr>
          <w:rFonts w:ascii="Cambria" w:hAnsi="Cambria" w:cs="Cambria"/>
          <w:b/>
          <w:bCs/>
          <w:i/>
          <w:iCs/>
        </w:rPr>
        <w:t>Práva k výsledkům projektu a jejich ochrana</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50"/>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50"/>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50"/>
        </w:numPr>
        <w:tabs>
          <w:tab w:val="clear" w:pos="720"/>
          <w:tab w:val="num" w:pos="364"/>
        </w:tabs>
        <w:overflowPunct w:val="0"/>
        <w:adjustRightInd w:val="0"/>
        <w:spacing w:line="300" w:lineRule="auto"/>
        <w:ind w:left="364" w:hanging="364"/>
        <w:jc w:val="both"/>
        <w:rPr>
          <w:rFonts w:ascii="Cambria" w:hAnsi="Cambria" w:cs="Cambria"/>
          <w:b/>
          <w:bCs/>
          <w:sz w:val="21"/>
          <w:szCs w:val="21"/>
        </w:rPr>
      </w:pPr>
      <w:r>
        <w:rPr>
          <w:rFonts w:ascii="Cambria" w:hAnsi="Cambria" w:cs="Cambria"/>
          <w:sz w:val="21"/>
          <w:szCs w:val="21"/>
        </w:rPr>
        <w:t xml:space="preserve">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 </w:t>
      </w:r>
    </w:p>
    <w:p w:rsidR="008A2775" w:rsidRDefault="008A2775" w:rsidP="008A2775">
      <w:pPr>
        <w:widowControl w:val="0"/>
        <w:adjustRightInd w:val="0"/>
        <w:spacing w:line="1" w:lineRule="exact"/>
        <w:rPr>
          <w:rFonts w:ascii="Cambria" w:hAnsi="Cambria" w:cs="Cambria"/>
          <w:b/>
          <w:bCs/>
          <w:sz w:val="21"/>
          <w:szCs w:val="21"/>
        </w:rPr>
      </w:pPr>
    </w:p>
    <w:p w:rsidR="008A2775" w:rsidRDefault="008A2775" w:rsidP="008A2775">
      <w:pPr>
        <w:widowControl w:val="0"/>
        <w:numPr>
          <w:ilvl w:val="0"/>
          <w:numId w:val="50"/>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w:t>
      </w:r>
    </w:p>
    <w:p w:rsidR="008A2775" w:rsidRDefault="008A2775" w:rsidP="008A2775">
      <w:pPr>
        <w:widowControl w:val="0"/>
        <w:numPr>
          <w:ilvl w:val="0"/>
          <w:numId w:val="50"/>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Hlavní příjemce může zveřejnit informace o výsledcích projektu, ke kterým má majetková práva, pokud jejich zveřejněním není dotčena jejich ochrana, postupuje podle </w:t>
      </w:r>
      <w:r>
        <w:rPr>
          <w:rFonts w:ascii="Cambria" w:hAnsi="Cambria" w:cs="Cambria"/>
          <w:b/>
          <w:bCs/>
        </w:rPr>
        <w:t>Pravidel pro publicitu projektů</w:t>
      </w:r>
      <w:r>
        <w:rPr>
          <w:rFonts w:ascii="Cambria" w:hAnsi="Cambria" w:cs="Cambria"/>
        </w:rPr>
        <w:t xml:space="preserve"> </w:t>
      </w:r>
      <w:r>
        <w:rPr>
          <w:rFonts w:ascii="Cambria" w:hAnsi="Cambria" w:cs="Cambria"/>
          <w:b/>
          <w:bCs/>
        </w:rPr>
        <w:t xml:space="preserve">podpořených z prostředků TA ČR </w:t>
      </w:r>
      <w:r>
        <w:rPr>
          <w:rFonts w:ascii="Cambria" w:hAnsi="Cambria" w:cs="Cambria"/>
        </w:rPr>
        <w:t>a pokud o svém záměru zveřejnění v dostatečném předstihu</w:t>
      </w:r>
      <w:r>
        <w:rPr>
          <w:rFonts w:ascii="Cambria" w:hAnsi="Cambria" w:cs="Cambria"/>
          <w:b/>
          <w:bCs/>
        </w:rPr>
        <w:t xml:space="preserve"> </w:t>
      </w:r>
      <w:r>
        <w:rPr>
          <w:rFonts w:ascii="Cambria" w:hAnsi="Cambria" w:cs="Cambria"/>
        </w:rPr>
        <w:t xml:space="preserve">informoval další účastníky. </w:t>
      </w:r>
    </w:p>
    <w:p w:rsidR="008A2775" w:rsidRDefault="008A2775" w:rsidP="008A2775">
      <w:pPr>
        <w:widowControl w:val="0"/>
        <w:adjustRightInd w:val="0"/>
        <w:spacing w:line="58"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15</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524"/>
        <w:rPr>
          <w:rFonts w:ascii="Times New Roman" w:hAnsi="Times New Roman" w:cs="Times New Roman"/>
          <w:sz w:val="24"/>
          <w:szCs w:val="24"/>
        </w:rPr>
      </w:pPr>
      <w:r>
        <w:rPr>
          <w:rFonts w:ascii="Cambria" w:hAnsi="Cambria" w:cs="Cambria"/>
          <w:b/>
          <w:bCs/>
          <w:i/>
          <w:iCs/>
        </w:rPr>
        <w:t>Využití a poskytování výsledků</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51"/>
        </w:numPr>
        <w:tabs>
          <w:tab w:val="clear" w:pos="720"/>
          <w:tab w:val="num" w:pos="364"/>
        </w:tabs>
        <w:overflowPunct w:val="0"/>
        <w:adjustRightInd w:val="0"/>
        <w:spacing w:line="457" w:lineRule="auto"/>
        <w:ind w:left="364" w:hanging="364"/>
        <w:jc w:val="both"/>
        <w:rPr>
          <w:rFonts w:ascii="Cambria" w:hAnsi="Cambria" w:cs="Cambria"/>
          <w:b/>
          <w:bCs/>
        </w:rPr>
      </w:pPr>
      <w:r>
        <w:rPr>
          <w:rFonts w:ascii="Cambria" w:hAnsi="Cambria" w:cs="Cambria"/>
        </w:rPr>
        <w:t xml:space="preserve">Podrobnosti využití výsledků projektu budou stanoveny ve schváleném implementačním plánu výsledků projektu a ve smlouvě o využití výsledků.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1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15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8" w:name="page31"/>
      <w:bookmarkEnd w:id="18"/>
      <w:r>
        <w:rPr>
          <w:noProof/>
          <w:lang w:val="cs-CZ"/>
        </w:rPr>
        <w:lastRenderedPageBreak/>
        <w:drawing>
          <wp:anchor distT="0" distB="0" distL="114300" distR="114300" simplePos="0" relativeHeight="251722752" behindDoc="1" locked="0" layoutInCell="0" allowOverlap="1" wp14:anchorId="0A93BA9E" wp14:editId="606B0155">
            <wp:simplePos x="0" y="0"/>
            <wp:positionH relativeFrom="page">
              <wp:posOffset>539750</wp:posOffset>
            </wp:positionH>
            <wp:positionV relativeFrom="page">
              <wp:posOffset>370205</wp:posOffset>
            </wp:positionV>
            <wp:extent cx="2005330" cy="548640"/>
            <wp:effectExtent l="0" t="0" r="0" b="3810"/>
            <wp:wrapNone/>
            <wp:docPr id="63"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71" w:lineRule="exact"/>
        <w:rPr>
          <w:rFonts w:ascii="Times New Roman" w:hAnsi="Times New Roman" w:cs="Times New Roman"/>
          <w:sz w:val="24"/>
          <w:szCs w:val="24"/>
        </w:rPr>
      </w:pPr>
    </w:p>
    <w:p w:rsidR="008A2775" w:rsidRDefault="008A2775" w:rsidP="008A2775">
      <w:pPr>
        <w:widowControl w:val="0"/>
        <w:numPr>
          <w:ilvl w:val="0"/>
          <w:numId w:val="5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 výsledků. </w:t>
      </w:r>
    </w:p>
    <w:p w:rsidR="008A2775" w:rsidRDefault="008A2775" w:rsidP="008A2775">
      <w:pPr>
        <w:widowControl w:val="0"/>
        <w:numPr>
          <w:ilvl w:val="0"/>
          <w:numId w:val="52"/>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financovaného z veřejných prostředků, ve výši přesahující 50 % a nižší než 100 % výše nákladů projektu je hlavní příjemce povinen za podmínek stanovených ve smlouvě o využití výsledků přednostně poskytnout výsledky těm subjektům, které se na podpoře z neveřejných zdrojů podílely.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52"/>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podílově financovaného z veřejných prostředků ve výši dosahující 50 % nebo méně nákladů projektu musí být součástí smlouvy o využití výsledků dohoda o způsobu a termínech využití výsledků s těmi subjekty, které se na podpoře z neveřejných zdrojů podílely.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5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V případě nevyužití výsledku podle odstavce 3 nebo 4 způsobem a v době stanovené ve smlouvě o využití výsledků, je hlavní příjemce povinen poskytnout dosažené výsledky k využití výsledků za nediskriminujících podmínek všem zájemcům. </w:t>
      </w:r>
    </w:p>
    <w:p w:rsidR="008A2775" w:rsidRDefault="008A2775" w:rsidP="008A2775">
      <w:pPr>
        <w:widowControl w:val="0"/>
        <w:numPr>
          <w:ilvl w:val="0"/>
          <w:numId w:val="52"/>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Příjemce je oprávněn poskytnout výsledky, které nejsou výsledkem veřejné zakázky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 </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88" w:lineRule="exact"/>
        <w:rPr>
          <w:rFonts w:ascii="Times New Roman" w:hAnsi="Times New Roman" w:cs="Times New Roman"/>
          <w:sz w:val="24"/>
          <w:szCs w:val="24"/>
        </w:rPr>
      </w:pPr>
    </w:p>
    <w:p w:rsidR="008A2775" w:rsidRDefault="008A2775" w:rsidP="008A2775">
      <w:pPr>
        <w:widowControl w:val="0"/>
        <w:adjustRightInd w:val="0"/>
        <w:ind w:left="3304"/>
        <w:rPr>
          <w:rFonts w:ascii="Times New Roman" w:hAnsi="Times New Roman" w:cs="Times New Roman"/>
          <w:sz w:val="24"/>
          <w:szCs w:val="24"/>
        </w:rPr>
      </w:pPr>
      <w:r>
        <w:rPr>
          <w:rFonts w:ascii="Cambria" w:hAnsi="Cambria" w:cs="Cambria"/>
          <w:b/>
          <w:bCs/>
          <w:sz w:val="28"/>
          <w:szCs w:val="28"/>
        </w:rPr>
        <w:t>Část E – Náklady a kontroly</w:t>
      </w:r>
    </w:p>
    <w:p w:rsidR="008A2775" w:rsidRDefault="008A2775" w:rsidP="008A2775">
      <w:pPr>
        <w:widowControl w:val="0"/>
        <w:adjustRightInd w:val="0"/>
        <w:spacing w:line="314"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16</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804"/>
        <w:rPr>
          <w:rFonts w:ascii="Times New Roman" w:hAnsi="Times New Roman" w:cs="Times New Roman"/>
          <w:sz w:val="24"/>
          <w:szCs w:val="24"/>
        </w:rPr>
      </w:pPr>
      <w:r>
        <w:rPr>
          <w:rFonts w:ascii="Cambria" w:hAnsi="Cambria" w:cs="Cambria"/>
          <w:b/>
          <w:bCs/>
          <w:i/>
          <w:iCs/>
        </w:rPr>
        <w:t>Uznané náklady projektu</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53"/>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Všechny finanční prostředky poskytnuté poskytovatelem jako podpora na řešení projektu výzkumu a vývoje mají charakter účelově určených finančních prostředků.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53"/>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Uznané náklady musí být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53"/>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vynaloženy v souladu s cíli programu a musí bezprostředně souviset s řešením projektu,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3"/>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způsobilými náklady,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3"/>
        </w:numPr>
        <w:tabs>
          <w:tab w:val="clear" w:pos="144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prokazatelně zaplaceny příjemcem v maximálně době splatnosti do 30 dnů (tato podmínka se nevztahuje na vyúčtování odpisů), bez ohledu na dobu splatnosti stanovenou mezi příjemcem a dodavatelem,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1"/>
          <w:numId w:val="53"/>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doloženy průkaznými doklady,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3"/>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přiměřené (musí odpovídat cenám v místě a čase obvyklým) a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3"/>
        </w:numPr>
        <w:tabs>
          <w:tab w:val="clear" w:pos="1440"/>
          <w:tab w:val="num" w:pos="664"/>
        </w:tabs>
        <w:overflowPunct w:val="0"/>
        <w:adjustRightInd w:val="0"/>
        <w:spacing w:line="387" w:lineRule="auto"/>
        <w:ind w:left="664" w:hanging="370"/>
        <w:jc w:val="both"/>
        <w:rPr>
          <w:rFonts w:ascii="Cambria" w:hAnsi="Cambria" w:cs="Cambria"/>
        </w:rPr>
      </w:pPr>
      <w:r>
        <w:rPr>
          <w:rFonts w:ascii="Cambria" w:hAnsi="Cambria" w:cs="Cambria"/>
        </w:rPr>
        <w:t xml:space="preserve">vynaloženy v souladu s principy hospodárnosti (minimalizace výdajů při respektování cílů projektu), účelnosti (přímá vazba na projekt a nezbytnost pro řešení projektu) a efektivnosti (maximalizace poměru mezi výstupy a vstupy projektu),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5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16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19" w:name="page33"/>
      <w:bookmarkEnd w:id="19"/>
      <w:r>
        <w:rPr>
          <w:noProof/>
          <w:lang w:val="cs-CZ"/>
        </w:rPr>
        <w:lastRenderedPageBreak/>
        <w:drawing>
          <wp:anchor distT="0" distB="0" distL="114300" distR="114300" simplePos="0" relativeHeight="251723776" behindDoc="1" locked="0" layoutInCell="0" allowOverlap="1" wp14:anchorId="19BC4FA1" wp14:editId="684789CF">
            <wp:simplePos x="0" y="0"/>
            <wp:positionH relativeFrom="page">
              <wp:posOffset>539750</wp:posOffset>
            </wp:positionH>
            <wp:positionV relativeFrom="page">
              <wp:posOffset>370205</wp:posOffset>
            </wp:positionV>
            <wp:extent cx="2005330" cy="548640"/>
            <wp:effectExtent l="0" t="0" r="0" b="3810"/>
            <wp:wrapNone/>
            <wp:docPr id="64"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overflowPunct w:val="0"/>
        <w:adjustRightInd w:val="0"/>
        <w:spacing w:line="348" w:lineRule="auto"/>
        <w:ind w:left="420"/>
        <w:rPr>
          <w:rFonts w:ascii="Times New Roman" w:hAnsi="Times New Roman" w:cs="Times New Roman"/>
          <w:sz w:val="24"/>
          <w:szCs w:val="24"/>
        </w:rPr>
      </w:pPr>
      <w:r>
        <w:rPr>
          <w:rFonts w:ascii="Cambria" w:hAnsi="Cambria" w:cs="Cambria"/>
        </w:rPr>
        <w:t>přičemž splnění těchto podmínek se prokazuje v rámci hodnotících a kontrolních procesů popř. na žádost poskytovatele.</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numPr>
          <w:ilvl w:val="0"/>
          <w:numId w:val="54"/>
        </w:numPr>
        <w:tabs>
          <w:tab w:val="clear" w:pos="720"/>
          <w:tab w:val="num" w:pos="420"/>
        </w:tabs>
        <w:overflowPunct w:val="0"/>
        <w:adjustRightInd w:val="0"/>
        <w:spacing w:line="307" w:lineRule="auto"/>
        <w:ind w:left="420" w:hanging="364"/>
        <w:jc w:val="both"/>
        <w:rPr>
          <w:rFonts w:ascii="Cambria" w:hAnsi="Cambria" w:cs="Cambria"/>
          <w:b/>
          <w:bCs/>
          <w:sz w:val="21"/>
          <w:szCs w:val="21"/>
        </w:rPr>
      </w:pPr>
      <w:r>
        <w:rPr>
          <w:rFonts w:ascii="Cambria" w:hAnsi="Cambria" w:cs="Cambria"/>
          <w:sz w:val="21"/>
          <w:szCs w:val="21"/>
        </w:rPr>
        <w:t xml:space="preserve">Za uznaný náklad se nepovažuje poskytnuté plnění mezi hlavním příjemcem a dalšími účastníky navzájem. Za uznaný náklad se nepovažují rovněž náklady se zdanitelným plněním mezi dnem, ve kterém nastanou účinky fúze, rozdělení nebo převodu jmění na společníka, a mezi dnem, ve kterém dojde v souladu se </w:t>
      </w:r>
      <w:r>
        <w:rPr>
          <w:rFonts w:ascii="Cambria" w:hAnsi="Cambria" w:cs="Cambria"/>
          <w:b/>
          <w:bCs/>
          <w:sz w:val="21"/>
          <w:szCs w:val="21"/>
        </w:rPr>
        <w:t xml:space="preserve">SME-07 Změnová řízení projektů </w:t>
      </w:r>
      <w:r>
        <w:rPr>
          <w:rFonts w:ascii="Cambria" w:hAnsi="Cambria" w:cs="Cambria"/>
          <w:sz w:val="21"/>
          <w:szCs w:val="21"/>
        </w:rPr>
        <w:t>ke schválení takové přeměny, ledaže příjemce požádal včas o souhlas</w:t>
      </w:r>
      <w:r>
        <w:rPr>
          <w:rFonts w:ascii="Cambria" w:hAnsi="Cambria" w:cs="Cambria"/>
          <w:b/>
          <w:bCs/>
          <w:sz w:val="21"/>
          <w:szCs w:val="21"/>
        </w:rPr>
        <w:t xml:space="preserve"> </w:t>
      </w:r>
    </w:p>
    <w:p w:rsidR="008A2775" w:rsidRDefault="008A2775" w:rsidP="008A2775">
      <w:pPr>
        <w:widowControl w:val="0"/>
        <w:numPr>
          <w:ilvl w:val="1"/>
          <w:numId w:val="54"/>
        </w:numPr>
        <w:tabs>
          <w:tab w:val="clear" w:pos="1440"/>
          <w:tab w:val="num" w:pos="568"/>
        </w:tabs>
        <w:overflowPunct w:val="0"/>
        <w:adjustRightInd w:val="0"/>
        <w:spacing w:line="330" w:lineRule="auto"/>
        <w:ind w:left="420" w:hanging="4"/>
        <w:jc w:val="both"/>
        <w:rPr>
          <w:rFonts w:ascii="Cambria" w:hAnsi="Cambria" w:cs="Cambria"/>
        </w:rPr>
      </w:pPr>
      <w:r>
        <w:rPr>
          <w:rFonts w:ascii="Cambria" w:hAnsi="Cambria" w:cs="Cambria"/>
        </w:rPr>
        <w:t xml:space="preserve">přechodem práv a povinností při takové přeměně podle § 14a zákona č. 218/2000 Sb., o rozpočtových pravidlech a o změně některých souvisejících zákonů (rozpočtová pravidla) a pozdní schválení bylo zapříčiněno výhradně z důvodů na straně poskytovatele.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0"/>
          <w:numId w:val="54"/>
        </w:numPr>
        <w:tabs>
          <w:tab w:val="clear" w:pos="720"/>
          <w:tab w:val="num" w:pos="420"/>
        </w:tabs>
        <w:overflowPunct w:val="0"/>
        <w:adjustRightInd w:val="0"/>
        <w:spacing w:line="330" w:lineRule="auto"/>
        <w:ind w:left="420" w:hanging="364"/>
        <w:jc w:val="both"/>
        <w:rPr>
          <w:rFonts w:ascii="Cambria" w:hAnsi="Cambria" w:cs="Cambria"/>
          <w:b/>
          <w:bCs/>
        </w:rPr>
      </w:pPr>
      <w:r>
        <w:rPr>
          <w:rFonts w:ascii="Cambria" w:hAnsi="Cambria" w:cs="Cambria"/>
        </w:rPr>
        <w:t xml:space="preserve">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Smlouvy.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54"/>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Na každý náklad se pohlíží tak, jakoby byl financován z poskytnuté podpory a neveřejného zdroje v poměru podle míry poskytnuté podpory daného účastníka v daném roce.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54"/>
        </w:numPr>
        <w:tabs>
          <w:tab w:val="clear" w:pos="720"/>
          <w:tab w:val="num" w:pos="420"/>
        </w:tabs>
        <w:overflowPunct w:val="0"/>
        <w:adjustRightInd w:val="0"/>
        <w:ind w:left="420" w:hanging="364"/>
        <w:jc w:val="both"/>
        <w:rPr>
          <w:rFonts w:ascii="Cambria" w:hAnsi="Cambria" w:cs="Cambria"/>
          <w:b/>
          <w:bCs/>
        </w:rPr>
      </w:pPr>
      <w:r>
        <w:rPr>
          <w:rFonts w:ascii="Cambria" w:hAnsi="Cambria" w:cs="Cambria"/>
        </w:rPr>
        <w:t xml:space="preserve">V případě, že ze Závazných parametrů řešení projektu vyplývá závazek dosažení dvou a více výsledků </w:t>
      </w:r>
    </w:p>
    <w:p w:rsidR="008A2775" w:rsidRDefault="008A2775" w:rsidP="008A2775">
      <w:pPr>
        <w:widowControl w:val="0"/>
        <w:adjustRightInd w:val="0"/>
        <w:spacing w:line="57" w:lineRule="exact"/>
        <w:rPr>
          <w:rFonts w:ascii="Cambria" w:hAnsi="Cambria" w:cs="Cambria"/>
          <w:b/>
          <w:bCs/>
        </w:rPr>
      </w:pPr>
    </w:p>
    <w:p w:rsidR="008A2775" w:rsidRDefault="008A2775" w:rsidP="008A2775">
      <w:pPr>
        <w:widowControl w:val="0"/>
        <w:numPr>
          <w:ilvl w:val="1"/>
          <w:numId w:val="55"/>
        </w:numPr>
        <w:tabs>
          <w:tab w:val="clear" w:pos="1440"/>
          <w:tab w:val="num" w:pos="596"/>
        </w:tabs>
        <w:overflowPunct w:val="0"/>
        <w:adjustRightInd w:val="0"/>
        <w:spacing w:line="306" w:lineRule="auto"/>
        <w:ind w:left="420" w:hanging="4"/>
        <w:jc w:val="both"/>
        <w:rPr>
          <w:rFonts w:ascii="Cambria" w:hAnsi="Cambria" w:cs="Cambria"/>
        </w:rPr>
      </w:pPr>
      <w:r>
        <w:rPr>
          <w:rFonts w:ascii="Cambria" w:hAnsi="Cambria" w:cs="Cambria"/>
        </w:rPr>
        <w:t>rámci řešení projektu, pro účely Smlouvy se považuje výše poskytnuté podpory potřebná k dosažení každého jednotlivého výsledku podpora vypočtená podle vzorce, kde hodnota výsledku je rovna hodnotě bodů</w:t>
      </w:r>
      <w:r>
        <w:rPr>
          <w:rFonts w:ascii="Times" w:hAnsi="Times" w:cs="Times"/>
          <w:sz w:val="28"/>
          <w:szCs w:val="28"/>
          <w:vertAlign w:val="superscript"/>
        </w:rPr>
        <w:t>2</w:t>
      </w:r>
      <w:r>
        <w:rPr>
          <w:rFonts w:ascii="Cambria" w:hAnsi="Cambria" w:cs="Cambria"/>
        </w:rPr>
        <w:t xml:space="preserve"> tohoto výsledku vynásobeného podílem celkové podpory ku celkovým bodům všech deklarovaných výsledků. </w:t>
      </w:r>
    </w:p>
    <w:p w:rsidR="008A2775" w:rsidRDefault="008A2775" w:rsidP="008A2775">
      <w:pPr>
        <w:widowControl w:val="0"/>
        <w:numPr>
          <w:ilvl w:val="0"/>
          <w:numId w:val="56"/>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O všech vynaložených nákladech projektu je příjemce povinen vést oddělenou účetní evidenci v souladu se zákonem č. 563/1991 Sb., o účetnictví, v platném znění.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56"/>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V případě, že příjemce je plátcem daně z přidané hodnoty a tuto daň si uplatňuje u finančního úřadu, nelze ji považovat za uznaný náklad.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56"/>
        </w:numPr>
        <w:tabs>
          <w:tab w:val="clear" w:pos="720"/>
          <w:tab w:val="num" w:pos="420"/>
        </w:tabs>
        <w:overflowPunct w:val="0"/>
        <w:adjustRightInd w:val="0"/>
        <w:spacing w:line="330" w:lineRule="auto"/>
        <w:ind w:left="420" w:hanging="364"/>
        <w:jc w:val="both"/>
        <w:rPr>
          <w:rFonts w:ascii="Cambria" w:hAnsi="Cambria" w:cs="Cambria"/>
          <w:b/>
          <w:bCs/>
        </w:rPr>
      </w:pPr>
      <w:r>
        <w:rPr>
          <w:rFonts w:ascii="Cambria" w:hAnsi="Cambria" w:cs="Cambria"/>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poskytovatele doloženy.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56"/>
        </w:numPr>
        <w:tabs>
          <w:tab w:val="clear" w:pos="720"/>
          <w:tab w:val="num" w:pos="420"/>
        </w:tabs>
        <w:overflowPunct w:val="0"/>
        <w:adjustRightInd w:val="0"/>
        <w:spacing w:line="348" w:lineRule="auto"/>
        <w:ind w:left="420" w:hanging="364"/>
        <w:jc w:val="both"/>
        <w:rPr>
          <w:rFonts w:ascii="Cambria" w:hAnsi="Cambria" w:cs="Cambria"/>
          <w:b/>
          <w:bCs/>
        </w:rPr>
      </w:pPr>
      <w:r>
        <w:rPr>
          <w:rFonts w:ascii="Cambria" w:hAnsi="Cambria" w:cs="Cambria"/>
        </w:rPr>
        <w:t xml:space="preserve">Sníží-li se výše uznaných nákladů, sníží se úměrně i maximální výše podpory při zachování stanovené míry podpory.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56"/>
        </w:numPr>
        <w:tabs>
          <w:tab w:val="clear" w:pos="720"/>
          <w:tab w:val="num" w:pos="420"/>
        </w:tabs>
        <w:overflowPunct w:val="0"/>
        <w:adjustRightInd w:val="0"/>
        <w:ind w:left="420" w:hanging="364"/>
        <w:jc w:val="both"/>
        <w:rPr>
          <w:rFonts w:ascii="Cambria" w:hAnsi="Cambria" w:cs="Cambria"/>
          <w:b/>
          <w:bCs/>
        </w:rPr>
      </w:pPr>
      <w:r>
        <w:rPr>
          <w:rFonts w:ascii="Cambria" w:hAnsi="Cambria" w:cs="Cambria"/>
        </w:rPr>
        <w:t xml:space="preserve">V případě, že příjemce pořizuje pro účely řešení projektu hmotný či nehmotný majetek nebo služby </w:t>
      </w:r>
    </w:p>
    <w:p w:rsidR="008A2775" w:rsidRDefault="008A2775" w:rsidP="008A2775">
      <w:pPr>
        <w:widowControl w:val="0"/>
        <w:adjustRightInd w:val="0"/>
        <w:spacing w:line="57" w:lineRule="exact"/>
        <w:rPr>
          <w:rFonts w:ascii="Cambria" w:hAnsi="Cambria" w:cs="Cambria"/>
          <w:b/>
          <w:bCs/>
        </w:rPr>
      </w:pPr>
    </w:p>
    <w:p w:rsidR="008A2775" w:rsidRDefault="008A2775" w:rsidP="008A2775">
      <w:pPr>
        <w:widowControl w:val="0"/>
        <w:numPr>
          <w:ilvl w:val="1"/>
          <w:numId w:val="56"/>
        </w:numPr>
        <w:tabs>
          <w:tab w:val="clear" w:pos="1440"/>
          <w:tab w:val="num" w:pos="601"/>
        </w:tabs>
        <w:overflowPunct w:val="0"/>
        <w:adjustRightInd w:val="0"/>
        <w:spacing w:line="356" w:lineRule="auto"/>
        <w:ind w:left="420" w:hanging="4"/>
        <w:jc w:val="both"/>
        <w:rPr>
          <w:rFonts w:ascii="Cambria" w:hAnsi="Cambria" w:cs="Cambria"/>
        </w:rPr>
      </w:pPr>
      <w:r>
        <w:rPr>
          <w:rFonts w:ascii="Cambria" w:hAnsi="Cambria" w:cs="Cambria"/>
        </w:rPr>
        <w:t xml:space="preserve">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 podpory. </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66" w:lineRule="exact"/>
        <w:rPr>
          <w:rFonts w:ascii="Times New Roman" w:hAnsi="Times New Roman" w:cs="Times New Roman"/>
          <w:sz w:val="24"/>
          <w:szCs w:val="24"/>
        </w:rPr>
      </w:pPr>
    </w:p>
    <w:p w:rsidR="008A2775" w:rsidRDefault="008A2775" w:rsidP="008A2775">
      <w:pPr>
        <w:widowControl w:val="0"/>
        <w:overflowPunct w:val="0"/>
        <w:adjustRightInd w:val="0"/>
        <w:spacing w:line="309" w:lineRule="auto"/>
        <w:jc w:val="both"/>
        <w:rPr>
          <w:rFonts w:ascii="Times New Roman" w:hAnsi="Times New Roman" w:cs="Times New Roman"/>
          <w:sz w:val="24"/>
          <w:szCs w:val="24"/>
        </w:rPr>
      </w:pPr>
      <w:r>
        <w:rPr>
          <w:rFonts w:ascii="Times" w:hAnsi="Times" w:cs="Times"/>
          <w:sz w:val="28"/>
          <w:szCs w:val="28"/>
          <w:vertAlign w:val="superscript"/>
        </w:rPr>
        <w:t>2</w:t>
      </w:r>
      <w:r>
        <w:rPr>
          <w:rFonts w:ascii="Cambria" w:hAnsi="Cambria" w:cs="Cambria"/>
          <w:b/>
          <w:bCs/>
        </w:rPr>
        <w:t xml:space="preserve">P (evropský patent EPO, patent USA USPTO a Japonska) </w:t>
      </w:r>
      <w:r>
        <w:rPr>
          <w:rFonts w:ascii="Cambria" w:hAnsi="Cambria" w:cs="Cambria"/>
        </w:rPr>
        <w:t>– 500 b,</w:t>
      </w:r>
      <w:r>
        <w:rPr>
          <w:rFonts w:ascii="Cambria" w:hAnsi="Cambria" w:cs="Cambria"/>
          <w:b/>
          <w:bCs/>
        </w:rPr>
        <w:t xml:space="preserve"> P (český nebo národní patent s výjimkou patentu USA a Japonska) </w:t>
      </w:r>
      <w:r>
        <w:rPr>
          <w:rFonts w:ascii="Cambria" w:hAnsi="Cambria" w:cs="Cambria"/>
        </w:rPr>
        <w:t>– 200 b.,</w:t>
      </w:r>
      <w:r>
        <w:rPr>
          <w:rFonts w:ascii="Cambria" w:hAnsi="Cambria" w:cs="Cambria"/>
          <w:b/>
          <w:bCs/>
        </w:rPr>
        <w:t xml:space="preserve"> Patent (ostatní patenty) </w:t>
      </w:r>
      <w:r>
        <w:rPr>
          <w:rFonts w:ascii="Cambria" w:hAnsi="Cambria" w:cs="Cambria"/>
        </w:rPr>
        <w:t>– 40 b.,</w:t>
      </w:r>
      <w:r>
        <w:rPr>
          <w:rFonts w:ascii="Cambria" w:hAnsi="Cambria" w:cs="Cambria"/>
          <w:b/>
          <w:bCs/>
        </w:rPr>
        <w:t xml:space="preserve"> N </w:t>
      </w:r>
      <w:r>
        <w:rPr>
          <w:rFonts w:ascii="Cambria" w:hAnsi="Cambria" w:cs="Cambria"/>
        </w:rPr>
        <w:t>- 40 b, Z – 100 b.,</w:t>
      </w:r>
      <w:r>
        <w:rPr>
          <w:rFonts w:ascii="Cambria" w:hAnsi="Cambria" w:cs="Cambria"/>
          <w:b/>
          <w:bCs/>
        </w:rPr>
        <w:t xml:space="preserve"> F </w:t>
      </w:r>
      <w:r>
        <w:rPr>
          <w:rFonts w:ascii="Cambria" w:hAnsi="Cambria" w:cs="Cambria"/>
        </w:rPr>
        <w:t>– 40 b.,</w:t>
      </w:r>
      <w:r>
        <w:rPr>
          <w:rFonts w:ascii="Cambria" w:hAnsi="Cambria" w:cs="Cambria"/>
          <w:b/>
          <w:bCs/>
        </w:rPr>
        <w:t xml:space="preserve"> G </w:t>
      </w:r>
      <w:r>
        <w:rPr>
          <w:rFonts w:ascii="Cambria" w:hAnsi="Cambria" w:cs="Cambria"/>
        </w:rPr>
        <w:t>– 40 b.,</w:t>
      </w:r>
      <w:r>
        <w:rPr>
          <w:rFonts w:ascii="Cambria" w:hAnsi="Cambria" w:cs="Cambria"/>
          <w:b/>
          <w:bCs/>
        </w:rPr>
        <w:t xml:space="preserve"> H </w:t>
      </w:r>
      <w:r>
        <w:rPr>
          <w:rFonts w:ascii="Cambria" w:hAnsi="Cambria" w:cs="Cambria"/>
        </w:rPr>
        <w:t>– 40 b.,</w:t>
      </w:r>
      <w:r>
        <w:rPr>
          <w:rFonts w:ascii="Cambria" w:hAnsi="Cambria" w:cs="Cambria"/>
          <w:b/>
          <w:bCs/>
        </w:rPr>
        <w:t xml:space="preserve"> R </w:t>
      </w:r>
      <w:r>
        <w:rPr>
          <w:rFonts w:ascii="Cambria" w:hAnsi="Cambria" w:cs="Cambria"/>
        </w:rPr>
        <w:t>– 40</w:t>
      </w:r>
      <w:r>
        <w:rPr>
          <w:rFonts w:ascii="Cambria" w:hAnsi="Cambria" w:cs="Cambria"/>
          <w:b/>
          <w:bCs/>
        </w:rPr>
        <w:t xml:space="preserve"> </w:t>
      </w:r>
      <w:r>
        <w:rPr>
          <w:rFonts w:ascii="Cambria" w:hAnsi="Cambria" w:cs="Cambria"/>
        </w:rPr>
        <w:t xml:space="preserve">b., </w:t>
      </w:r>
      <w:r>
        <w:rPr>
          <w:rFonts w:ascii="Cambria" w:hAnsi="Cambria" w:cs="Cambria"/>
          <w:b/>
          <w:bCs/>
        </w:rPr>
        <w:t>V</w:t>
      </w:r>
      <w:r>
        <w:rPr>
          <w:rFonts w:ascii="Cambria" w:hAnsi="Cambria" w:cs="Cambria"/>
        </w:rPr>
        <w:t xml:space="preserve"> – 50 b.</w:t>
      </w:r>
    </w:p>
    <w:p w:rsidR="008A2775" w:rsidRDefault="008A2775" w:rsidP="008A2775">
      <w:pPr>
        <w:widowControl w:val="0"/>
        <w:adjustRightInd w:val="0"/>
        <w:spacing w:line="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17 / 21</w:t>
            </w:r>
          </w:p>
        </w:tc>
      </w:tr>
    </w:tbl>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860" w:header="720" w:footer="720" w:gutter="0"/>
          <w:cols w:space="720" w:equalWidth="0">
            <w:col w:w="1020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20" w:name="page35"/>
      <w:bookmarkEnd w:id="20"/>
      <w:r>
        <w:rPr>
          <w:noProof/>
          <w:lang w:val="cs-CZ"/>
        </w:rPr>
        <w:lastRenderedPageBreak/>
        <w:drawing>
          <wp:anchor distT="0" distB="0" distL="114300" distR="114300" simplePos="0" relativeHeight="251724800" behindDoc="1" locked="0" layoutInCell="0" allowOverlap="1" wp14:anchorId="66168BBF" wp14:editId="09FC0CD6">
            <wp:simplePos x="0" y="0"/>
            <wp:positionH relativeFrom="page">
              <wp:posOffset>539750</wp:posOffset>
            </wp:positionH>
            <wp:positionV relativeFrom="page">
              <wp:posOffset>370205</wp:posOffset>
            </wp:positionV>
            <wp:extent cx="2005330" cy="548640"/>
            <wp:effectExtent l="0" t="0" r="0" b="3810"/>
            <wp:wrapNone/>
            <wp:docPr id="65"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55"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17</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004"/>
        <w:rPr>
          <w:rFonts w:ascii="Times New Roman" w:hAnsi="Times New Roman" w:cs="Times New Roman"/>
          <w:sz w:val="24"/>
          <w:szCs w:val="24"/>
        </w:rPr>
      </w:pPr>
      <w:r>
        <w:rPr>
          <w:rFonts w:ascii="Cambria" w:hAnsi="Cambria" w:cs="Cambria"/>
          <w:b/>
          <w:bCs/>
          <w:i/>
          <w:iCs/>
        </w:rPr>
        <w:t>Jednotlivé kategorie způsobilých nákladů</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57"/>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Veškeré jednotlivé typové náklady neuvedené v tomto článku se považují za nezpůsobilé a nemohou být tudíž ani uznané.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57"/>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Způsobilé náklady se vykazují v těchto položkách: </w:t>
      </w:r>
    </w:p>
    <w:p w:rsidR="008A2775" w:rsidRDefault="008A2775" w:rsidP="008A2775">
      <w:pPr>
        <w:widowControl w:val="0"/>
        <w:adjustRightInd w:val="0"/>
        <w:spacing w:line="163" w:lineRule="exact"/>
        <w:rPr>
          <w:rFonts w:ascii="Cambria" w:hAnsi="Cambria" w:cs="Cambria"/>
          <w:b/>
          <w:bCs/>
        </w:rPr>
      </w:pPr>
    </w:p>
    <w:p w:rsidR="008A2775" w:rsidRDefault="008A2775" w:rsidP="008A2775">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osobní náklady,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investice,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náklady na subdodávky,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ostatní přímé náklady a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1"/>
          <w:numId w:val="57"/>
        </w:numPr>
        <w:tabs>
          <w:tab w:val="clear" w:pos="1440"/>
          <w:tab w:val="num" w:pos="664"/>
        </w:tabs>
        <w:overflowPunct w:val="0"/>
        <w:adjustRightInd w:val="0"/>
        <w:ind w:left="664" w:hanging="370"/>
        <w:jc w:val="both"/>
        <w:rPr>
          <w:rFonts w:ascii="Cambria" w:hAnsi="Cambria" w:cs="Cambria"/>
        </w:rPr>
      </w:pPr>
      <w:r>
        <w:rPr>
          <w:rFonts w:ascii="Cambria" w:hAnsi="Cambria" w:cs="Cambria"/>
        </w:rPr>
        <w:t xml:space="preserve">ostatní nepřímé náklady. </w:t>
      </w:r>
    </w:p>
    <w:p w:rsidR="008A2775" w:rsidRDefault="008A2775" w:rsidP="008A2775">
      <w:pPr>
        <w:widowControl w:val="0"/>
        <w:adjustRightInd w:val="0"/>
        <w:spacing w:line="177" w:lineRule="exact"/>
        <w:rPr>
          <w:rFonts w:ascii="Cambria" w:hAnsi="Cambria" w:cs="Cambria"/>
        </w:rPr>
      </w:pPr>
    </w:p>
    <w:p w:rsidR="008A2775" w:rsidRDefault="008A2775" w:rsidP="008A2775">
      <w:pPr>
        <w:widowControl w:val="0"/>
        <w:numPr>
          <w:ilvl w:val="0"/>
          <w:numId w:val="57"/>
        </w:numPr>
        <w:tabs>
          <w:tab w:val="clear" w:pos="720"/>
          <w:tab w:val="num" w:pos="364"/>
        </w:tabs>
        <w:overflowPunct w:val="0"/>
        <w:adjustRightInd w:val="0"/>
        <w:spacing w:line="302" w:lineRule="auto"/>
        <w:ind w:left="364" w:hanging="364"/>
        <w:jc w:val="both"/>
        <w:rPr>
          <w:rFonts w:ascii="Cambria" w:hAnsi="Cambria" w:cs="Cambria"/>
          <w:b/>
          <w:bCs/>
        </w:rPr>
      </w:pPr>
      <w:r>
        <w:rPr>
          <w:rFonts w:ascii="Cambria" w:hAnsi="Cambria" w:cs="Cambria"/>
          <w:b/>
          <w:bCs/>
        </w:rPr>
        <w:t xml:space="preserve">Osobní náklady </w:t>
      </w:r>
      <w:r>
        <w:rPr>
          <w:rFonts w:ascii="Cambria" w:hAnsi="Cambria" w:cs="Cambria"/>
        </w:rPr>
        <w:t>zahrnují náklady na mzdy nebo platy a povinné odvody na pojistné na všeobecné</w:t>
      </w:r>
      <w:r>
        <w:rPr>
          <w:rFonts w:ascii="Cambria" w:hAnsi="Cambria" w:cs="Cambria"/>
          <w:b/>
          <w:bCs/>
        </w:rPr>
        <w:t xml:space="preserve"> </w:t>
      </w:r>
      <w:r>
        <w:rPr>
          <w:rFonts w:ascii="Cambria" w:hAnsi="Cambria" w:cs="Cambria"/>
        </w:rPr>
        <w:t xml:space="preserve">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Pr>
          <w:rFonts w:ascii="Cambria" w:hAnsi="Cambria" w:cs="Cambria"/>
          <w:b/>
          <w:bCs/>
        </w:rPr>
        <w:t>nepřevyšují</w:t>
      </w:r>
      <w:r>
        <w:rPr>
          <w:rFonts w:ascii="Cambria" w:hAnsi="Cambria" w:cs="Cambria"/>
        </w:rPr>
        <w:t xml:space="preserve"> </w:t>
      </w:r>
      <w:r>
        <w:rPr>
          <w:rFonts w:ascii="Cambria" w:hAnsi="Cambria" w:cs="Cambria"/>
          <w:b/>
          <w:bCs/>
        </w:rPr>
        <w:t>maximální roční součet dvou měsíčních platů</w:t>
      </w:r>
      <w:r>
        <w:rPr>
          <w:rFonts w:ascii="Cambria" w:hAnsi="Cambria" w:cs="Cambria"/>
        </w:rPr>
        <w:t>. Mzdy nebo platy, odměny z dohod o pracovní</w:t>
      </w:r>
      <w:r>
        <w:rPr>
          <w:rFonts w:ascii="Cambria" w:hAnsi="Cambria" w:cs="Cambria"/>
          <w:b/>
          <w:bCs/>
        </w:rPr>
        <w:t xml:space="preserve"> </w:t>
      </w:r>
      <w:r>
        <w:rPr>
          <w:rFonts w:ascii="Cambria" w:hAnsi="Cambria" w:cs="Cambria"/>
        </w:rPr>
        <w:t xml:space="preserve">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 samostatnému příjemci náleží odměna za činnost při řešení návrhu projektu, pokud odpovídá hodinové sazbě zaměstnanců s obdobnou kvalifikací či zkušeností (je v místě a čase obvyklá). </w:t>
      </w:r>
    </w:p>
    <w:p w:rsidR="008A2775" w:rsidRDefault="008A2775" w:rsidP="008A2775">
      <w:pPr>
        <w:widowControl w:val="0"/>
        <w:adjustRightInd w:val="0"/>
        <w:spacing w:line="5" w:lineRule="exact"/>
        <w:rPr>
          <w:rFonts w:ascii="Cambria" w:hAnsi="Cambria" w:cs="Cambria"/>
          <w:b/>
          <w:bCs/>
        </w:rPr>
      </w:pPr>
    </w:p>
    <w:p w:rsidR="008A2775" w:rsidRDefault="008A2775" w:rsidP="008A2775">
      <w:pPr>
        <w:widowControl w:val="0"/>
        <w:numPr>
          <w:ilvl w:val="0"/>
          <w:numId w:val="57"/>
        </w:numPr>
        <w:tabs>
          <w:tab w:val="clear" w:pos="720"/>
          <w:tab w:val="num" w:pos="364"/>
        </w:tabs>
        <w:overflowPunct w:val="0"/>
        <w:adjustRightInd w:val="0"/>
        <w:spacing w:line="309" w:lineRule="auto"/>
        <w:ind w:left="364" w:hanging="364"/>
        <w:jc w:val="both"/>
        <w:rPr>
          <w:rFonts w:ascii="Cambria" w:hAnsi="Cambria" w:cs="Cambria"/>
          <w:b/>
          <w:bCs/>
        </w:rPr>
      </w:pPr>
      <w:r>
        <w:rPr>
          <w:rFonts w:ascii="Cambria" w:hAnsi="Cambria" w:cs="Cambria"/>
          <w:b/>
          <w:bCs/>
        </w:rPr>
        <w:t xml:space="preserve">Investice </w:t>
      </w:r>
      <w:r>
        <w:rPr>
          <w:rFonts w:ascii="Cambria" w:hAnsi="Cambria" w:cs="Cambria"/>
        </w:rPr>
        <w:t>zahrnují výdaje na pořízení dlouhodobého hmotného a nehmotného majetku. Za způsobilé</w:t>
      </w:r>
      <w:r>
        <w:rPr>
          <w:rFonts w:ascii="Cambria" w:hAnsi="Cambria" w:cs="Cambria"/>
          <w:b/>
          <w:bCs/>
        </w:rPr>
        <w:t xml:space="preserve"> </w:t>
      </w:r>
      <w:r>
        <w:rPr>
          <w:rFonts w:ascii="Cambria" w:hAnsi="Cambria" w:cs="Cambria"/>
        </w:rPr>
        <w:t xml:space="preserve">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(dle zákona č. 563/1991 Sb., o účetnictví). </w:t>
      </w:r>
    </w:p>
    <w:p w:rsidR="008A2775" w:rsidRDefault="008A2775" w:rsidP="008A2775">
      <w:pPr>
        <w:widowControl w:val="0"/>
        <w:numPr>
          <w:ilvl w:val="0"/>
          <w:numId w:val="57"/>
        </w:numPr>
        <w:tabs>
          <w:tab w:val="clear" w:pos="720"/>
          <w:tab w:val="num" w:pos="364"/>
        </w:tabs>
        <w:overflowPunct w:val="0"/>
        <w:adjustRightInd w:val="0"/>
        <w:spacing w:line="326" w:lineRule="auto"/>
        <w:ind w:left="364" w:hanging="364"/>
        <w:jc w:val="both"/>
        <w:rPr>
          <w:rFonts w:ascii="Cambria" w:hAnsi="Cambria" w:cs="Cambria"/>
          <w:b/>
          <w:bCs/>
          <w:sz w:val="21"/>
          <w:szCs w:val="21"/>
        </w:rPr>
      </w:pPr>
      <w:r>
        <w:rPr>
          <w:rFonts w:ascii="Cambria" w:hAnsi="Cambria" w:cs="Cambria"/>
          <w:b/>
          <w:bCs/>
          <w:sz w:val="21"/>
          <w:szCs w:val="21"/>
        </w:rPr>
        <w:t xml:space="preserve">Náklady na subdodávky </w:t>
      </w:r>
      <w:r>
        <w:rPr>
          <w:rFonts w:ascii="Cambria" w:hAnsi="Cambria" w:cs="Cambria"/>
          <w:sz w:val="21"/>
          <w:szCs w:val="21"/>
        </w:rPr>
        <w:t>představují náklady vzniklé v přímé souvislosti s řešením projektu, tj. přenesení</w:t>
      </w:r>
      <w:r>
        <w:rPr>
          <w:rFonts w:ascii="Cambria" w:hAnsi="Cambria" w:cs="Cambria"/>
          <w:b/>
          <w:bCs/>
          <w:sz w:val="21"/>
          <w:szCs w:val="21"/>
        </w:rPr>
        <w:t xml:space="preserve"> </w:t>
      </w:r>
      <w:r>
        <w:rPr>
          <w:rFonts w:ascii="Cambria" w:hAnsi="Cambria" w:cs="Cambria"/>
          <w:sz w:val="21"/>
          <w:szCs w:val="21"/>
        </w:rPr>
        <w:t xml:space="preserve">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 </w:t>
      </w:r>
    </w:p>
    <w:p w:rsidR="008A2775" w:rsidRDefault="008A2775" w:rsidP="008A2775">
      <w:pPr>
        <w:widowControl w:val="0"/>
        <w:adjustRightInd w:val="0"/>
        <w:spacing w:line="3" w:lineRule="exact"/>
        <w:rPr>
          <w:rFonts w:ascii="Cambria" w:hAnsi="Cambria" w:cs="Cambria"/>
          <w:b/>
          <w:bCs/>
          <w:sz w:val="21"/>
          <w:szCs w:val="21"/>
        </w:rPr>
      </w:pPr>
    </w:p>
    <w:p w:rsidR="008A2775" w:rsidRDefault="008A2775" w:rsidP="008A2775">
      <w:pPr>
        <w:widowControl w:val="0"/>
        <w:numPr>
          <w:ilvl w:val="0"/>
          <w:numId w:val="57"/>
        </w:numPr>
        <w:tabs>
          <w:tab w:val="clear" w:pos="720"/>
          <w:tab w:val="num" w:pos="364"/>
        </w:tabs>
        <w:overflowPunct w:val="0"/>
        <w:adjustRightInd w:val="0"/>
        <w:ind w:left="364" w:hanging="364"/>
        <w:jc w:val="both"/>
        <w:rPr>
          <w:rFonts w:ascii="Cambria" w:hAnsi="Cambria" w:cs="Cambria"/>
          <w:b/>
          <w:bCs/>
        </w:rPr>
      </w:pPr>
      <w:r>
        <w:rPr>
          <w:rFonts w:ascii="Cambria" w:hAnsi="Cambria" w:cs="Cambria"/>
          <w:b/>
          <w:bCs/>
        </w:rPr>
        <w:t xml:space="preserve">Ostatní přímé náklady </w:t>
      </w:r>
      <w:r>
        <w:rPr>
          <w:rFonts w:ascii="Cambria" w:hAnsi="Cambria" w:cs="Cambria"/>
        </w:rPr>
        <w:t>zahrnují</w:t>
      </w:r>
      <w:r>
        <w:rPr>
          <w:rFonts w:ascii="Cambria" w:hAnsi="Cambria" w:cs="Cambria"/>
          <w:b/>
          <w:bCs/>
        </w:rPr>
        <w:t xml:space="preserve">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18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21" w:name="page37"/>
      <w:bookmarkEnd w:id="21"/>
      <w:r>
        <w:rPr>
          <w:noProof/>
          <w:lang w:val="cs-CZ"/>
        </w:rPr>
        <w:lastRenderedPageBreak/>
        <w:drawing>
          <wp:anchor distT="0" distB="0" distL="114300" distR="114300" simplePos="0" relativeHeight="251725824" behindDoc="1" locked="0" layoutInCell="0" allowOverlap="1" wp14:anchorId="3441D85A" wp14:editId="5D15BDD3">
            <wp:simplePos x="0" y="0"/>
            <wp:positionH relativeFrom="page">
              <wp:posOffset>539750</wp:posOffset>
            </wp:positionH>
            <wp:positionV relativeFrom="page">
              <wp:posOffset>370205</wp:posOffset>
            </wp:positionV>
            <wp:extent cx="2005330" cy="548640"/>
            <wp:effectExtent l="0" t="0" r="0" b="3810"/>
            <wp:wrapNone/>
            <wp:docPr id="66"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numPr>
          <w:ilvl w:val="0"/>
          <w:numId w:val="58"/>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náklady na ochranu práv duševního vlastnictví, která jsou výsledkem projektu (zejména související poplatky, překlady, rešerše, náklady na patentového zástupce) a náklady na ochranu již vznesených práv k duševnímu vlastnictví potřebného k řešení projektu,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0"/>
          <w:numId w:val="58"/>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další provozní náklady vzniklé v přímé souvislosti s řešením projektu, kterými jsou materiál, zásoby, služby a drobný hmotný a nehmotný majetek,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58"/>
        </w:numPr>
        <w:tabs>
          <w:tab w:val="clear" w:pos="720"/>
          <w:tab w:val="num" w:pos="664"/>
        </w:tabs>
        <w:overflowPunct w:val="0"/>
        <w:adjustRightInd w:val="0"/>
        <w:spacing w:line="348" w:lineRule="auto"/>
        <w:ind w:left="664" w:hanging="370"/>
        <w:jc w:val="both"/>
        <w:rPr>
          <w:rFonts w:ascii="Cambria" w:hAnsi="Cambria" w:cs="Cambria"/>
        </w:rPr>
      </w:pPr>
      <w:r>
        <w:rPr>
          <w:rFonts w:ascii="Cambria" w:hAnsi="Cambria" w:cs="Cambria"/>
        </w:rPr>
        <w:t xml:space="preserve">náklady na provoz, opravy a údržbu dlouhodobého hmotného a nehmotného majetku využívaného při řešení projektu, a to ve výši odpovídající délce období a podílu předpokládaného užití,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58"/>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část odpisů dlouhodobého hmotného a nehmotného majetku ve výši odpovídající délce období a podílu předpokládaného užití tohoto majetku pro řešení projektu, který nebyl pořízen z veřejných prostředků a není zahrnut do kategorie investice tohoto projektu, </w:t>
      </w:r>
    </w:p>
    <w:p w:rsidR="008A2775" w:rsidRDefault="008A2775" w:rsidP="008A2775">
      <w:pPr>
        <w:widowControl w:val="0"/>
        <w:adjustRightInd w:val="0"/>
        <w:spacing w:line="1" w:lineRule="exact"/>
        <w:rPr>
          <w:rFonts w:ascii="Cambria" w:hAnsi="Cambria" w:cs="Cambria"/>
        </w:rPr>
      </w:pPr>
    </w:p>
    <w:p w:rsidR="008A2775" w:rsidRDefault="008A2775" w:rsidP="008A2775">
      <w:pPr>
        <w:widowControl w:val="0"/>
        <w:numPr>
          <w:ilvl w:val="0"/>
          <w:numId w:val="58"/>
        </w:numPr>
        <w:tabs>
          <w:tab w:val="clear" w:pos="720"/>
          <w:tab w:val="num" w:pos="664"/>
        </w:tabs>
        <w:overflowPunct w:val="0"/>
        <w:adjustRightInd w:val="0"/>
        <w:spacing w:line="315" w:lineRule="auto"/>
        <w:ind w:left="664" w:hanging="370"/>
        <w:jc w:val="both"/>
        <w:rPr>
          <w:rFonts w:ascii="Cambria" w:hAnsi="Cambria" w:cs="Cambria"/>
        </w:rPr>
      </w:pPr>
      <w:r>
        <w:rPr>
          <w:rFonts w:ascii="Cambria" w:hAnsi="Cambria" w:cs="Cambria"/>
        </w:rPr>
        <w:t xml:space="preserve">cestovní náklady vzniklé v přímé souvislosti s řešením projektu (náklady na pracovní pobyty, konferenční poplatky), a s tím spojené cestovní náhrady podle zákona č. 262/2006 Sb., zákoník práce, přičemž musí být prokazatelný přínos cesty pro řešení projektu, tj. zejména je naplněna podmínka aktivní účasti na pracovní cestě, anebo pracovní cesta je již deklarována ve schváleném návrhu projektu, a </w:t>
      </w:r>
    </w:p>
    <w:p w:rsidR="008A2775" w:rsidRDefault="008A2775" w:rsidP="008A2775">
      <w:pPr>
        <w:widowControl w:val="0"/>
        <w:adjustRightInd w:val="0"/>
        <w:spacing w:line="2" w:lineRule="exact"/>
        <w:rPr>
          <w:rFonts w:ascii="Cambria" w:hAnsi="Cambria" w:cs="Cambria"/>
        </w:rPr>
      </w:pPr>
    </w:p>
    <w:p w:rsidR="008A2775" w:rsidRDefault="008A2775" w:rsidP="008A2775">
      <w:pPr>
        <w:widowControl w:val="0"/>
        <w:numPr>
          <w:ilvl w:val="0"/>
          <w:numId w:val="58"/>
        </w:numPr>
        <w:tabs>
          <w:tab w:val="clear" w:pos="720"/>
          <w:tab w:val="num" w:pos="664"/>
        </w:tabs>
        <w:overflowPunct w:val="0"/>
        <w:adjustRightInd w:val="0"/>
        <w:spacing w:line="330" w:lineRule="auto"/>
        <w:ind w:left="664" w:hanging="370"/>
        <w:jc w:val="both"/>
        <w:rPr>
          <w:rFonts w:ascii="Cambria" w:hAnsi="Cambria" w:cs="Cambria"/>
        </w:rPr>
      </w:pPr>
      <w:r>
        <w:rPr>
          <w:rFonts w:ascii="Cambria" w:hAnsi="Cambria" w:cs="Cambria"/>
        </w:rPr>
        <w:t xml:space="preserve">stipendia uvedená v § 91 odst. 2 písm. c) zákona č. 111/1998 Sb., o vysokých školách a o změně a doplnění dalších zákonů (zákon o vysokých školách), resp. jeho poměrnou část, pokud student provádí činnost podle tohoto ustanovení i mimo příslušný projekt. </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330" w:lineRule="auto"/>
        <w:ind w:left="364"/>
        <w:jc w:val="both"/>
        <w:rPr>
          <w:rFonts w:ascii="Times New Roman" w:hAnsi="Times New Roman" w:cs="Times New Roman"/>
          <w:sz w:val="24"/>
          <w:szCs w:val="24"/>
        </w:rPr>
      </w:pPr>
      <w:r>
        <w:rPr>
          <w:rFonts w:ascii="Cambria" w:hAnsi="Cambria" w:cs="Cambria"/>
        </w:rPr>
        <w:t>Za podmínek existence vnitřního předpisu, prokázání prvotními účetními doklady, bez započtení zisku a dodržení všech principů uvedených v této části, lze uznat rovněž plnění mezi organizačními složkami příjemce (tzv. vnitrofaktury).</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321" w:lineRule="auto"/>
        <w:ind w:left="364" w:hanging="360"/>
        <w:jc w:val="both"/>
        <w:rPr>
          <w:rFonts w:ascii="Times New Roman" w:hAnsi="Times New Roman" w:cs="Times New Roman"/>
          <w:sz w:val="24"/>
          <w:szCs w:val="24"/>
        </w:rPr>
      </w:pPr>
      <w:r>
        <w:rPr>
          <w:rFonts w:ascii="Cambria" w:hAnsi="Cambria" w:cs="Cambria"/>
          <w:b/>
          <w:bCs/>
        </w:rPr>
        <w:t xml:space="preserve">7. Nepřímé náklady </w:t>
      </w:r>
      <w:r>
        <w:rPr>
          <w:rFonts w:ascii="Cambria" w:hAnsi="Cambria" w:cs="Cambria"/>
        </w:rPr>
        <w:t>jsou náklady vzniklé v přímé souvislosti s řešením projektu, resp. pouze jejich část</w:t>
      </w:r>
      <w:r>
        <w:rPr>
          <w:rFonts w:ascii="Cambria" w:hAnsi="Cambria" w:cs="Cambria"/>
          <w:b/>
          <w:bCs/>
        </w:rPr>
        <w:t xml:space="preserve"> </w:t>
      </w:r>
      <w:r>
        <w:rPr>
          <w:rFonts w:ascii="Cambria" w:hAnsi="Cambria" w:cs="Cambria"/>
        </w:rPr>
        <w:t>určená podle některé z následujících metod, např. administrativní náklady, nájemné, náklady na pomocný personál a infrastrukturu, energii a služby, pokud již nejsou uvedené v jiných kategoriích. Nepřímé náklady se musí vztahovat k projektu a musí být vykazovány v souladu</w:t>
      </w:r>
    </w:p>
    <w:p w:rsidR="008A2775" w:rsidRDefault="008A2775" w:rsidP="008A2775">
      <w:pPr>
        <w:widowControl w:val="0"/>
        <w:numPr>
          <w:ilvl w:val="0"/>
          <w:numId w:val="59"/>
        </w:numPr>
        <w:tabs>
          <w:tab w:val="clear" w:pos="720"/>
          <w:tab w:val="num" w:pos="664"/>
        </w:tabs>
        <w:overflowPunct w:val="0"/>
        <w:adjustRightInd w:val="0"/>
        <w:spacing w:line="321" w:lineRule="auto"/>
        <w:ind w:left="664" w:hanging="370"/>
        <w:jc w:val="both"/>
        <w:rPr>
          <w:rFonts w:ascii="Cambria" w:hAnsi="Cambria" w:cs="Cambria"/>
        </w:rPr>
      </w:pPr>
      <w:r>
        <w:rPr>
          <w:rFonts w:ascii="Cambria" w:hAnsi="Cambria" w:cs="Cambria"/>
        </w:rPr>
        <w:t xml:space="preserve">s metodou vykazování skutečných nepřímých nákladů, tzv. metodou </w:t>
      </w:r>
      <w:r>
        <w:rPr>
          <w:rFonts w:ascii="Cambria" w:hAnsi="Cambria" w:cs="Cambria"/>
          <w:b/>
          <w:bCs/>
        </w:rPr>
        <w:t>„full cost“</w:t>
      </w:r>
      <w:r>
        <w:rPr>
          <w:rFonts w:ascii="Cambria" w:hAnsi="Cambria" w:cs="Cambria"/>
        </w:rPr>
        <w:t xml:space="preserve">, kdy organizace má již existující systém a vnitřní předpis, na jejichž základě přiřazuje jednotlivé nepřímé náklady danému projektu, takto vykázané nepřímé náklady musí být podloženy patřičnými účetními doklady a výše nepřímých nákladů není limitována, nebo </w:t>
      </w:r>
    </w:p>
    <w:p w:rsidR="008A2775" w:rsidRDefault="008A2775" w:rsidP="008A2775">
      <w:pPr>
        <w:widowControl w:val="0"/>
        <w:numPr>
          <w:ilvl w:val="0"/>
          <w:numId w:val="59"/>
        </w:numPr>
        <w:tabs>
          <w:tab w:val="clear" w:pos="720"/>
          <w:tab w:val="num" w:pos="664"/>
        </w:tabs>
        <w:overflowPunct w:val="0"/>
        <w:adjustRightInd w:val="0"/>
        <w:spacing w:line="356" w:lineRule="auto"/>
        <w:ind w:left="664" w:hanging="370"/>
        <w:jc w:val="both"/>
        <w:rPr>
          <w:rFonts w:ascii="Cambria" w:hAnsi="Cambria" w:cs="Cambria"/>
        </w:rPr>
      </w:pPr>
      <w:r>
        <w:rPr>
          <w:rFonts w:ascii="Cambria" w:hAnsi="Cambria" w:cs="Cambria"/>
        </w:rPr>
        <w:t xml:space="preserve">metodou vykazování nepřímých nákladů na základě pevné sazby, tzv. metodou </w:t>
      </w:r>
      <w:r>
        <w:rPr>
          <w:rFonts w:ascii="Cambria" w:hAnsi="Cambria" w:cs="Cambria"/>
          <w:b/>
          <w:bCs/>
        </w:rPr>
        <w:t>„flat rate“</w:t>
      </w:r>
      <w:r>
        <w:rPr>
          <w:rFonts w:ascii="Cambria" w:hAnsi="Cambria" w:cs="Cambria"/>
        </w:rPr>
        <w:t xml:space="preserve">, do výše 20 % ze součtu skutečně vykázaných osobních nákladů a ostatních přímých nákladů příjemce v příslušném roce, kdy takto vykázané nepřímé náklady se nemusí dokládat patřičnými účetními doklady. </w:t>
      </w:r>
    </w:p>
    <w:p w:rsidR="008A2775" w:rsidRDefault="008A2775" w:rsidP="008A2775">
      <w:pPr>
        <w:widowControl w:val="0"/>
        <w:adjustRightInd w:val="0"/>
        <w:spacing w:line="41"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18</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2344"/>
        <w:rPr>
          <w:rFonts w:ascii="Times New Roman" w:hAnsi="Times New Roman" w:cs="Times New Roman"/>
          <w:sz w:val="24"/>
          <w:szCs w:val="24"/>
        </w:rPr>
      </w:pPr>
      <w:r>
        <w:rPr>
          <w:rFonts w:ascii="Cambria" w:hAnsi="Cambria" w:cs="Cambria"/>
          <w:b/>
          <w:bCs/>
          <w:i/>
          <w:iCs/>
        </w:rPr>
        <w:t>Přesun a změna uznaných nákladů projektu a podpory</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60"/>
        </w:numPr>
        <w:tabs>
          <w:tab w:val="clear" w:pos="720"/>
          <w:tab w:val="num" w:pos="364"/>
        </w:tabs>
        <w:overflowPunct w:val="0"/>
        <w:adjustRightInd w:val="0"/>
        <w:spacing w:line="330" w:lineRule="auto"/>
        <w:ind w:left="364" w:hanging="364"/>
        <w:jc w:val="both"/>
        <w:rPr>
          <w:rFonts w:ascii="Cambria" w:hAnsi="Cambria" w:cs="Cambria"/>
          <w:b/>
          <w:bCs/>
        </w:rPr>
      </w:pPr>
      <w:r>
        <w:rPr>
          <w:rFonts w:ascii="Cambria" w:hAnsi="Cambria" w:cs="Cambria"/>
        </w:rPr>
        <w:t xml:space="preserve">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1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19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22" w:name="page39"/>
      <w:bookmarkEnd w:id="22"/>
      <w:r>
        <w:rPr>
          <w:noProof/>
          <w:lang w:val="cs-CZ"/>
        </w:rPr>
        <w:lastRenderedPageBreak/>
        <w:drawing>
          <wp:anchor distT="0" distB="0" distL="114300" distR="114300" simplePos="0" relativeHeight="251726848" behindDoc="1" locked="0" layoutInCell="0" allowOverlap="1" wp14:anchorId="78F89AC6" wp14:editId="74568DA5">
            <wp:simplePos x="0" y="0"/>
            <wp:positionH relativeFrom="page">
              <wp:posOffset>539750</wp:posOffset>
            </wp:positionH>
            <wp:positionV relativeFrom="page">
              <wp:posOffset>370205</wp:posOffset>
            </wp:positionV>
            <wp:extent cx="2005330" cy="548640"/>
            <wp:effectExtent l="0" t="0" r="0" b="3810"/>
            <wp:wrapNone/>
            <wp:docPr id="67"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71" w:lineRule="exact"/>
        <w:rPr>
          <w:rFonts w:ascii="Times New Roman" w:hAnsi="Times New Roman" w:cs="Times New Roman"/>
          <w:sz w:val="24"/>
          <w:szCs w:val="24"/>
        </w:rPr>
      </w:pPr>
    </w:p>
    <w:p w:rsidR="008A2775" w:rsidRDefault="008A2775" w:rsidP="008A2775">
      <w:pPr>
        <w:widowControl w:val="0"/>
        <w:numPr>
          <w:ilvl w:val="0"/>
          <w:numId w:val="61"/>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SME-07 Změnová řízení projektů stanoví postup smluvních stran v případě žádosti hlavního příjemce o změnu ohledně přesunu nebo změny uznaných nákladů projektu a výše podpory. </w:t>
      </w: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19</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984"/>
        <w:rPr>
          <w:rFonts w:ascii="Times New Roman" w:hAnsi="Times New Roman" w:cs="Times New Roman"/>
          <w:sz w:val="24"/>
          <w:szCs w:val="24"/>
        </w:rPr>
      </w:pPr>
      <w:r>
        <w:rPr>
          <w:rFonts w:ascii="Cambria" w:hAnsi="Cambria" w:cs="Cambria"/>
          <w:b/>
          <w:bCs/>
          <w:i/>
          <w:iCs/>
        </w:rPr>
        <w:t>Kontroly a hodnocení</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62"/>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rFonts w:ascii="Cambria" w:hAnsi="Cambria" w:cs="Cambria"/>
          <w:b/>
          <w:bCs/>
        </w:rPr>
        <w:t>SME-22 Veřejnosprávní finanční kontrola</w:t>
      </w:r>
      <w:r>
        <w:rPr>
          <w:rFonts w:ascii="Times" w:hAnsi="Times" w:cs="Times"/>
        </w:rPr>
        <w:t>.</w:t>
      </w:r>
      <w:r>
        <w:rPr>
          <w:rFonts w:ascii="Cambria" w:hAnsi="Cambria" w:cs="Cambria"/>
        </w:rPr>
        <w:t xml:space="preserve">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62"/>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Poskytovatel je dále oprávněn provádět hodnotící procesy během řešení projektu i po jeho ukončení. Smluvní strany za tímto účelem postupují podle příslušných vnitřních předpisů poskytovatele.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62"/>
        </w:numPr>
        <w:tabs>
          <w:tab w:val="clear" w:pos="720"/>
          <w:tab w:val="num" w:pos="364"/>
        </w:tabs>
        <w:overflowPunct w:val="0"/>
        <w:adjustRightInd w:val="0"/>
        <w:spacing w:line="290" w:lineRule="auto"/>
        <w:ind w:left="364" w:hanging="364"/>
        <w:jc w:val="both"/>
        <w:rPr>
          <w:rFonts w:ascii="Cambria" w:hAnsi="Cambria" w:cs="Cambria"/>
          <w:b/>
          <w:bCs/>
        </w:rPr>
      </w:pPr>
      <w:r>
        <w:rPr>
          <w:rFonts w:ascii="Cambria" w:hAnsi="Cambria" w:cs="Cambria"/>
        </w:rPr>
        <w:t xml:space="preserve">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 republiky.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62"/>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Pokud si tak poskytovatel vyžádá, předloží hlavní příjemce při kontrole či hodnocení výše uvedené doklady i za dalšího účastníka, které si od něj v dostatečném předstihu obstará.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62"/>
        </w:numPr>
        <w:tabs>
          <w:tab w:val="clear" w:pos="720"/>
          <w:tab w:val="num" w:pos="364"/>
        </w:tabs>
        <w:overflowPunct w:val="0"/>
        <w:adjustRightInd w:val="0"/>
        <w:spacing w:line="299" w:lineRule="auto"/>
        <w:ind w:left="364" w:hanging="364"/>
        <w:jc w:val="both"/>
        <w:rPr>
          <w:rFonts w:ascii="Cambria" w:hAnsi="Cambria" w:cs="Cambria"/>
          <w:b/>
          <w:bCs/>
        </w:rPr>
      </w:pPr>
      <w:r>
        <w:rPr>
          <w:rFonts w:ascii="Cambria" w:hAnsi="Cambria" w:cs="Cambria"/>
        </w:rPr>
        <w:t xml:space="preserve">Příjemce bere na vědomí, že v průběhu realizace veřejné zakázky ve výzkumu, vývoji a inovacích může docházet k hodnocení odborným garantem. Hodnocení odborným garantem není považováno za kontrolní ani hodnotící proces, nepodléhá jejich příslušným pravidlům a ani je nijak nenahrazuje. Příjemce se s odborným garantem může dohodnout na místě provedení hodnocení, přičemž platí to, že nemá povinnost hodnocení odborným garantem umožnit. Příjemce zároveň bere na vědomí, že poskytovatel bude po odborném garantovi vyžadovat veškeré dokumenty s jeho hodnocením spojené, včetně ročního plánu, který do 14 dnů po jeho obdržení zašle příjemci na vědomí. </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94" w:lineRule="exact"/>
        <w:rPr>
          <w:rFonts w:ascii="Times New Roman" w:hAnsi="Times New Roman" w:cs="Times New Roman"/>
          <w:sz w:val="24"/>
          <w:szCs w:val="24"/>
        </w:rPr>
      </w:pPr>
    </w:p>
    <w:p w:rsidR="008A2775" w:rsidRDefault="008A2775" w:rsidP="008A2775">
      <w:pPr>
        <w:widowControl w:val="0"/>
        <w:adjustRightInd w:val="0"/>
        <w:ind w:left="2844"/>
        <w:rPr>
          <w:rFonts w:ascii="Times New Roman" w:hAnsi="Times New Roman" w:cs="Times New Roman"/>
          <w:sz w:val="24"/>
          <w:szCs w:val="24"/>
        </w:rPr>
      </w:pPr>
      <w:r>
        <w:rPr>
          <w:rFonts w:ascii="Cambria" w:hAnsi="Cambria" w:cs="Cambria"/>
          <w:b/>
          <w:bCs/>
          <w:sz w:val="28"/>
          <w:szCs w:val="28"/>
        </w:rPr>
        <w:t>ČÁST F – ZÁVĚREČNÁ USTANOVENÍ</w:t>
      </w:r>
    </w:p>
    <w:p w:rsidR="008A2775" w:rsidRDefault="008A2775" w:rsidP="008A2775">
      <w:pPr>
        <w:widowControl w:val="0"/>
        <w:adjustRightInd w:val="0"/>
        <w:spacing w:line="314"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20</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944"/>
        <w:rPr>
          <w:rFonts w:ascii="Times New Roman" w:hAnsi="Times New Roman" w:cs="Times New Roman"/>
          <w:sz w:val="24"/>
          <w:szCs w:val="24"/>
        </w:rPr>
      </w:pPr>
      <w:r>
        <w:rPr>
          <w:rFonts w:ascii="Cambria" w:hAnsi="Cambria" w:cs="Cambria"/>
          <w:b/>
          <w:bCs/>
          <w:i/>
          <w:iCs/>
        </w:rPr>
        <w:t>Spory smluvních stran</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63"/>
        </w:numPr>
        <w:tabs>
          <w:tab w:val="clear" w:pos="720"/>
          <w:tab w:val="num" w:pos="364"/>
        </w:tabs>
        <w:overflowPunct w:val="0"/>
        <w:adjustRightInd w:val="0"/>
        <w:spacing w:line="419" w:lineRule="auto"/>
        <w:ind w:left="364" w:hanging="364"/>
        <w:jc w:val="both"/>
        <w:rPr>
          <w:rFonts w:ascii="Cambria" w:hAnsi="Cambria" w:cs="Cambria"/>
          <w:b/>
          <w:bCs/>
        </w:rPr>
      </w:pPr>
      <w:r>
        <w:rPr>
          <w:rFonts w:ascii="Cambria" w:hAnsi="Cambria" w:cs="Cambria"/>
        </w:rPr>
        <w:t xml:space="preserve">Spory smluvních stran, vznikající z této Smlouvy a v souvislosti s ní, budou rozhodovány příslušným orgánem, resp. soudem. </w:t>
      </w: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21</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4284"/>
        <w:rPr>
          <w:rFonts w:ascii="Times New Roman" w:hAnsi="Times New Roman" w:cs="Times New Roman"/>
          <w:sz w:val="24"/>
          <w:szCs w:val="24"/>
        </w:rPr>
      </w:pPr>
      <w:r>
        <w:rPr>
          <w:rFonts w:ascii="Cambria" w:hAnsi="Cambria" w:cs="Cambria"/>
          <w:b/>
          <w:bCs/>
          <w:i/>
          <w:iCs/>
        </w:rPr>
        <w:t>Změny smlouvy</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64"/>
        </w:numPr>
        <w:tabs>
          <w:tab w:val="clear" w:pos="720"/>
          <w:tab w:val="num" w:pos="364"/>
        </w:tabs>
        <w:overflowPunct w:val="0"/>
        <w:adjustRightInd w:val="0"/>
        <w:spacing w:line="305" w:lineRule="auto"/>
        <w:ind w:left="364" w:hanging="364"/>
        <w:jc w:val="both"/>
        <w:rPr>
          <w:rFonts w:ascii="Cambria" w:hAnsi="Cambria" w:cs="Cambria"/>
          <w:b/>
          <w:bCs/>
        </w:rPr>
      </w:pPr>
      <w:r>
        <w:rPr>
          <w:rFonts w:ascii="Cambria" w:hAnsi="Cambria" w:cs="Cambria"/>
        </w:rPr>
        <w:t xml:space="preserve">Smlouva, včetně jejích příloh, může být doplňována, upravována a měněna pouze písemnými, po sobě číslovanými dodatky ke Smlouvě, podepsanými smluvními stranami, s výjimkou těch případů, které jsou uvedeny ve směrnici </w:t>
      </w:r>
      <w:r>
        <w:rPr>
          <w:rFonts w:ascii="Cambria" w:hAnsi="Cambria" w:cs="Cambria"/>
          <w:b/>
          <w:bCs/>
        </w:rPr>
        <w:t>SME-07 Změnová řízení projektů</w:t>
      </w:r>
      <w:r>
        <w:rPr>
          <w:rFonts w:ascii="Cambria" w:hAnsi="Cambria" w:cs="Cambria"/>
        </w:rPr>
        <w:t xml:space="preserve"> (v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1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20 / 21</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bookmarkStart w:id="23" w:name="page41"/>
      <w:bookmarkEnd w:id="23"/>
      <w:r>
        <w:rPr>
          <w:noProof/>
          <w:lang w:val="cs-CZ"/>
        </w:rPr>
        <w:lastRenderedPageBreak/>
        <w:drawing>
          <wp:anchor distT="0" distB="0" distL="114300" distR="114300" simplePos="0" relativeHeight="251727872" behindDoc="1" locked="0" layoutInCell="0" allowOverlap="1" wp14:anchorId="131BA60F" wp14:editId="26BE384F">
            <wp:simplePos x="0" y="0"/>
            <wp:positionH relativeFrom="page">
              <wp:posOffset>539750</wp:posOffset>
            </wp:positionH>
            <wp:positionV relativeFrom="page">
              <wp:posOffset>370205</wp:posOffset>
            </wp:positionV>
            <wp:extent cx="2005330" cy="548640"/>
            <wp:effectExtent l="0" t="0" r="0" b="3810"/>
            <wp:wrapNone/>
            <wp:docPr id="68"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VŠEOBECNÉ PODMÍNKY</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projektu: TH02030720</w:t>
      </w:r>
    </w:p>
    <w:p w:rsidR="008A2775" w:rsidRDefault="008A2775" w:rsidP="008A2775">
      <w:pPr>
        <w:widowControl w:val="0"/>
        <w:adjustRightInd w:val="0"/>
        <w:spacing w:line="371" w:lineRule="exact"/>
        <w:rPr>
          <w:rFonts w:ascii="Times New Roman" w:hAnsi="Times New Roman" w:cs="Times New Roman"/>
          <w:sz w:val="24"/>
          <w:szCs w:val="24"/>
        </w:rPr>
      </w:pPr>
    </w:p>
    <w:p w:rsidR="008A2775" w:rsidRDefault="008A2775" w:rsidP="008A2775">
      <w:pPr>
        <w:widowControl w:val="0"/>
        <w:numPr>
          <w:ilvl w:val="0"/>
          <w:numId w:val="65"/>
        </w:numPr>
        <w:tabs>
          <w:tab w:val="clear" w:pos="720"/>
          <w:tab w:val="num" w:pos="364"/>
        </w:tabs>
        <w:overflowPunct w:val="0"/>
        <w:adjustRightInd w:val="0"/>
        <w:spacing w:line="295" w:lineRule="auto"/>
        <w:ind w:left="364" w:hanging="364"/>
        <w:jc w:val="both"/>
        <w:rPr>
          <w:rFonts w:ascii="Cambria" w:hAnsi="Cambria" w:cs="Cambria"/>
          <w:b/>
          <w:bCs/>
        </w:rPr>
      </w:pPr>
      <w:r>
        <w:rPr>
          <w:rFonts w:ascii="Cambria" w:hAnsi="Cambria" w:cs="Cambria"/>
        </w:rPr>
        <w:t xml:space="preserve">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 odůvodnění.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65"/>
        </w:numPr>
        <w:tabs>
          <w:tab w:val="clear" w:pos="720"/>
          <w:tab w:val="num" w:pos="364"/>
        </w:tabs>
        <w:overflowPunct w:val="0"/>
        <w:adjustRightInd w:val="0"/>
        <w:spacing w:line="362" w:lineRule="auto"/>
        <w:ind w:left="364" w:hanging="364"/>
        <w:jc w:val="both"/>
        <w:rPr>
          <w:rFonts w:ascii="Cambria" w:hAnsi="Cambria" w:cs="Cambria"/>
          <w:b/>
          <w:bCs/>
        </w:rPr>
      </w:pPr>
      <w:r>
        <w:rPr>
          <w:rFonts w:ascii="Cambria" w:hAnsi="Cambria" w:cs="Cambria"/>
        </w:rPr>
        <w:t xml:space="preserve">Předchozí odstavec dopadá i na případy, kdy dojde ke vzniku výsledků, které nejsou uvedeny jako deklarované v Závazných parametrech řešení projektu, nicméně vznikají během řešení projektu za účelem dosažení těchto deklarovaných výsledků. </w:t>
      </w:r>
    </w:p>
    <w:p w:rsidR="008A2775" w:rsidRDefault="008A2775" w:rsidP="008A2775">
      <w:pPr>
        <w:widowControl w:val="0"/>
        <w:adjustRightInd w:val="0"/>
        <w:spacing w:line="22" w:lineRule="exact"/>
        <w:rPr>
          <w:rFonts w:ascii="Times New Roman" w:hAnsi="Times New Roman" w:cs="Times New Roman"/>
          <w:sz w:val="24"/>
          <w:szCs w:val="24"/>
        </w:rPr>
      </w:pPr>
    </w:p>
    <w:p w:rsidR="008A2775" w:rsidRDefault="008A2775" w:rsidP="008A2775">
      <w:pPr>
        <w:widowControl w:val="0"/>
        <w:adjustRightInd w:val="0"/>
        <w:ind w:left="4544"/>
        <w:rPr>
          <w:rFonts w:ascii="Times New Roman" w:hAnsi="Times New Roman" w:cs="Times New Roman"/>
          <w:sz w:val="24"/>
          <w:szCs w:val="24"/>
        </w:rPr>
      </w:pPr>
      <w:r>
        <w:rPr>
          <w:rFonts w:ascii="Cambria" w:hAnsi="Cambria" w:cs="Cambria"/>
          <w:b/>
          <w:bCs/>
          <w:i/>
          <w:iCs/>
        </w:rPr>
        <w:t>Článek 22</w:t>
      </w:r>
    </w:p>
    <w:p w:rsidR="008A2775" w:rsidRDefault="008A2775" w:rsidP="008A2775">
      <w:pPr>
        <w:widowControl w:val="0"/>
        <w:adjustRightInd w:val="0"/>
        <w:spacing w:line="270" w:lineRule="exact"/>
        <w:rPr>
          <w:rFonts w:ascii="Times New Roman" w:hAnsi="Times New Roman" w:cs="Times New Roman"/>
          <w:sz w:val="24"/>
          <w:szCs w:val="24"/>
        </w:rPr>
      </w:pPr>
    </w:p>
    <w:p w:rsidR="008A2775" w:rsidRDefault="008A2775" w:rsidP="008A2775">
      <w:pPr>
        <w:widowControl w:val="0"/>
        <w:adjustRightInd w:val="0"/>
        <w:ind w:left="3684"/>
        <w:rPr>
          <w:rFonts w:ascii="Times New Roman" w:hAnsi="Times New Roman" w:cs="Times New Roman"/>
          <w:sz w:val="24"/>
          <w:szCs w:val="24"/>
        </w:rPr>
      </w:pPr>
      <w:r>
        <w:rPr>
          <w:rFonts w:ascii="Cambria" w:hAnsi="Cambria" w:cs="Cambria"/>
          <w:b/>
          <w:bCs/>
          <w:i/>
          <w:iCs/>
        </w:rPr>
        <w:t>Ukončení platnosti Smlouvy</w:t>
      </w:r>
    </w:p>
    <w:p w:rsidR="008A2775" w:rsidRDefault="008A2775" w:rsidP="008A2775">
      <w:pPr>
        <w:widowControl w:val="0"/>
        <w:adjustRightInd w:val="0"/>
        <w:spacing w:line="65" w:lineRule="exact"/>
        <w:rPr>
          <w:rFonts w:ascii="Times New Roman" w:hAnsi="Times New Roman" w:cs="Times New Roman"/>
          <w:sz w:val="24"/>
          <w:szCs w:val="24"/>
        </w:rPr>
      </w:pPr>
    </w:p>
    <w:p w:rsidR="008A2775" w:rsidRDefault="008A2775" w:rsidP="008A2775">
      <w:pPr>
        <w:widowControl w:val="0"/>
        <w:numPr>
          <w:ilvl w:val="0"/>
          <w:numId w:val="66"/>
        </w:numPr>
        <w:tabs>
          <w:tab w:val="clear" w:pos="720"/>
          <w:tab w:val="num" w:pos="364"/>
        </w:tabs>
        <w:overflowPunct w:val="0"/>
        <w:adjustRightInd w:val="0"/>
        <w:spacing w:line="323" w:lineRule="auto"/>
        <w:ind w:left="364" w:hanging="364"/>
        <w:jc w:val="both"/>
        <w:rPr>
          <w:rFonts w:ascii="Cambria" w:hAnsi="Cambria" w:cs="Cambria"/>
          <w:b/>
          <w:bCs/>
        </w:rPr>
      </w:pPr>
      <w:r>
        <w:rPr>
          <w:rFonts w:ascii="Cambria" w:hAnsi="Cambria" w:cs="Cambria"/>
        </w:rPr>
        <w:t xml:space="preserve">Platnost Smlouvy je ukončena po 3 letech ode dne ukončení řešení projektu, pokud se smluvní strany nedohodnou na jejím prodloužení. </w:t>
      </w:r>
    </w:p>
    <w:p w:rsidR="008A2775" w:rsidRDefault="008A2775" w:rsidP="008A2775">
      <w:pPr>
        <w:widowControl w:val="0"/>
        <w:adjustRightInd w:val="0"/>
        <w:spacing w:line="1" w:lineRule="exact"/>
        <w:rPr>
          <w:rFonts w:ascii="Cambria" w:hAnsi="Cambria" w:cs="Cambria"/>
          <w:b/>
          <w:bCs/>
        </w:rPr>
      </w:pPr>
    </w:p>
    <w:p w:rsidR="008A2775" w:rsidRDefault="008A2775" w:rsidP="008A2775">
      <w:pPr>
        <w:widowControl w:val="0"/>
        <w:numPr>
          <w:ilvl w:val="0"/>
          <w:numId w:val="66"/>
        </w:numPr>
        <w:tabs>
          <w:tab w:val="clear" w:pos="720"/>
          <w:tab w:val="num" w:pos="364"/>
        </w:tabs>
        <w:overflowPunct w:val="0"/>
        <w:adjustRightInd w:val="0"/>
        <w:ind w:left="364" w:hanging="364"/>
        <w:jc w:val="both"/>
        <w:rPr>
          <w:rFonts w:ascii="Cambria" w:hAnsi="Cambria" w:cs="Cambria"/>
          <w:b/>
          <w:bCs/>
        </w:rPr>
      </w:pPr>
      <w:r>
        <w:rPr>
          <w:rFonts w:ascii="Cambria" w:hAnsi="Cambria" w:cs="Cambria"/>
        </w:rPr>
        <w:t xml:space="preserve">Platnost Smlouvy je ukončena rovněž výpovědí nebo odstoupením. </w:t>
      </w:r>
    </w:p>
    <w:p w:rsidR="008A2775" w:rsidRDefault="008A2775" w:rsidP="008A2775">
      <w:pPr>
        <w:widowControl w:val="0"/>
        <w:adjustRightInd w:val="0"/>
        <w:spacing w:line="150" w:lineRule="exact"/>
        <w:rPr>
          <w:rFonts w:ascii="Cambria" w:hAnsi="Cambria" w:cs="Cambria"/>
          <w:b/>
          <w:bCs/>
        </w:rPr>
      </w:pPr>
    </w:p>
    <w:p w:rsidR="008A2775" w:rsidRDefault="008A2775" w:rsidP="008A2775">
      <w:pPr>
        <w:widowControl w:val="0"/>
        <w:numPr>
          <w:ilvl w:val="0"/>
          <w:numId w:val="66"/>
        </w:numPr>
        <w:tabs>
          <w:tab w:val="clear" w:pos="720"/>
          <w:tab w:val="num" w:pos="364"/>
        </w:tabs>
        <w:overflowPunct w:val="0"/>
        <w:adjustRightInd w:val="0"/>
        <w:spacing w:line="315" w:lineRule="auto"/>
        <w:ind w:left="364" w:hanging="364"/>
        <w:jc w:val="both"/>
        <w:rPr>
          <w:rFonts w:ascii="Cambria" w:hAnsi="Cambria" w:cs="Cambria"/>
          <w:b/>
          <w:bCs/>
        </w:rPr>
      </w:pPr>
      <w:r>
        <w:rPr>
          <w:rFonts w:ascii="Cambria" w:hAnsi="Cambria" w:cs="Cambria"/>
        </w:rPr>
        <w:t xml:space="preserve">Doba platnosti Smlouvy zahrnuje dobu řešení projektu a následující období potřebné pro vyhodnocení výsledků řešení projektu, včetně vypořádání poskytnuté podpory podle rozpočtových pravidel, které není delší než 180 dnů ode dne ukončení řešení projektu. Doba platnosti smlouvy však nezahrnuje dobu řešení projektu, která předchází podpisu obou smluvních stran. Článek 16 odst. 4 není zněním tohoto odstavce dotčen.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916" w:header="720" w:footer="720" w:gutter="0"/>
          <w:cols w:space="720" w:equalWidth="0">
            <w:col w:w="10144"/>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7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F-211, verze: 3</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21 / 21</w:t>
            </w:r>
          </w:p>
        </w:tc>
      </w:tr>
    </w:tbl>
    <w:p w:rsidR="008A2775" w:rsidRDefault="008A2775" w:rsidP="008A2775">
      <w:pPr>
        <w:widowControl w:val="0"/>
        <w:adjustRightInd w:val="0"/>
        <w:rPr>
          <w:rFonts w:ascii="Times New Roman" w:hAnsi="Times New Roman" w:cs="Times New Roman"/>
          <w:sz w:val="24"/>
          <w:szCs w:val="24"/>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7D0BD6">
      <w:pPr>
        <w:jc w:val="both"/>
        <w:rPr>
          <w:rFonts w:ascii="Times New Roman" w:hAnsi="Times New Roman" w:cs="Times New Roman"/>
          <w:lang w:val="cs-CZ"/>
        </w:r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drawing>
          <wp:anchor distT="0" distB="0" distL="114300" distR="114300" simplePos="0" relativeHeight="251729920" behindDoc="1" locked="0" layoutInCell="0" allowOverlap="1" wp14:anchorId="5F9E5419" wp14:editId="580D36B2">
            <wp:simplePos x="0" y="0"/>
            <wp:positionH relativeFrom="page">
              <wp:posOffset>539750</wp:posOffset>
            </wp:positionH>
            <wp:positionV relativeFrom="page">
              <wp:posOffset>370205</wp:posOffset>
            </wp:positionV>
            <wp:extent cx="2005330" cy="548640"/>
            <wp:effectExtent l="0" t="0" r="0" b="3810"/>
            <wp:wrapNone/>
            <wp:docPr id="6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95" w:lineRule="exact"/>
        <w:rPr>
          <w:rFonts w:ascii="Times New Roman" w:hAnsi="Times New Roman" w:cs="Times New Roman"/>
          <w:sz w:val="24"/>
          <w:szCs w:val="24"/>
        </w:rPr>
      </w:pPr>
    </w:p>
    <w:p w:rsidR="008A2775" w:rsidRDefault="008A2775" w:rsidP="008A2775">
      <w:pPr>
        <w:widowControl w:val="0"/>
        <w:adjustRightInd w:val="0"/>
        <w:ind w:left="2570"/>
        <w:rPr>
          <w:rFonts w:ascii="Times New Roman" w:hAnsi="Times New Roman" w:cs="Times New Roman"/>
          <w:sz w:val="24"/>
          <w:szCs w:val="24"/>
        </w:rPr>
      </w:pPr>
      <w:r>
        <w:rPr>
          <w:rFonts w:ascii="Cambria" w:hAnsi="Cambria" w:cs="Cambria"/>
          <w:b/>
          <w:bCs/>
          <w:sz w:val="36"/>
          <w:szCs w:val="36"/>
        </w:rPr>
        <w:t>Smlouva o poskytnutí podpory</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90" w:lineRule="exact"/>
        <w:rPr>
          <w:rFonts w:ascii="Times New Roman" w:hAnsi="Times New Roman" w:cs="Times New Roman"/>
          <w:sz w:val="24"/>
          <w:szCs w:val="24"/>
        </w:rPr>
      </w:pPr>
    </w:p>
    <w:p w:rsidR="008A2775" w:rsidRDefault="008A2775" w:rsidP="008A2775">
      <w:pPr>
        <w:widowControl w:val="0"/>
        <w:adjustRightInd w:val="0"/>
        <w:ind w:left="10"/>
        <w:rPr>
          <w:rFonts w:ascii="Times New Roman" w:hAnsi="Times New Roman" w:cs="Times New Roman"/>
          <w:sz w:val="24"/>
          <w:szCs w:val="24"/>
        </w:rPr>
      </w:pPr>
      <w:r>
        <w:rPr>
          <w:rFonts w:ascii="Cambria" w:hAnsi="Cambria" w:cs="Cambria"/>
        </w:rPr>
        <w:t>Smluvní strany:</w:t>
      </w:r>
    </w:p>
    <w:p w:rsidR="008A2775" w:rsidRDefault="008A2775" w:rsidP="008A2775">
      <w:pPr>
        <w:widowControl w:val="0"/>
        <w:adjustRightInd w:val="0"/>
        <w:spacing w:line="218" w:lineRule="exact"/>
        <w:rPr>
          <w:rFonts w:ascii="Times New Roman" w:hAnsi="Times New Roman" w:cs="Times New Roman"/>
          <w:sz w:val="24"/>
          <w:szCs w:val="24"/>
        </w:rPr>
      </w:pPr>
    </w:p>
    <w:p w:rsidR="008A2775" w:rsidRDefault="008A2775" w:rsidP="008A2775">
      <w:pPr>
        <w:widowControl w:val="0"/>
        <w:overflowPunct w:val="0"/>
        <w:adjustRightInd w:val="0"/>
        <w:spacing w:line="233" w:lineRule="auto"/>
        <w:ind w:left="10" w:right="4280"/>
        <w:rPr>
          <w:rFonts w:ascii="Times New Roman" w:hAnsi="Times New Roman" w:cs="Times New Roman"/>
          <w:sz w:val="24"/>
          <w:szCs w:val="24"/>
        </w:rPr>
      </w:pPr>
      <w:r>
        <w:rPr>
          <w:rFonts w:ascii="Cambria" w:hAnsi="Cambria" w:cs="Cambria"/>
          <w:b/>
          <w:bCs/>
        </w:rPr>
        <w:t xml:space="preserve">Česká republika – Technologická agentura České republiky </w:t>
      </w:r>
      <w:r>
        <w:rPr>
          <w:rFonts w:ascii="Cambria" w:hAnsi="Cambria" w:cs="Cambria"/>
        </w:rPr>
        <w:t xml:space="preserve">se sídlem </w:t>
      </w:r>
      <w:r>
        <w:rPr>
          <w:rFonts w:ascii="Cambria" w:hAnsi="Cambria" w:cs="Cambria"/>
          <w:b/>
          <w:bCs/>
        </w:rPr>
        <w:t>Evropská 1692/37, 160 00 Praha 6</w:t>
      </w:r>
    </w:p>
    <w:p w:rsidR="008A2775" w:rsidRDefault="008A2775" w:rsidP="008A2775">
      <w:pPr>
        <w:widowControl w:val="0"/>
        <w:adjustRightInd w:val="0"/>
        <w:spacing w:line="211" w:lineRule="auto"/>
        <w:ind w:left="10"/>
        <w:rPr>
          <w:rFonts w:ascii="Times New Roman" w:hAnsi="Times New Roman" w:cs="Times New Roman"/>
          <w:sz w:val="24"/>
          <w:szCs w:val="24"/>
        </w:rPr>
      </w:pPr>
      <w:r>
        <w:rPr>
          <w:rFonts w:ascii="Cambria" w:hAnsi="Cambria" w:cs="Cambria"/>
        </w:rPr>
        <w:t xml:space="preserve">IČ: </w:t>
      </w:r>
      <w:r>
        <w:rPr>
          <w:rFonts w:ascii="Cambria" w:hAnsi="Cambria" w:cs="Cambria"/>
          <w:b/>
          <w:bCs/>
        </w:rPr>
        <w:t>72050365</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adjustRightInd w:val="0"/>
        <w:ind w:left="10"/>
        <w:rPr>
          <w:rFonts w:ascii="Times New Roman" w:hAnsi="Times New Roman" w:cs="Times New Roman"/>
          <w:sz w:val="24"/>
          <w:szCs w:val="24"/>
        </w:rPr>
      </w:pPr>
      <w:r>
        <w:rPr>
          <w:rFonts w:ascii="Cambria" w:hAnsi="Cambria" w:cs="Cambria"/>
        </w:rPr>
        <w:t xml:space="preserve">zastoupená </w:t>
      </w:r>
      <w:r>
        <w:rPr>
          <w:rFonts w:ascii="Cambria" w:hAnsi="Cambria" w:cs="Cambria"/>
          <w:b/>
          <w:bCs/>
        </w:rPr>
        <w:t>xxx</w:t>
      </w:r>
    </w:p>
    <w:p w:rsidR="008A2775" w:rsidRDefault="008A2775" w:rsidP="008A2775">
      <w:pPr>
        <w:widowControl w:val="0"/>
        <w:adjustRightInd w:val="0"/>
        <w:spacing w:line="13" w:lineRule="exact"/>
        <w:rPr>
          <w:rFonts w:ascii="Times New Roman" w:hAnsi="Times New Roman" w:cs="Times New Roman"/>
          <w:sz w:val="24"/>
          <w:szCs w:val="24"/>
        </w:rPr>
      </w:pPr>
    </w:p>
    <w:p w:rsidR="008A2775" w:rsidRDefault="008A2775" w:rsidP="008A2775">
      <w:pPr>
        <w:widowControl w:val="0"/>
        <w:overflowPunct w:val="0"/>
        <w:adjustRightInd w:val="0"/>
        <w:spacing w:line="373" w:lineRule="auto"/>
        <w:ind w:left="10" w:right="3960"/>
        <w:rPr>
          <w:rFonts w:ascii="Cambria" w:hAnsi="Cambria" w:cs="Cambria"/>
          <w:b/>
          <w:bCs/>
        </w:rPr>
      </w:pPr>
      <w:r>
        <w:rPr>
          <w:rFonts w:ascii="Cambria" w:hAnsi="Cambria" w:cs="Cambria"/>
        </w:rPr>
        <w:t xml:space="preserve">bankovní spojení: </w:t>
      </w:r>
      <w:r>
        <w:rPr>
          <w:rFonts w:ascii="Cambria" w:hAnsi="Cambria" w:cs="Cambria"/>
          <w:b/>
          <w:bCs/>
        </w:rPr>
        <w:t>xxx</w:t>
      </w:r>
    </w:p>
    <w:p w:rsidR="008A2775" w:rsidRDefault="008A2775" w:rsidP="008A2775">
      <w:pPr>
        <w:widowControl w:val="0"/>
        <w:overflowPunct w:val="0"/>
        <w:adjustRightInd w:val="0"/>
        <w:spacing w:line="373" w:lineRule="auto"/>
        <w:ind w:left="10" w:right="3960"/>
        <w:rPr>
          <w:rFonts w:ascii="Times New Roman" w:hAnsi="Times New Roman" w:cs="Times New Roman"/>
          <w:sz w:val="24"/>
          <w:szCs w:val="24"/>
        </w:rPr>
      </w:pPr>
      <w:r>
        <w:rPr>
          <w:rFonts w:ascii="Cambria" w:hAnsi="Cambria" w:cs="Cambria"/>
          <w:b/>
          <w:bCs/>
        </w:rPr>
        <w:t xml:space="preserve"> </w:t>
      </w:r>
      <w:r>
        <w:rPr>
          <w:rFonts w:ascii="Cambria" w:hAnsi="Cambria" w:cs="Cambria"/>
        </w:rPr>
        <w:t xml:space="preserve">běžný výdajový účet: </w:t>
      </w:r>
      <w:r>
        <w:rPr>
          <w:rFonts w:ascii="Cambria" w:hAnsi="Cambria" w:cs="Cambria"/>
          <w:b/>
          <w:bCs/>
        </w:rPr>
        <w:t>xxx</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506" w:lineRule="auto"/>
        <w:ind w:left="10" w:right="6400"/>
        <w:rPr>
          <w:rFonts w:ascii="Times New Roman" w:hAnsi="Times New Roman" w:cs="Times New Roman"/>
          <w:sz w:val="24"/>
          <w:szCs w:val="24"/>
        </w:rPr>
      </w:pPr>
      <w:r>
        <w:rPr>
          <w:rFonts w:ascii="Cambria" w:hAnsi="Cambria" w:cs="Cambria"/>
        </w:rPr>
        <w:t>(dále jen „poskytovatel“) na straně jedné a</w:t>
      </w:r>
    </w:p>
    <w:p w:rsidR="008A2775" w:rsidRDefault="008A2775" w:rsidP="008A2775">
      <w:pPr>
        <w:widowControl w:val="0"/>
        <w:adjustRightInd w:val="0"/>
        <w:spacing w:line="234" w:lineRule="auto"/>
        <w:ind w:left="10"/>
        <w:rPr>
          <w:rFonts w:ascii="Times New Roman" w:hAnsi="Times New Roman" w:cs="Times New Roman"/>
          <w:sz w:val="24"/>
          <w:szCs w:val="24"/>
        </w:rPr>
      </w:pPr>
      <w:r>
        <w:rPr>
          <w:rFonts w:ascii="Cambria" w:hAnsi="Cambria" w:cs="Cambria"/>
          <w:b/>
          <w:bCs/>
        </w:rPr>
        <w:t>Technická univerzita v Liberci - Ústav pro nanomateriály, pokročilé technologie a inovace</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223" w:lineRule="auto"/>
        <w:ind w:left="10" w:right="760"/>
        <w:rPr>
          <w:rFonts w:ascii="Times New Roman" w:hAnsi="Times New Roman" w:cs="Times New Roman"/>
          <w:sz w:val="24"/>
          <w:szCs w:val="24"/>
        </w:rPr>
      </w:pPr>
      <w:r>
        <w:rPr>
          <w:rFonts w:ascii="Cambria" w:hAnsi="Cambria" w:cs="Cambria"/>
          <w:b/>
          <w:bCs/>
        </w:rPr>
        <w:t>VVS - Veřejná nebo státní vysoká škola (zákon č. 111/1998 Sb., o vysokých školách a o změně a doplnění dalších zákonů</w:t>
      </w:r>
    </w:p>
    <w:p w:rsidR="008A2775" w:rsidRDefault="008A2775" w:rsidP="008A2775">
      <w:pPr>
        <w:widowControl w:val="0"/>
        <w:adjustRightInd w:val="0"/>
        <w:spacing w:line="235" w:lineRule="auto"/>
        <w:ind w:left="10"/>
        <w:rPr>
          <w:rFonts w:ascii="Times New Roman" w:hAnsi="Times New Roman" w:cs="Times New Roman"/>
          <w:sz w:val="24"/>
          <w:szCs w:val="24"/>
        </w:rPr>
      </w:pPr>
      <w:r>
        <w:rPr>
          <w:rFonts w:ascii="Cambria" w:hAnsi="Cambria" w:cs="Cambria"/>
        </w:rPr>
        <w:t xml:space="preserve">se sídlem </w:t>
      </w:r>
      <w:r>
        <w:rPr>
          <w:rFonts w:ascii="Cambria" w:hAnsi="Cambria" w:cs="Cambria"/>
          <w:b/>
          <w:bCs/>
        </w:rPr>
        <w:t>Studentská 1402/2, 46001 Liberec</w:t>
      </w:r>
    </w:p>
    <w:p w:rsidR="008A2775" w:rsidRDefault="008A2775" w:rsidP="008A2775">
      <w:pPr>
        <w:widowControl w:val="0"/>
        <w:overflowPunct w:val="0"/>
        <w:adjustRightInd w:val="0"/>
        <w:spacing w:line="213" w:lineRule="auto"/>
        <w:ind w:left="10" w:right="6560"/>
        <w:rPr>
          <w:rFonts w:ascii="Times New Roman" w:hAnsi="Times New Roman" w:cs="Times New Roman"/>
          <w:sz w:val="24"/>
          <w:szCs w:val="24"/>
        </w:rPr>
      </w:pPr>
      <w:r>
        <w:rPr>
          <w:rFonts w:ascii="Cambria" w:hAnsi="Cambria" w:cs="Cambria"/>
          <w:sz w:val="21"/>
          <w:szCs w:val="21"/>
        </w:rPr>
        <w:t xml:space="preserve">IČ: </w:t>
      </w:r>
      <w:r>
        <w:rPr>
          <w:rFonts w:ascii="Cambria" w:hAnsi="Cambria" w:cs="Cambria"/>
          <w:b/>
          <w:bCs/>
          <w:sz w:val="21"/>
          <w:szCs w:val="21"/>
        </w:rPr>
        <w:t>46747885</w:t>
      </w:r>
      <w:r>
        <w:rPr>
          <w:rFonts w:ascii="Cambria" w:hAnsi="Cambria" w:cs="Cambria"/>
          <w:sz w:val="21"/>
          <w:szCs w:val="21"/>
        </w:rPr>
        <w:t xml:space="preserve">, DIČ: </w:t>
      </w:r>
      <w:r>
        <w:rPr>
          <w:rFonts w:ascii="Cambria" w:hAnsi="Cambria" w:cs="Cambria"/>
          <w:b/>
          <w:bCs/>
          <w:sz w:val="21"/>
          <w:szCs w:val="21"/>
        </w:rPr>
        <w:t>CZ46747885</w:t>
      </w:r>
      <w:r>
        <w:rPr>
          <w:rFonts w:ascii="Cambria" w:hAnsi="Cambria" w:cs="Cambria"/>
          <w:sz w:val="21"/>
          <w:szCs w:val="21"/>
        </w:rPr>
        <w:t xml:space="preserve"> zastoupená: </w:t>
      </w:r>
      <w:r>
        <w:rPr>
          <w:rFonts w:ascii="Cambria" w:hAnsi="Cambria" w:cs="Cambria"/>
          <w:b/>
          <w:bCs/>
          <w:sz w:val="21"/>
          <w:szCs w:val="21"/>
        </w:rPr>
        <w:t>xxx</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overflowPunct w:val="0"/>
        <w:adjustRightInd w:val="0"/>
        <w:spacing w:line="354" w:lineRule="auto"/>
        <w:ind w:left="10" w:right="3960"/>
        <w:rPr>
          <w:rFonts w:ascii="Cambria" w:hAnsi="Cambria" w:cs="Cambria"/>
          <w:b/>
          <w:bCs/>
        </w:rPr>
      </w:pPr>
      <w:r>
        <w:rPr>
          <w:rFonts w:ascii="Cambria" w:hAnsi="Cambria" w:cs="Cambria"/>
        </w:rPr>
        <w:t xml:space="preserve">bankovní spojení: </w:t>
      </w:r>
      <w:r>
        <w:rPr>
          <w:rFonts w:ascii="Cambria" w:hAnsi="Cambria" w:cs="Cambria"/>
          <w:b/>
          <w:bCs/>
        </w:rPr>
        <w:t>xxx</w:t>
      </w:r>
    </w:p>
    <w:p w:rsidR="008A2775" w:rsidRDefault="008A2775" w:rsidP="008A2775">
      <w:pPr>
        <w:widowControl w:val="0"/>
        <w:overflowPunct w:val="0"/>
        <w:adjustRightInd w:val="0"/>
        <w:spacing w:line="354" w:lineRule="auto"/>
        <w:ind w:right="3960"/>
        <w:rPr>
          <w:rFonts w:ascii="Times New Roman" w:hAnsi="Times New Roman" w:cs="Times New Roman"/>
          <w:sz w:val="24"/>
          <w:szCs w:val="24"/>
        </w:rPr>
      </w:pPr>
      <w:r>
        <w:rPr>
          <w:rFonts w:ascii="Cambria" w:hAnsi="Cambria" w:cs="Cambria"/>
        </w:rPr>
        <w:t xml:space="preserve">číslo účtu: </w:t>
      </w:r>
      <w:r>
        <w:rPr>
          <w:rFonts w:ascii="Cambria" w:hAnsi="Cambria" w:cs="Cambria"/>
          <w:b/>
          <w:bCs/>
        </w:rPr>
        <w:t>xxx</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overflowPunct w:val="0"/>
        <w:adjustRightInd w:val="0"/>
        <w:spacing w:line="569" w:lineRule="auto"/>
        <w:ind w:left="10" w:right="5660"/>
        <w:rPr>
          <w:rFonts w:ascii="Times New Roman" w:hAnsi="Times New Roman" w:cs="Times New Roman"/>
          <w:sz w:val="24"/>
          <w:szCs w:val="24"/>
        </w:rPr>
      </w:pPr>
      <w:r>
        <w:rPr>
          <w:rFonts w:ascii="Cambria" w:hAnsi="Cambria" w:cs="Cambria"/>
          <w:sz w:val="21"/>
          <w:szCs w:val="21"/>
        </w:rPr>
        <w:t>(dále jen „hlavní příjemce“) na straně druhé uzavřely níže uvedeného dne, měsíce a roku tuto</w:t>
      </w:r>
    </w:p>
    <w:p w:rsidR="008A2775" w:rsidRDefault="008A2775" w:rsidP="008A2775">
      <w:pPr>
        <w:widowControl w:val="0"/>
        <w:adjustRightInd w:val="0"/>
        <w:spacing w:line="182" w:lineRule="auto"/>
        <w:ind w:left="3550"/>
        <w:rPr>
          <w:rFonts w:ascii="Times New Roman" w:hAnsi="Times New Roman" w:cs="Times New Roman"/>
          <w:sz w:val="24"/>
          <w:szCs w:val="24"/>
        </w:rPr>
      </w:pPr>
      <w:r>
        <w:rPr>
          <w:rFonts w:ascii="Cambria" w:hAnsi="Cambria" w:cs="Cambria"/>
          <w:b/>
          <w:bCs/>
          <w:sz w:val="21"/>
          <w:szCs w:val="21"/>
        </w:rPr>
        <w:t>Smlouvu o poskytnutí podpory</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adjustRightInd w:val="0"/>
        <w:ind w:left="4150"/>
        <w:rPr>
          <w:rFonts w:ascii="Times New Roman" w:hAnsi="Times New Roman" w:cs="Times New Roman"/>
          <w:sz w:val="24"/>
          <w:szCs w:val="24"/>
        </w:rPr>
      </w:pPr>
      <w:r>
        <w:rPr>
          <w:rFonts w:ascii="Cambria" w:hAnsi="Cambria" w:cs="Cambria"/>
        </w:rPr>
        <w:t>(dále jen „Smlouva“)</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67" w:lineRule="exact"/>
        <w:rPr>
          <w:rFonts w:ascii="Times New Roman" w:hAnsi="Times New Roman" w:cs="Times New Roman"/>
          <w:sz w:val="24"/>
          <w:szCs w:val="24"/>
        </w:rPr>
      </w:pPr>
    </w:p>
    <w:p w:rsidR="008A2775" w:rsidRDefault="008A2775" w:rsidP="008A2775">
      <w:pPr>
        <w:widowControl w:val="0"/>
        <w:adjustRightInd w:val="0"/>
        <w:ind w:left="4550"/>
        <w:rPr>
          <w:rFonts w:ascii="Times New Roman" w:hAnsi="Times New Roman" w:cs="Times New Roman"/>
          <w:sz w:val="24"/>
          <w:szCs w:val="24"/>
        </w:rPr>
      </w:pPr>
      <w:r>
        <w:rPr>
          <w:rFonts w:ascii="Cambria" w:hAnsi="Cambria" w:cs="Cambria"/>
          <w:b/>
          <w:bCs/>
        </w:rPr>
        <w:t>Preambule</w:t>
      </w:r>
    </w:p>
    <w:p w:rsidR="008A2775" w:rsidRDefault="008A2775" w:rsidP="008A2775">
      <w:pPr>
        <w:widowControl w:val="0"/>
        <w:adjustRightInd w:val="0"/>
        <w:spacing w:line="79" w:lineRule="exact"/>
        <w:rPr>
          <w:rFonts w:ascii="Times New Roman" w:hAnsi="Times New Roman" w:cs="Times New Roman"/>
          <w:sz w:val="24"/>
          <w:szCs w:val="24"/>
        </w:rPr>
      </w:pPr>
    </w:p>
    <w:p w:rsidR="008A2775" w:rsidRDefault="008A2775" w:rsidP="008A2775">
      <w:pPr>
        <w:widowControl w:val="0"/>
        <w:overflowPunct w:val="0"/>
        <w:adjustRightInd w:val="0"/>
        <w:spacing w:line="324" w:lineRule="auto"/>
        <w:ind w:left="10"/>
        <w:jc w:val="both"/>
        <w:rPr>
          <w:rFonts w:ascii="Times New Roman" w:hAnsi="Times New Roman" w:cs="Times New Roman"/>
          <w:sz w:val="24"/>
          <w:szCs w:val="24"/>
        </w:rPr>
      </w:pPr>
      <w:r>
        <w:rPr>
          <w:rFonts w:ascii="Cambria" w:hAnsi="Cambria" w:cs="Cambria"/>
        </w:rPr>
        <w:t xml:space="preserve">Hlavním příjemcem podaný návrh projektu č. </w:t>
      </w:r>
      <w:r>
        <w:rPr>
          <w:rFonts w:ascii="Cambria" w:hAnsi="Cambria" w:cs="Cambria"/>
          <w:b/>
          <w:bCs/>
        </w:rPr>
        <w:t>TH02030720</w:t>
      </w:r>
      <w:r>
        <w:rPr>
          <w:rFonts w:ascii="Cambria" w:hAnsi="Cambria" w:cs="Cambria"/>
        </w:rPr>
        <w:t xml:space="preserve"> s názvem Membránové čištění odpadních vod v potravinářském průmyslu byl poskytovatelem přijat 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 podmínkách.</w:t>
      </w:r>
    </w:p>
    <w:p w:rsidR="008A2775" w:rsidRDefault="008A2775" w:rsidP="008A2775">
      <w:pPr>
        <w:widowControl w:val="0"/>
        <w:adjustRightInd w:val="0"/>
        <w:spacing w:line="213" w:lineRule="exact"/>
        <w:rPr>
          <w:rFonts w:ascii="Times New Roman" w:hAnsi="Times New Roman" w:cs="Times New Roman"/>
          <w:sz w:val="24"/>
          <w:szCs w:val="24"/>
        </w:rPr>
      </w:pPr>
    </w:p>
    <w:p w:rsidR="008A2775" w:rsidRDefault="008A2775" w:rsidP="008A2775">
      <w:pPr>
        <w:widowControl w:val="0"/>
        <w:adjustRightInd w:val="0"/>
        <w:ind w:left="4670"/>
        <w:rPr>
          <w:rFonts w:ascii="Times New Roman" w:hAnsi="Times New Roman" w:cs="Times New Roman"/>
          <w:sz w:val="24"/>
          <w:szCs w:val="24"/>
        </w:rPr>
      </w:pPr>
      <w:r>
        <w:rPr>
          <w:rFonts w:ascii="Cambria" w:hAnsi="Cambria" w:cs="Cambria"/>
          <w:b/>
          <w:bCs/>
        </w:rPr>
        <w:t>Článek 1</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17" w:lineRule="exact"/>
        <w:rPr>
          <w:rFonts w:ascii="Times New Roman" w:hAnsi="Times New Roman" w:cs="Times New Roman"/>
          <w:sz w:val="24"/>
          <w:szCs w:val="24"/>
        </w:rPr>
      </w:pPr>
    </w:p>
    <w:p w:rsidR="008A2775" w:rsidRDefault="008A2775" w:rsidP="008A2775">
      <w:pPr>
        <w:widowControl w:val="0"/>
        <w:adjustRightInd w:val="0"/>
        <w:ind w:left="4210"/>
        <w:rPr>
          <w:rFonts w:ascii="Times New Roman" w:hAnsi="Times New Roman" w:cs="Times New Roman"/>
          <w:sz w:val="24"/>
          <w:szCs w:val="24"/>
        </w:rPr>
      </w:pPr>
      <w:r>
        <w:rPr>
          <w:rFonts w:ascii="Cambria" w:hAnsi="Cambria" w:cs="Cambria"/>
          <w:b/>
          <w:bCs/>
        </w:rPr>
        <w:t>Předmět smlouvy</w:t>
      </w:r>
    </w:p>
    <w:p w:rsidR="008A2775" w:rsidRDefault="008A2775" w:rsidP="008A2775">
      <w:pPr>
        <w:widowControl w:val="0"/>
        <w:adjustRightInd w:val="0"/>
        <w:spacing w:line="92" w:lineRule="exact"/>
        <w:rPr>
          <w:rFonts w:ascii="Times New Roman" w:hAnsi="Times New Roman" w:cs="Times New Roman"/>
          <w:sz w:val="24"/>
          <w:szCs w:val="24"/>
        </w:rPr>
      </w:pPr>
    </w:p>
    <w:p w:rsidR="008A2775" w:rsidRDefault="008A2775" w:rsidP="008A2775">
      <w:pPr>
        <w:widowControl w:val="0"/>
        <w:numPr>
          <w:ilvl w:val="0"/>
          <w:numId w:val="15"/>
        </w:numPr>
        <w:tabs>
          <w:tab w:val="clear" w:pos="720"/>
          <w:tab w:val="num" w:pos="430"/>
        </w:tabs>
        <w:overflowPunct w:val="0"/>
        <w:adjustRightInd w:val="0"/>
        <w:spacing w:line="467" w:lineRule="auto"/>
        <w:ind w:left="430" w:hanging="430"/>
        <w:jc w:val="both"/>
        <w:rPr>
          <w:rFonts w:ascii="Cambria" w:hAnsi="Cambria" w:cs="Cambria"/>
          <w:b/>
          <w:bCs/>
        </w:rPr>
      </w:pPr>
      <w:r>
        <w:rPr>
          <w:rFonts w:ascii="Cambria" w:hAnsi="Cambria" w:cs="Cambria"/>
        </w:rPr>
        <w:t xml:space="preserve">Předmětem Smlouvy je závazek poskytovatele poskytnout hlavnímu příjemci finanční podporu formou dotace za účelem jejího využití na dosažení deklarovaných výsledků a cílů projektu a současně závazek </w:t>
      </w:r>
    </w:p>
    <w:p w:rsidR="008A2775" w:rsidRDefault="008A2775" w:rsidP="008A2775">
      <w:pPr>
        <w:widowControl w:val="0"/>
        <w:adjustRightInd w:val="0"/>
        <w:rPr>
          <w:rFonts w:ascii="Times New Roman" w:hAnsi="Times New Roman" w:cs="Times New Roman"/>
          <w:sz w:val="24"/>
          <w:szCs w:val="24"/>
        </w:rPr>
        <w:sectPr w:rsidR="008A2775">
          <w:pgSz w:w="11900" w:h="16882"/>
          <w:pgMar w:top="723" w:right="840" w:bottom="0" w:left="850" w:header="720" w:footer="720" w:gutter="0"/>
          <w:cols w:space="720" w:equalWidth="0">
            <w:col w:w="10210"/>
          </w:cols>
          <w:noEndnote/>
        </w:sectPr>
      </w:pPr>
    </w:p>
    <w:p w:rsidR="008A2775" w:rsidRDefault="008A2775" w:rsidP="008A2775">
      <w:pPr>
        <w:widowControl w:val="0"/>
        <w:adjustRightInd w:val="0"/>
        <w:spacing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1 / 4</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0" w:h="16882"/>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30944" behindDoc="1" locked="0" layoutInCell="0" allowOverlap="1" wp14:anchorId="3C6E5CEF" wp14:editId="70F01264">
            <wp:simplePos x="0" y="0"/>
            <wp:positionH relativeFrom="page">
              <wp:posOffset>539750</wp:posOffset>
            </wp:positionH>
            <wp:positionV relativeFrom="page">
              <wp:posOffset>370205</wp:posOffset>
            </wp:positionV>
            <wp:extent cx="2005330" cy="548640"/>
            <wp:effectExtent l="0" t="0" r="0" b="3810"/>
            <wp:wrapNone/>
            <wp:docPr id="7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2016TH02030720</w:t>
      </w:r>
    </w:p>
    <w:p w:rsidR="008A2775" w:rsidRDefault="008A2775" w:rsidP="008A2775">
      <w:pPr>
        <w:widowControl w:val="0"/>
        <w:adjustRightInd w:val="0"/>
        <w:spacing w:line="384" w:lineRule="exact"/>
        <w:rPr>
          <w:rFonts w:ascii="Times New Roman" w:hAnsi="Times New Roman" w:cs="Times New Roman"/>
          <w:sz w:val="24"/>
          <w:szCs w:val="24"/>
        </w:rPr>
      </w:pPr>
    </w:p>
    <w:p w:rsidR="008A2775" w:rsidRDefault="008A2775" w:rsidP="008A2775">
      <w:pPr>
        <w:widowControl w:val="0"/>
        <w:overflowPunct w:val="0"/>
        <w:adjustRightInd w:val="0"/>
        <w:spacing w:line="348" w:lineRule="auto"/>
        <w:ind w:left="430"/>
        <w:rPr>
          <w:rFonts w:ascii="Times New Roman" w:hAnsi="Times New Roman" w:cs="Times New Roman"/>
          <w:sz w:val="24"/>
          <w:szCs w:val="24"/>
        </w:rPr>
      </w:pPr>
      <w:r>
        <w:rPr>
          <w:rFonts w:ascii="Cambria" w:hAnsi="Cambria" w:cs="Cambria"/>
        </w:rPr>
        <w:t>hlavního příjemce použít tuto podporu a řešit projekt v souladu s pravidly poskytnutí podpory a přílohou Závazné parametry řešení projektu.</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numPr>
          <w:ilvl w:val="0"/>
          <w:numId w:val="16"/>
        </w:numPr>
        <w:tabs>
          <w:tab w:val="clear" w:pos="720"/>
          <w:tab w:val="num" w:pos="430"/>
        </w:tabs>
        <w:overflowPunct w:val="0"/>
        <w:adjustRightInd w:val="0"/>
        <w:spacing w:line="482" w:lineRule="auto"/>
        <w:ind w:left="430" w:hanging="430"/>
        <w:jc w:val="both"/>
        <w:rPr>
          <w:rFonts w:ascii="Cambria" w:hAnsi="Cambria" w:cs="Cambria"/>
          <w:b/>
          <w:bCs/>
        </w:rPr>
      </w:pPr>
      <w:r>
        <w:rPr>
          <w:rFonts w:ascii="Cambria" w:hAnsi="Cambria" w:cs="Cambria"/>
        </w:rPr>
        <w:t xml:space="preserve">Účelem podpory je dosažení stanovených cílů projektu, tj. cílů uvedených v příloze Závazné parametry řešení projektu. </w:t>
      </w:r>
    </w:p>
    <w:p w:rsidR="008A2775" w:rsidRDefault="008A2775" w:rsidP="008A2775">
      <w:pPr>
        <w:widowControl w:val="0"/>
        <w:adjustRightInd w:val="0"/>
        <w:spacing w:line="39" w:lineRule="exact"/>
        <w:rPr>
          <w:rFonts w:ascii="Times New Roman" w:hAnsi="Times New Roman" w:cs="Times New Roman"/>
          <w:sz w:val="24"/>
          <w:szCs w:val="24"/>
        </w:rPr>
      </w:pPr>
    </w:p>
    <w:p w:rsidR="008A2775" w:rsidRDefault="008A2775" w:rsidP="008A2775">
      <w:pPr>
        <w:widowControl w:val="0"/>
        <w:adjustRightInd w:val="0"/>
        <w:ind w:left="4670"/>
        <w:rPr>
          <w:rFonts w:ascii="Times New Roman" w:hAnsi="Times New Roman" w:cs="Times New Roman"/>
          <w:sz w:val="24"/>
          <w:szCs w:val="24"/>
        </w:rPr>
      </w:pPr>
      <w:r>
        <w:rPr>
          <w:rFonts w:ascii="Cambria" w:hAnsi="Cambria" w:cs="Cambria"/>
          <w:b/>
          <w:bCs/>
        </w:rPr>
        <w:t>Článek 2</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17" w:lineRule="exact"/>
        <w:rPr>
          <w:rFonts w:ascii="Times New Roman" w:hAnsi="Times New Roman" w:cs="Times New Roman"/>
          <w:sz w:val="24"/>
          <w:szCs w:val="24"/>
        </w:rPr>
      </w:pPr>
    </w:p>
    <w:p w:rsidR="008A2775" w:rsidRDefault="008A2775" w:rsidP="008A2775">
      <w:pPr>
        <w:widowControl w:val="0"/>
        <w:adjustRightInd w:val="0"/>
        <w:ind w:left="2790"/>
        <w:rPr>
          <w:rFonts w:ascii="Times New Roman" w:hAnsi="Times New Roman" w:cs="Times New Roman"/>
          <w:sz w:val="24"/>
          <w:szCs w:val="24"/>
        </w:rPr>
      </w:pPr>
      <w:r>
        <w:rPr>
          <w:rFonts w:ascii="Cambria" w:hAnsi="Cambria" w:cs="Cambria"/>
          <w:b/>
          <w:bCs/>
        </w:rPr>
        <w:t>Výše poskytnuté podpory a uznaných nákladů</w:t>
      </w:r>
    </w:p>
    <w:p w:rsidR="008A2775" w:rsidRDefault="008A2775" w:rsidP="008A2775">
      <w:pPr>
        <w:widowControl w:val="0"/>
        <w:adjustRightInd w:val="0"/>
        <w:spacing w:line="70" w:lineRule="exact"/>
        <w:rPr>
          <w:rFonts w:ascii="Times New Roman" w:hAnsi="Times New Roman" w:cs="Times New Roman"/>
          <w:sz w:val="24"/>
          <w:szCs w:val="24"/>
        </w:rPr>
      </w:pPr>
    </w:p>
    <w:p w:rsidR="008A2775" w:rsidRDefault="008A2775" w:rsidP="008A2775">
      <w:pPr>
        <w:widowControl w:val="0"/>
        <w:numPr>
          <w:ilvl w:val="0"/>
          <w:numId w:val="17"/>
        </w:numPr>
        <w:tabs>
          <w:tab w:val="clear" w:pos="720"/>
          <w:tab w:val="num" w:pos="430"/>
        </w:tabs>
        <w:overflowPunct w:val="0"/>
        <w:adjustRightInd w:val="0"/>
        <w:spacing w:line="322" w:lineRule="auto"/>
        <w:ind w:left="430" w:right="420" w:hanging="430"/>
        <w:jc w:val="both"/>
        <w:rPr>
          <w:rFonts w:ascii="Cambria" w:hAnsi="Cambria" w:cs="Cambria"/>
          <w:b/>
          <w:bCs/>
          <w:sz w:val="21"/>
          <w:szCs w:val="21"/>
        </w:rPr>
      </w:pPr>
      <w:r>
        <w:rPr>
          <w:rFonts w:ascii="Cambria" w:hAnsi="Cambria" w:cs="Cambria"/>
          <w:sz w:val="21"/>
          <w:szCs w:val="21"/>
        </w:rPr>
        <w:t xml:space="preserve">Maximální výše podpory činí 7 233 426 Kč (slovy: sedmmilionůdvěstětřicettřitisícčtyřistadvacetšest korun českých), což je 79.80 % z maximální výše uznaných nákladů. </w:t>
      </w:r>
    </w:p>
    <w:p w:rsidR="008A2775" w:rsidRDefault="008A2775" w:rsidP="008A2775">
      <w:pPr>
        <w:widowControl w:val="0"/>
        <w:adjustRightInd w:val="0"/>
        <w:spacing w:line="1" w:lineRule="exact"/>
        <w:rPr>
          <w:rFonts w:ascii="Cambria" w:hAnsi="Cambria" w:cs="Cambria"/>
          <w:b/>
          <w:bCs/>
          <w:sz w:val="21"/>
          <w:szCs w:val="21"/>
        </w:rPr>
      </w:pPr>
    </w:p>
    <w:p w:rsidR="008A2775" w:rsidRDefault="008A2775" w:rsidP="008A2775">
      <w:pPr>
        <w:widowControl w:val="0"/>
        <w:numPr>
          <w:ilvl w:val="0"/>
          <w:numId w:val="17"/>
        </w:numPr>
        <w:tabs>
          <w:tab w:val="clear" w:pos="720"/>
          <w:tab w:val="num" w:pos="430"/>
        </w:tabs>
        <w:overflowPunct w:val="0"/>
        <w:adjustRightInd w:val="0"/>
        <w:spacing w:line="441" w:lineRule="auto"/>
        <w:ind w:left="430" w:hanging="430"/>
        <w:jc w:val="both"/>
        <w:rPr>
          <w:rFonts w:ascii="Cambria" w:hAnsi="Cambria" w:cs="Cambria"/>
          <w:b/>
          <w:bCs/>
        </w:rPr>
      </w:pPr>
      <w:r>
        <w:rPr>
          <w:rFonts w:ascii="Cambria" w:hAnsi="Cambria" w:cs="Cambria"/>
        </w:rPr>
        <w:t xml:space="preserve">Maximální výše uznaných nákladů projektu je stanovena ve výši 9 064 112 Kč (slovy: devětmilionůšedesát čtyřitisícstodvanáct korun českých). </w:t>
      </w:r>
    </w:p>
    <w:p w:rsidR="008A2775" w:rsidRDefault="008A2775" w:rsidP="008A2775">
      <w:pPr>
        <w:widowControl w:val="0"/>
        <w:adjustRightInd w:val="0"/>
        <w:spacing w:line="61" w:lineRule="exact"/>
        <w:rPr>
          <w:rFonts w:ascii="Times New Roman" w:hAnsi="Times New Roman" w:cs="Times New Roman"/>
          <w:sz w:val="24"/>
          <w:szCs w:val="24"/>
        </w:rPr>
      </w:pPr>
    </w:p>
    <w:p w:rsidR="008A2775" w:rsidRDefault="008A2775" w:rsidP="008A2775">
      <w:pPr>
        <w:widowControl w:val="0"/>
        <w:adjustRightInd w:val="0"/>
        <w:ind w:left="4670"/>
        <w:rPr>
          <w:rFonts w:ascii="Times New Roman" w:hAnsi="Times New Roman" w:cs="Times New Roman"/>
          <w:sz w:val="24"/>
          <w:szCs w:val="24"/>
        </w:rPr>
      </w:pPr>
      <w:r>
        <w:rPr>
          <w:rFonts w:ascii="Cambria" w:hAnsi="Cambria" w:cs="Cambria"/>
          <w:b/>
          <w:bCs/>
        </w:rPr>
        <w:t>Článek 3</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17" w:lineRule="exact"/>
        <w:rPr>
          <w:rFonts w:ascii="Times New Roman" w:hAnsi="Times New Roman" w:cs="Times New Roman"/>
          <w:sz w:val="24"/>
          <w:szCs w:val="24"/>
        </w:rPr>
      </w:pPr>
    </w:p>
    <w:p w:rsidR="008A2775" w:rsidRDefault="008A2775" w:rsidP="008A2775">
      <w:pPr>
        <w:widowControl w:val="0"/>
        <w:adjustRightInd w:val="0"/>
        <w:ind w:left="3970"/>
        <w:rPr>
          <w:rFonts w:ascii="Times New Roman" w:hAnsi="Times New Roman" w:cs="Times New Roman"/>
          <w:sz w:val="24"/>
          <w:szCs w:val="24"/>
        </w:rPr>
      </w:pPr>
      <w:r>
        <w:rPr>
          <w:rFonts w:ascii="Cambria" w:hAnsi="Cambria" w:cs="Cambria"/>
          <w:b/>
          <w:bCs/>
        </w:rPr>
        <w:t>Související dokumenty</w:t>
      </w:r>
    </w:p>
    <w:p w:rsidR="008A2775" w:rsidRDefault="008A2775" w:rsidP="008A2775">
      <w:pPr>
        <w:widowControl w:val="0"/>
        <w:adjustRightInd w:val="0"/>
        <w:spacing w:line="92" w:lineRule="exact"/>
        <w:rPr>
          <w:rFonts w:ascii="Times New Roman" w:hAnsi="Times New Roman" w:cs="Times New Roman"/>
          <w:sz w:val="24"/>
          <w:szCs w:val="24"/>
        </w:rPr>
      </w:pPr>
    </w:p>
    <w:p w:rsidR="008A2775" w:rsidRDefault="008A2775" w:rsidP="008A2775">
      <w:pPr>
        <w:widowControl w:val="0"/>
        <w:numPr>
          <w:ilvl w:val="0"/>
          <w:numId w:val="18"/>
        </w:numPr>
        <w:tabs>
          <w:tab w:val="clear" w:pos="720"/>
          <w:tab w:val="num" w:pos="430"/>
        </w:tabs>
        <w:overflowPunct w:val="0"/>
        <w:adjustRightInd w:val="0"/>
        <w:spacing w:line="304" w:lineRule="auto"/>
        <w:ind w:left="430" w:hanging="430"/>
        <w:jc w:val="both"/>
        <w:rPr>
          <w:rFonts w:ascii="Cambria" w:hAnsi="Cambria" w:cs="Cambria"/>
          <w:b/>
          <w:bCs/>
        </w:rPr>
      </w:pPr>
      <w:r>
        <w:rPr>
          <w:rFonts w:ascii="Cambria" w:hAnsi="Cambria" w:cs="Cambria"/>
        </w:rPr>
        <w:t xml:space="preserve">Nedílnou součástí Smlouvy je příloha </w:t>
      </w:r>
      <w:r>
        <w:rPr>
          <w:rFonts w:ascii="Cambria" w:hAnsi="Cambria" w:cs="Cambria"/>
          <w:b/>
          <w:bCs/>
        </w:rPr>
        <w:t>Závazné parametry řešení projektu</w:t>
      </w:r>
      <w:r>
        <w:rPr>
          <w:rFonts w:ascii="Cambria" w:hAnsi="Cambria" w:cs="Cambria"/>
        </w:rPr>
        <w:t xml:space="preserve">,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 projektu. </w:t>
      </w:r>
    </w:p>
    <w:p w:rsidR="008A2775" w:rsidRDefault="008A2775" w:rsidP="008A2775">
      <w:pPr>
        <w:widowControl w:val="0"/>
        <w:adjustRightInd w:val="0"/>
        <w:spacing w:line="3" w:lineRule="exact"/>
        <w:rPr>
          <w:rFonts w:ascii="Cambria" w:hAnsi="Cambria" w:cs="Cambria"/>
          <w:b/>
          <w:bCs/>
        </w:rPr>
      </w:pPr>
    </w:p>
    <w:p w:rsidR="008A2775" w:rsidRDefault="008A2775" w:rsidP="008A2775">
      <w:pPr>
        <w:widowControl w:val="0"/>
        <w:numPr>
          <w:ilvl w:val="0"/>
          <w:numId w:val="18"/>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Další podmínky poskytnutí podpory a řešení projektu jsou uvedeny ve Všeobecných podmínkách (verze 3), které jsou dostupné na webových stránkách poskytovatele.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18"/>
        </w:numPr>
        <w:tabs>
          <w:tab w:val="clear" w:pos="720"/>
          <w:tab w:val="num" w:pos="430"/>
        </w:tabs>
        <w:overflowPunct w:val="0"/>
        <w:adjustRightInd w:val="0"/>
        <w:spacing w:line="387" w:lineRule="auto"/>
        <w:ind w:left="430" w:hanging="430"/>
        <w:jc w:val="both"/>
        <w:rPr>
          <w:rFonts w:ascii="Cambria" w:hAnsi="Cambria" w:cs="Cambria"/>
          <w:b/>
          <w:bCs/>
        </w:rPr>
      </w:pPr>
      <w:r>
        <w:rPr>
          <w:rFonts w:ascii="Cambria" w:hAnsi="Cambria" w:cs="Cambria"/>
        </w:rPr>
        <w:t xml:space="preserve">Obsahuje-li Smlouva úpravu odlišnou od Všeobecných podmínek či Závazných parametrů řešení projektu, použijí se přednostně ustanovení Smlouvy, dále ustanovení Všeobecných podmínek a dále Závazných parametrů řešení projektu. </w:t>
      </w:r>
    </w:p>
    <w:p w:rsidR="008A2775" w:rsidRDefault="008A2775" w:rsidP="008A2775">
      <w:pPr>
        <w:widowControl w:val="0"/>
        <w:adjustRightInd w:val="0"/>
        <w:spacing w:line="142" w:lineRule="exact"/>
        <w:rPr>
          <w:rFonts w:ascii="Times New Roman" w:hAnsi="Times New Roman" w:cs="Times New Roman"/>
          <w:sz w:val="24"/>
          <w:szCs w:val="24"/>
        </w:rPr>
      </w:pPr>
    </w:p>
    <w:p w:rsidR="008A2775" w:rsidRDefault="008A2775" w:rsidP="008A2775">
      <w:pPr>
        <w:widowControl w:val="0"/>
        <w:adjustRightInd w:val="0"/>
        <w:ind w:left="4670"/>
        <w:rPr>
          <w:rFonts w:ascii="Times New Roman" w:hAnsi="Times New Roman" w:cs="Times New Roman"/>
          <w:sz w:val="24"/>
          <w:szCs w:val="24"/>
        </w:rPr>
      </w:pPr>
      <w:r>
        <w:rPr>
          <w:rFonts w:ascii="Cambria" w:hAnsi="Cambria" w:cs="Cambria"/>
          <w:b/>
          <w:bCs/>
        </w:rPr>
        <w:t>Článek 4</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17" w:lineRule="exact"/>
        <w:rPr>
          <w:rFonts w:ascii="Times New Roman" w:hAnsi="Times New Roman" w:cs="Times New Roman"/>
          <w:sz w:val="24"/>
          <w:szCs w:val="24"/>
        </w:rPr>
      </w:pPr>
    </w:p>
    <w:p w:rsidR="008A2775" w:rsidRDefault="008A2775" w:rsidP="008A2775">
      <w:pPr>
        <w:widowControl w:val="0"/>
        <w:adjustRightInd w:val="0"/>
        <w:ind w:left="4050"/>
        <w:rPr>
          <w:rFonts w:ascii="Times New Roman" w:hAnsi="Times New Roman" w:cs="Times New Roman"/>
          <w:sz w:val="24"/>
          <w:szCs w:val="24"/>
        </w:rPr>
      </w:pPr>
      <w:r>
        <w:rPr>
          <w:rFonts w:ascii="Cambria" w:hAnsi="Cambria" w:cs="Cambria"/>
          <w:b/>
          <w:bCs/>
        </w:rPr>
        <w:t>Specifické podmínky</w:t>
      </w:r>
    </w:p>
    <w:p w:rsidR="008A2775" w:rsidRDefault="008A2775" w:rsidP="008A2775">
      <w:pPr>
        <w:widowControl w:val="0"/>
        <w:adjustRightInd w:val="0"/>
        <w:spacing w:line="10" w:lineRule="exact"/>
        <w:rPr>
          <w:rFonts w:ascii="Times New Roman" w:hAnsi="Times New Roman" w:cs="Times New Roman"/>
          <w:sz w:val="24"/>
          <w:szCs w:val="24"/>
        </w:rPr>
      </w:pPr>
    </w:p>
    <w:p w:rsidR="008A2775" w:rsidRDefault="008A2775" w:rsidP="008A2775">
      <w:pPr>
        <w:widowControl w:val="0"/>
        <w:numPr>
          <w:ilvl w:val="0"/>
          <w:numId w:val="67"/>
        </w:numPr>
        <w:tabs>
          <w:tab w:val="clear" w:pos="720"/>
          <w:tab w:val="num" w:pos="430"/>
        </w:tabs>
        <w:overflowPunct w:val="0"/>
        <w:adjustRightInd w:val="0"/>
        <w:spacing w:line="280" w:lineRule="auto"/>
        <w:ind w:left="430" w:hanging="430"/>
        <w:jc w:val="both"/>
        <w:rPr>
          <w:rFonts w:ascii="Cambria" w:hAnsi="Cambria" w:cs="Cambria"/>
          <w:b/>
          <w:bCs/>
        </w:rPr>
      </w:pPr>
      <w:r>
        <w:rPr>
          <w:rFonts w:ascii="Cambria" w:hAnsi="Cambria" w:cs="Cambria"/>
        </w:rPr>
        <w:t xml:space="preserve">Účelem tohoto článku je stanovit další podmínky, které jsou specifické pro výše uvedenou veřejnou soutěž, a to nad rámec Všeobecných podmínek. </w:t>
      </w:r>
    </w:p>
    <w:p w:rsidR="008A2775" w:rsidRDefault="008A2775" w:rsidP="008A2775">
      <w:pPr>
        <w:widowControl w:val="0"/>
        <w:numPr>
          <w:ilvl w:val="0"/>
          <w:numId w:val="67"/>
        </w:numPr>
        <w:tabs>
          <w:tab w:val="clear" w:pos="720"/>
          <w:tab w:val="num" w:pos="430"/>
        </w:tabs>
        <w:overflowPunct w:val="0"/>
        <w:adjustRightInd w:val="0"/>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na základě jejíchž výsledků se Smlouva uzavírá, se článek 17 odst. </w:t>
      </w:r>
    </w:p>
    <w:p w:rsidR="008A2775" w:rsidRDefault="008A2775" w:rsidP="008A2775">
      <w:pPr>
        <w:widowControl w:val="0"/>
        <w:adjustRightInd w:val="0"/>
        <w:spacing w:line="24" w:lineRule="exact"/>
        <w:rPr>
          <w:rFonts w:ascii="Cambria" w:hAnsi="Cambria" w:cs="Cambria"/>
          <w:b/>
          <w:bCs/>
          <w:sz w:val="21"/>
          <w:szCs w:val="21"/>
        </w:rPr>
      </w:pPr>
    </w:p>
    <w:p w:rsidR="008A2775" w:rsidRDefault="008A2775" w:rsidP="008A2775">
      <w:pPr>
        <w:widowControl w:val="0"/>
        <w:numPr>
          <w:ilvl w:val="1"/>
          <w:numId w:val="67"/>
        </w:numPr>
        <w:tabs>
          <w:tab w:val="clear" w:pos="1440"/>
          <w:tab w:val="num" w:pos="590"/>
        </w:tabs>
        <w:overflowPunct w:val="0"/>
        <w:adjustRightInd w:val="0"/>
        <w:ind w:left="590" w:hanging="165"/>
        <w:jc w:val="both"/>
        <w:rPr>
          <w:rFonts w:ascii="Cambria" w:hAnsi="Cambria" w:cs="Cambria"/>
        </w:rPr>
      </w:pPr>
      <w:r>
        <w:rPr>
          <w:rFonts w:ascii="Cambria" w:hAnsi="Cambria" w:cs="Cambria"/>
        </w:rPr>
        <w:t xml:space="preserve">písm. b) Všeobecných podmínek neuplatňuje, tedy z poskytnuté podpory není možné hradit investice. </w:t>
      </w:r>
    </w:p>
    <w:p w:rsidR="008A2775" w:rsidRDefault="008A2775" w:rsidP="008A2775">
      <w:pPr>
        <w:widowControl w:val="0"/>
        <w:adjustRightInd w:val="0"/>
        <w:spacing w:line="73" w:lineRule="exact"/>
        <w:rPr>
          <w:rFonts w:ascii="Cambria" w:hAnsi="Cambria" w:cs="Cambria"/>
        </w:rPr>
      </w:pPr>
    </w:p>
    <w:p w:rsidR="008A2775" w:rsidRDefault="008A2775" w:rsidP="008A2775">
      <w:pPr>
        <w:widowControl w:val="0"/>
        <w:numPr>
          <w:ilvl w:val="0"/>
          <w:numId w:val="67"/>
        </w:numPr>
        <w:tabs>
          <w:tab w:val="clear" w:pos="720"/>
          <w:tab w:val="num" w:pos="430"/>
        </w:tabs>
        <w:overflowPunct w:val="0"/>
        <w:adjustRightInd w:val="0"/>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na základě jejíchž výsledků se Smlouva uzavírá, se článek 17 odst. </w:t>
      </w:r>
    </w:p>
    <w:p w:rsidR="008A2775" w:rsidRDefault="008A2775" w:rsidP="008A2775">
      <w:pPr>
        <w:widowControl w:val="0"/>
        <w:adjustRightInd w:val="0"/>
        <w:spacing w:line="24" w:lineRule="exact"/>
        <w:rPr>
          <w:rFonts w:ascii="Cambria" w:hAnsi="Cambria" w:cs="Cambria"/>
          <w:b/>
          <w:bCs/>
          <w:sz w:val="21"/>
          <w:szCs w:val="21"/>
        </w:rPr>
      </w:pPr>
    </w:p>
    <w:p w:rsidR="008A2775" w:rsidRDefault="008A2775" w:rsidP="008A2775">
      <w:pPr>
        <w:widowControl w:val="0"/>
        <w:numPr>
          <w:ilvl w:val="1"/>
          <w:numId w:val="22"/>
        </w:numPr>
        <w:tabs>
          <w:tab w:val="clear" w:pos="1440"/>
          <w:tab w:val="num" w:pos="590"/>
        </w:tabs>
        <w:overflowPunct w:val="0"/>
        <w:adjustRightInd w:val="0"/>
        <w:ind w:left="590" w:hanging="165"/>
        <w:jc w:val="both"/>
        <w:rPr>
          <w:rFonts w:ascii="Cambria" w:hAnsi="Cambria" w:cs="Cambria"/>
        </w:rPr>
      </w:pPr>
      <w:r>
        <w:rPr>
          <w:rFonts w:ascii="Cambria" w:hAnsi="Cambria" w:cs="Cambria"/>
        </w:rPr>
        <w:t xml:space="preserve">písm. f) Všeobecných podmínek neuplatňuje, tedy z poskytnuté podpory není možné hradit stipendia. </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850" w:header="720" w:footer="720" w:gutter="0"/>
          <w:cols w:space="720" w:equalWidth="0">
            <w:col w:w="1021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3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2 / 4</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ind w:right="120"/>
        <w:jc w:val="right"/>
        <w:rPr>
          <w:rFonts w:ascii="Times New Roman" w:hAnsi="Times New Roman" w:cs="Times New Roman"/>
          <w:sz w:val="24"/>
          <w:szCs w:val="24"/>
        </w:rPr>
      </w:pPr>
      <w:r>
        <w:rPr>
          <w:noProof/>
          <w:lang w:val="cs-CZ"/>
        </w:rPr>
        <w:lastRenderedPageBreak/>
        <w:drawing>
          <wp:anchor distT="0" distB="0" distL="114300" distR="114300" simplePos="0" relativeHeight="251731968" behindDoc="1" locked="0" layoutInCell="0" allowOverlap="1" wp14:anchorId="4481054D" wp14:editId="24B53124">
            <wp:simplePos x="0" y="0"/>
            <wp:positionH relativeFrom="page">
              <wp:posOffset>539750</wp:posOffset>
            </wp:positionH>
            <wp:positionV relativeFrom="page">
              <wp:posOffset>370205</wp:posOffset>
            </wp:positionV>
            <wp:extent cx="2005330" cy="548640"/>
            <wp:effectExtent l="0" t="0" r="0" b="3810"/>
            <wp:wrapNone/>
            <wp:docPr id="7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8A2775" w:rsidRDefault="008A2775" w:rsidP="008A2775">
      <w:pPr>
        <w:widowControl w:val="0"/>
        <w:overflowPunct w:val="0"/>
        <w:adjustRightInd w:val="0"/>
        <w:ind w:right="120"/>
        <w:jc w:val="right"/>
        <w:rPr>
          <w:rFonts w:ascii="Times New Roman" w:hAnsi="Times New Roman" w:cs="Times New Roman"/>
          <w:sz w:val="24"/>
          <w:szCs w:val="24"/>
        </w:rPr>
      </w:pPr>
      <w:r>
        <w:rPr>
          <w:rFonts w:ascii="Cambria" w:hAnsi="Cambria" w:cs="Cambria"/>
          <w:sz w:val="24"/>
          <w:szCs w:val="24"/>
        </w:rPr>
        <w:t>Číslo smlouvy: 2016TH02030720</w:t>
      </w:r>
    </w:p>
    <w:p w:rsidR="008A2775" w:rsidRDefault="008A2775" w:rsidP="008A2775">
      <w:pPr>
        <w:widowControl w:val="0"/>
        <w:adjustRightInd w:val="0"/>
        <w:spacing w:line="362" w:lineRule="exact"/>
        <w:rPr>
          <w:rFonts w:ascii="Times New Roman" w:hAnsi="Times New Roman" w:cs="Times New Roman"/>
          <w:sz w:val="24"/>
          <w:szCs w:val="24"/>
        </w:rPr>
      </w:pPr>
    </w:p>
    <w:p w:rsidR="008A2775" w:rsidRDefault="008A2775" w:rsidP="008A2775">
      <w:pPr>
        <w:widowControl w:val="0"/>
        <w:numPr>
          <w:ilvl w:val="0"/>
          <w:numId w:val="23"/>
        </w:numPr>
        <w:tabs>
          <w:tab w:val="clear" w:pos="720"/>
          <w:tab w:val="num" w:pos="430"/>
        </w:tabs>
        <w:overflowPunct w:val="0"/>
        <w:adjustRightInd w:val="0"/>
        <w:spacing w:line="280" w:lineRule="auto"/>
        <w:ind w:left="430" w:hanging="430"/>
        <w:jc w:val="both"/>
        <w:rPr>
          <w:rFonts w:ascii="Cambria" w:hAnsi="Cambria" w:cs="Cambria"/>
          <w:b/>
          <w:bCs/>
        </w:rPr>
      </w:pPr>
      <w:r>
        <w:rPr>
          <w:rFonts w:ascii="Cambria" w:hAnsi="Cambria" w:cs="Cambria"/>
        </w:rPr>
        <w:t xml:space="preserve">Vzniknou-li příjemci způsobilé náklady v roce 2016 (v případě zahájení řešení již v roce 2016, nejdříve však k 1. 11. 2016), zahrne tyto náklady do vyúčtování podpory za rok 2017. </w:t>
      </w:r>
    </w:p>
    <w:p w:rsidR="008A2775" w:rsidRDefault="008A2775" w:rsidP="008A2775">
      <w:pPr>
        <w:widowControl w:val="0"/>
        <w:numPr>
          <w:ilvl w:val="0"/>
          <w:numId w:val="23"/>
        </w:numPr>
        <w:tabs>
          <w:tab w:val="clear" w:pos="720"/>
          <w:tab w:val="num" w:pos="430"/>
        </w:tabs>
        <w:overflowPunct w:val="0"/>
        <w:adjustRightInd w:val="0"/>
        <w:spacing w:line="266" w:lineRule="auto"/>
        <w:ind w:left="430" w:hanging="430"/>
        <w:jc w:val="both"/>
        <w:rPr>
          <w:rFonts w:ascii="Cambria" w:hAnsi="Cambria" w:cs="Cambria"/>
          <w:b/>
          <w:bCs/>
        </w:rPr>
      </w:pPr>
      <w:r>
        <w:rPr>
          <w:rFonts w:ascii="Cambria" w:hAnsi="Cambria" w:cs="Cambria"/>
        </w:rPr>
        <w:t xml:space="preserve">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 podmínek. </w:t>
      </w:r>
    </w:p>
    <w:p w:rsidR="008A2775" w:rsidRDefault="008A2775" w:rsidP="008A2775">
      <w:pPr>
        <w:widowControl w:val="0"/>
        <w:numPr>
          <w:ilvl w:val="0"/>
          <w:numId w:val="23"/>
        </w:numPr>
        <w:tabs>
          <w:tab w:val="clear" w:pos="720"/>
          <w:tab w:val="num" w:pos="430"/>
        </w:tabs>
        <w:overflowPunct w:val="0"/>
        <w:adjustRightInd w:val="0"/>
        <w:spacing w:line="346" w:lineRule="auto"/>
        <w:ind w:left="430" w:hanging="430"/>
        <w:jc w:val="both"/>
        <w:rPr>
          <w:rFonts w:ascii="Cambria" w:hAnsi="Cambria" w:cs="Cambria"/>
          <w:b/>
          <w:bCs/>
        </w:rPr>
      </w:pPr>
      <w:r>
        <w:rPr>
          <w:rFonts w:ascii="Cambria" w:hAnsi="Cambria" w:cs="Cambria"/>
        </w:rPr>
        <w:t xml:space="preserve">V čl. 4 odst. 1 písm. b) Všeobecných podmínek se za slova "v závazných parametrech řešení projektu," doplňují slova "a v případě výsledků, které mají být dosaženy v posledním roce řešení projektu, do termínu ukončení řešení projektu,". </w:t>
      </w:r>
    </w:p>
    <w:p w:rsidR="008A2775" w:rsidRDefault="008A2775" w:rsidP="008A2775">
      <w:pPr>
        <w:widowControl w:val="0"/>
        <w:adjustRightInd w:val="0"/>
        <w:spacing w:line="164" w:lineRule="exact"/>
        <w:rPr>
          <w:rFonts w:ascii="Times New Roman" w:hAnsi="Times New Roman" w:cs="Times New Roman"/>
          <w:sz w:val="24"/>
          <w:szCs w:val="24"/>
        </w:rPr>
      </w:pPr>
    </w:p>
    <w:p w:rsidR="008A2775" w:rsidRDefault="008A2775" w:rsidP="008A2775">
      <w:pPr>
        <w:widowControl w:val="0"/>
        <w:adjustRightInd w:val="0"/>
        <w:ind w:left="4670"/>
        <w:rPr>
          <w:rFonts w:ascii="Times New Roman" w:hAnsi="Times New Roman" w:cs="Times New Roman"/>
          <w:sz w:val="24"/>
          <w:szCs w:val="24"/>
        </w:rPr>
      </w:pPr>
      <w:r>
        <w:rPr>
          <w:rFonts w:ascii="Cambria" w:hAnsi="Cambria" w:cs="Cambria"/>
          <w:b/>
          <w:bCs/>
        </w:rPr>
        <w:t>Článek 5</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17" w:lineRule="exact"/>
        <w:rPr>
          <w:rFonts w:ascii="Times New Roman" w:hAnsi="Times New Roman" w:cs="Times New Roman"/>
          <w:sz w:val="24"/>
          <w:szCs w:val="24"/>
        </w:rPr>
      </w:pPr>
    </w:p>
    <w:p w:rsidR="008A2775" w:rsidRDefault="008A2775" w:rsidP="008A2775">
      <w:pPr>
        <w:widowControl w:val="0"/>
        <w:adjustRightInd w:val="0"/>
        <w:ind w:left="4010"/>
        <w:rPr>
          <w:rFonts w:ascii="Times New Roman" w:hAnsi="Times New Roman" w:cs="Times New Roman"/>
          <w:sz w:val="24"/>
          <w:szCs w:val="24"/>
        </w:rPr>
      </w:pPr>
      <w:r>
        <w:rPr>
          <w:rFonts w:ascii="Cambria" w:hAnsi="Cambria" w:cs="Cambria"/>
          <w:b/>
          <w:bCs/>
        </w:rPr>
        <w:t>Závěrečná ustanovení</w:t>
      </w:r>
    </w:p>
    <w:p w:rsidR="008A2775" w:rsidRDefault="008A2775" w:rsidP="008A2775">
      <w:pPr>
        <w:widowControl w:val="0"/>
        <w:adjustRightInd w:val="0"/>
        <w:spacing w:line="92" w:lineRule="exact"/>
        <w:rPr>
          <w:rFonts w:ascii="Times New Roman" w:hAnsi="Times New Roman" w:cs="Times New Roman"/>
          <w:sz w:val="24"/>
          <w:szCs w:val="24"/>
        </w:rPr>
      </w:pPr>
    </w:p>
    <w:p w:rsidR="008A2775" w:rsidRDefault="008A2775" w:rsidP="008A2775">
      <w:pPr>
        <w:widowControl w:val="0"/>
        <w:tabs>
          <w:tab w:val="left" w:pos="409"/>
        </w:tabs>
        <w:overflowPunct w:val="0"/>
        <w:adjustRightInd w:val="0"/>
        <w:spacing w:line="348" w:lineRule="auto"/>
        <w:ind w:left="430" w:hanging="420"/>
        <w:rPr>
          <w:rFonts w:ascii="Times New Roman" w:hAnsi="Times New Roman" w:cs="Times New Roman"/>
          <w:sz w:val="24"/>
          <w:szCs w:val="24"/>
        </w:rPr>
      </w:pPr>
      <w:r>
        <w:rPr>
          <w:rFonts w:ascii="Cambria" w:hAnsi="Cambria" w:cs="Cambria"/>
          <w:b/>
          <w:bCs/>
        </w:rPr>
        <w:t>1.</w:t>
      </w:r>
      <w:r>
        <w:rPr>
          <w:rFonts w:ascii="Times New Roman" w:hAnsi="Times New Roman" w:cs="Times New Roman"/>
          <w:sz w:val="24"/>
          <w:szCs w:val="24"/>
        </w:rPr>
        <w:tab/>
      </w:r>
      <w:r>
        <w:rPr>
          <w:rFonts w:ascii="Cambria" w:hAnsi="Cambria" w:cs="Cambria"/>
        </w:rPr>
        <w:t>Smlouva se vyhotovuje ve dvou stejnopisech, z nichž poskytovatel a hlavní příjemce obdrží po jednom stejnopisu. Každý stejnopis má platnost originálu.</w:t>
      </w:r>
    </w:p>
    <w:p w:rsidR="008A2775" w:rsidRDefault="008A2775" w:rsidP="008A2775">
      <w:pPr>
        <w:widowControl w:val="0"/>
        <w:adjustRightInd w:val="0"/>
        <w:spacing w:line="2" w:lineRule="exact"/>
        <w:rPr>
          <w:rFonts w:ascii="Times New Roman" w:hAnsi="Times New Roman" w:cs="Times New Roman"/>
          <w:sz w:val="24"/>
          <w:szCs w:val="24"/>
        </w:rPr>
      </w:pPr>
    </w:p>
    <w:p w:rsidR="008A2775" w:rsidRDefault="008A2775" w:rsidP="008A2775">
      <w:pPr>
        <w:widowControl w:val="0"/>
        <w:numPr>
          <w:ilvl w:val="0"/>
          <w:numId w:val="68"/>
        </w:numPr>
        <w:tabs>
          <w:tab w:val="clear" w:pos="720"/>
          <w:tab w:val="num" w:pos="430"/>
        </w:tabs>
        <w:overflowPunct w:val="0"/>
        <w:adjustRightInd w:val="0"/>
        <w:spacing w:line="348" w:lineRule="auto"/>
        <w:ind w:left="430" w:hanging="430"/>
        <w:jc w:val="both"/>
        <w:rPr>
          <w:rFonts w:ascii="Cambria" w:hAnsi="Cambria" w:cs="Cambria"/>
          <w:b/>
          <w:bCs/>
        </w:rPr>
      </w:pPr>
      <w:r>
        <w:rPr>
          <w:rFonts w:ascii="Cambria" w:hAnsi="Cambria" w:cs="Cambria"/>
        </w:rPr>
        <w:t xml:space="preserve">Hlavní příjemce prohlašuje a podpisem Smlouvy stvrzuje, že jím uvedené údaje, na jejichž základě je uzavřena, jsou správné, úplné a pravdivé. </w:t>
      </w:r>
    </w:p>
    <w:p w:rsidR="008A2775" w:rsidRDefault="008A2775" w:rsidP="008A2775">
      <w:pPr>
        <w:widowControl w:val="0"/>
        <w:adjustRightInd w:val="0"/>
        <w:spacing w:line="2" w:lineRule="exact"/>
        <w:rPr>
          <w:rFonts w:ascii="Cambria" w:hAnsi="Cambria" w:cs="Cambria"/>
          <w:b/>
          <w:bCs/>
        </w:rPr>
      </w:pPr>
    </w:p>
    <w:p w:rsidR="008A2775" w:rsidRDefault="008A2775" w:rsidP="008A2775">
      <w:pPr>
        <w:widowControl w:val="0"/>
        <w:numPr>
          <w:ilvl w:val="0"/>
          <w:numId w:val="68"/>
        </w:numPr>
        <w:tabs>
          <w:tab w:val="clear" w:pos="720"/>
          <w:tab w:val="num" w:pos="430"/>
        </w:tabs>
        <w:overflowPunct w:val="0"/>
        <w:adjustRightInd w:val="0"/>
        <w:ind w:left="430" w:hanging="430"/>
        <w:jc w:val="both"/>
        <w:rPr>
          <w:rFonts w:ascii="Cambria" w:hAnsi="Cambria" w:cs="Cambria"/>
          <w:b/>
          <w:bCs/>
        </w:rPr>
      </w:pPr>
      <w:r>
        <w:rPr>
          <w:rFonts w:ascii="Cambria" w:hAnsi="Cambria" w:cs="Cambria"/>
        </w:rPr>
        <w:t xml:space="preserve">Smlouva nabývá platnosti dnem jejího podpisu a účinnosti dnem 1.1.2017. </w:t>
      </w:r>
    </w:p>
    <w:p w:rsidR="008A2775" w:rsidRDefault="008A2775" w:rsidP="008A2775">
      <w:pPr>
        <w:widowControl w:val="0"/>
        <w:adjustRightInd w:val="0"/>
        <w:spacing w:line="177" w:lineRule="exact"/>
        <w:rPr>
          <w:rFonts w:ascii="Times New Roman" w:hAnsi="Times New Roman" w:cs="Times New Roman"/>
          <w:sz w:val="24"/>
          <w:szCs w:val="24"/>
        </w:rPr>
      </w:pPr>
    </w:p>
    <w:p w:rsidR="008A2775" w:rsidRDefault="008A2775" w:rsidP="008A2775">
      <w:pPr>
        <w:widowControl w:val="0"/>
        <w:tabs>
          <w:tab w:val="left" w:pos="409"/>
        </w:tabs>
        <w:overflowPunct w:val="0"/>
        <w:adjustRightInd w:val="0"/>
        <w:spacing w:line="330" w:lineRule="auto"/>
        <w:ind w:left="430" w:hanging="420"/>
        <w:jc w:val="both"/>
        <w:rPr>
          <w:rFonts w:ascii="Times New Roman" w:hAnsi="Times New Roman" w:cs="Times New Roman"/>
          <w:sz w:val="24"/>
          <w:szCs w:val="24"/>
        </w:rPr>
      </w:pPr>
      <w:r>
        <w:rPr>
          <w:rFonts w:ascii="Cambria" w:hAnsi="Cambria" w:cs="Cambria"/>
          <w:b/>
          <w:bCs/>
        </w:rPr>
        <w:t>4.</w:t>
      </w:r>
      <w:r>
        <w:rPr>
          <w:rFonts w:ascii="Times New Roman" w:hAnsi="Times New Roman" w:cs="Times New Roman"/>
          <w:sz w:val="24"/>
          <w:szCs w:val="24"/>
        </w:rPr>
        <w:tab/>
      </w:r>
      <w:r>
        <w:rPr>
          <w:rFonts w:ascii="Cambria" w:hAnsi="Cambria" w:cs="Cambria"/>
        </w:rPr>
        <w:t>Smluvní strany prohlašují, že si Smlouvu včetně jejich příloh přečetly, s jejím obsahem souhlasí, a že byla sepsána na základě jejich pravé a svobodné vůle, prosté omylu, a na důkaz toho připojují své podpisy.</w:t>
      </w:r>
    </w:p>
    <w:p w:rsidR="008A2775" w:rsidRDefault="008A2775" w:rsidP="008A2775">
      <w:pPr>
        <w:widowControl w:val="0"/>
        <w:adjustRightInd w:val="0"/>
        <w:spacing w:line="1" w:lineRule="exact"/>
        <w:rPr>
          <w:rFonts w:ascii="Times New Roman" w:hAnsi="Times New Roman" w:cs="Times New Roman"/>
          <w:sz w:val="24"/>
          <w:szCs w:val="24"/>
        </w:rPr>
      </w:pPr>
    </w:p>
    <w:p w:rsidR="008A2775" w:rsidRDefault="008A2775" w:rsidP="008A2775">
      <w:pPr>
        <w:widowControl w:val="0"/>
        <w:numPr>
          <w:ilvl w:val="0"/>
          <w:numId w:val="69"/>
        </w:numPr>
        <w:tabs>
          <w:tab w:val="clear" w:pos="720"/>
          <w:tab w:val="num" w:pos="430"/>
        </w:tabs>
        <w:overflowPunct w:val="0"/>
        <w:adjustRightInd w:val="0"/>
        <w:spacing w:line="482" w:lineRule="auto"/>
        <w:ind w:left="430" w:hanging="430"/>
        <w:jc w:val="both"/>
        <w:rPr>
          <w:rFonts w:ascii="Cambria" w:hAnsi="Cambria" w:cs="Cambria"/>
          <w:b/>
          <w:bCs/>
        </w:rPr>
      </w:pPr>
      <w:r>
        <w:rPr>
          <w:rFonts w:ascii="Cambria" w:hAnsi="Cambria" w:cs="Cambria"/>
        </w:rPr>
        <w:t xml:space="preserve">Hlavní příjemce zároveň svým podpisem výslovně prohlašuje, že se seznámil se všemi pravidly stanovenými Všeobecnými podmínkami. </w:t>
      </w:r>
    </w:p>
    <w:p w:rsidR="008A2775" w:rsidRDefault="008A2775" w:rsidP="008A2775">
      <w:pPr>
        <w:widowControl w:val="0"/>
        <w:adjustRightInd w:val="0"/>
        <w:spacing w:line="38" w:lineRule="exact"/>
        <w:rPr>
          <w:rFonts w:ascii="Times New Roman" w:hAnsi="Times New Roman" w:cs="Times New Roman"/>
          <w:sz w:val="24"/>
          <w:szCs w:val="24"/>
        </w:rPr>
      </w:pPr>
    </w:p>
    <w:p w:rsidR="008A2775" w:rsidRDefault="008A2775" w:rsidP="008A2775">
      <w:pPr>
        <w:widowControl w:val="0"/>
        <w:adjustRightInd w:val="0"/>
        <w:ind w:left="10"/>
        <w:rPr>
          <w:rFonts w:ascii="Times New Roman" w:hAnsi="Times New Roman" w:cs="Times New Roman"/>
          <w:sz w:val="24"/>
          <w:szCs w:val="24"/>
        </w:rPr>
      </w:pPr>
      <w:r>
        <w:rPr>
          <w:rFonts w:ascii="Cambria" w:hAnsi="Cambria" w:cs="Cambria"/>
          <w:b/>
          <w:bCs/>
        </w:rPr>
        <w:t>Podpisy smluvních stran</w:t>
      </w:r>
    </w:p>
    <w:p w:rsidR="008A2775" w:rsidRDefault="008A2775" w:rsidP="008A2775">
      <w:pPr>
        <w:widowControl w:val="0"/>
        <w:adjustRightInd w:val="0"/>
        <w:spacing w:line="254" w:lineRule="exact"/>
        <w:rPr>
          <w:rFonts w:ascii="Times New Roman" w:hAnsi="Times New Roman" w:cs="Times New Roman"/>
          <w:sz w:val="24"/>
          <w:szCs w:val="24"/>
        </w:rPr>
      </w:pPr>
    </w:p>
    <w:p w:rsidR="008A2775" w:rsidRDefault="008A2775" w:rsidP="008A2775">
      <w:pPr>
        <w:widowControl w:val="0"/>
        <w:adjustRightInd w:val="0"/>
        <w:ind w:left="10"/>
        <w:rPr>
          <w:rFonts w:ascii="Times New Roman" w:hAnsi="Times New Roman" w:cs="Times New Roman"/>
          <w:sz w:val="24"/>
          <w:szCs w:val="24"/>
        </w:rPr>
      </w:pPr>
      <w:r>
        <w:rPr>
          <w:rFonts w:ascii="Cambria" w:hAnsi="Cambria" w:cs="Cambria"/>
          <w:b/>
          <w:bCs/>
        </w:rPr>
        <w:t>Poskytovatel:</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21" w:lineRule="exact"/>
        <w:rPr>
          <w:rFonts w:ascii="Times New Roman" w:hAnsi="Times New Roman" w:cs="Times New Roman"/>
          <w:sz w:val="24"/>
          <w:szCs w:val="24"/>
        </w:rPr>
      </w:pPr>
    </w:p>
    <w:p w:rsidR="008A2775" w:rsidRDefault="008A2775" w:rsidP="008A2775">
      <w:pPr>
        <w:widowControl w:val="0"/>
        <w:adjustRightInd w:val="0"/>
        <w:ind w:left="10"/>
        <w:rPr>
          <w:rFonts w:ascii="Times New Roman" w:hAnsi="Times New Roman" w:cs="Times New Roman"/>
          <w:sz w:val="24"/>
          <w:szCs w:val="24"/>
        </w:rPr>
      </w:pPr>
      <w:r>
        <w:rPr>
          <w:rFonts w:ascii="Cambria" w:hAnsi="Cambria" w:cs="Cambria"/>
        </w:rPr>
        <w:t>V Praze dne ...................................................</w:t>
      </w:r>
    </w:p>
    <w:p w:rsidR="008A2775" w:rsidRDefault="008A2775" w:rsidP="008A2775">
      <w:pPr>
        <w:widowControl w:val="0"/>
        <w:adjustRightInd w:val="0"/>
        <w:spacing w:line="277" w:lineRule="exact"/>
        <w:rPr>
          <w:rFonts w:ascii="Times New Roman" w:hAnsi="Times New Roman" w:cs="Times New Roman"/>
          <w:sz w:val="24"/>
          <w:szCs w:val="24"/>
        </w:rPr>
      </w:pPr>
    </w:p>
    <w:p w:rsidR="008A2775" w:rsidRDefault="008A2775" w:rsidP="008A2775">
      <w:pPr>
        <w:widowControl w:val="0"/>
        <w:adjustRightInd w:val="0"/>
        <w:ind w:left="5910"/>
        <w:rPr>
          <w:rFonts w:ascii="Times New Roman" w:hAnsi="Times New Roman" w:cs="Times New Roman"/>
          <w:sz w:val="24"/>
          <w:szCs w:val="24"/>
        </w:rPr>
      </w:pPr>
      <w:r>
        <w:rPr>
          <w:rFonts w:ascii="Cambria" w:hAnsi="Cambria" w:cs="Cambria"/>
        </w:rPr>
        <w:t>_______________________________________________</w:t>
      </w:r>
    </w:p>
    <w:p w:rsidR="008A2775" w:rsidRDefault="008A2775" w:rsidP="008A2775">
      <w:pPr>
        <w:widowControl w:val="0"/>
        <w:adjustRightInd w:val="0"/>
        <w:spacing w:line="62" w:lineRule="exact"/>
        <w:rPr>
          <w:rFonts w:ascii="Times New Roman" w:hAnsi="Times New Roman" w:cs="Times New Roman"/>
          <w:sz w:val="24"/>
          <w:szCs w:val="24"/>
        </w:rPr>
      </w:pPr>
    </w:p>
    <w:p w:rsidR="008A2775" w:rsidRDefault="008A2775" w:rsidP="008A2775">
      <w:pPr>
        <w:widowControl w:val="0"/>
        <w:overflowPunct w:val="0"/>
        <w:adjustRightInd w:val="0"/>
        <w:spacing w:line="469" w:lineRule="auto"/>
        <w:ind w:left="6970" w:right="1880" w:firstLine="263"/>
        <w:rPr>
          <w:rFonts w:ascii="Times New Roman" w:hAnsi="Times New Roman" w:cs="Times New Roman"/>
          <w:sz w:val="24"/>
          <w:szCs w:val="24"/>
        </w:rPr>
      </w:pPr>
      <w:r>
        <w:rPr>
          <w:rFonts w:ascii="Cambria" w:hAnsi="Cambria" w:cs="Cambria"/>
          <w:sz w:val="19"/>
          <w:szCs w:val="19"/>
        </w:rPr>
        <w:t>xxxx předseda TA ČR</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840" w:bottom="0" w:left="850" w:header="720" w:footer="720" w:gutter="0"/>
          <w:cols w:space="720" w:equalWidth="0">
            <w:col w:w="1021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2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3 / 4</w:t>
            </w:r>
          </w:p>
        </w:tc>
      </w:tr>
    </w:tbl>
    <w:p w:rsidR="008A2775" w:rsidRDefault="008A2775" w:rsidP="008A2775">
      <w:pPr>
        <w:widowControl w:val="0"/>
        <w:adjustRightInd w:val="0"/>
        <w:rPr>
          <w:rFonts w:ascii="Times New Roman" w:hAnsi="Times New Roman" w:cs="Times New Roman"/>
          <w:sz w:val="24"/>
          <w:szCs w:val="24"/>
        </w:rPr>
        <w:sectPr w:rsidR="008A2775">
          <w:type w:val="continuous"/>
          <w:pgSz w:w="11906" w:h="16838"/>
          <w:pgMar w:top="723" w:right="960" w:bottom="0" w:left="860" w:header="720" w:footer="720" w:gutter="0"/>
          <w:cols w:space="720" w:equalWidth="0">
            <w:col w:w="10080"/>
          </w:cols>
          <w:noEndnote/>
        </w:sectPr>
      </w:pPr>
    </w:p>
    <w:p w:rsidR="008A2775" w:rsidRDefault="008A2775" w:rsidP="008A2775">
      <w:pPr>
        <w:widowControl w:val="0"/>
        <w:overflowPunct w:val="0"/>
        <w:adjustRightInd w:val="0"/>
        <w:jc w:val="right"/>
        <w:rPr>
          <w:rFonts w:ascii="Times New Roman" w:hAnsi="Times New Roman" w:cs="Times New Roman"/>
          <w:sz w:val="24"/>
          <w:szCs w:val="24"/>
        </w:rPr>
      </w:pPr>
      <w:r>
        <w:rPr>
          <w:noProof/>
          <w:lang w:val="cs-CZ"/>
        </w:rPr>
        <w:lastRenderedPageBreak/>
        <w:drawing>
          <wp:anchor distT="0" distB="0" distL="114300" distR="114300" simplePos="0" relativeHeight="251732992" behindDoc="1" locked="0" layoutInCell="0" allowOverlap="1" wp14:anchorId="3B038139" wp14:editId="10812E71">
            <wp:simplePos x="0" y="0"/>
            <wp:positionH relativeFrom="page">
              <wp:posOffset>539750</wp:posOffset>
            </wp:positionH>
            <wp:positionV relativeFrom="page">
              <wp:posOffset>370205</wp:posOffset>
            </wp:positionV>
            <wp:extent cx="2005330" cy="548640"/>
            <wp:effectExtent l="0" t="0" r="0" b="3810"/>
            <wp:wrapNone/>
            <wp:docPr id="7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8A2775" w:rsidRDefault="008A2775" w:rsidP="008A2775">
      <w:pPr>
        <w:widowControl w:val="0"/>
        <w:overflowPunct w:val="0"/>
        <w:adjustRightInd w:val="0"/>
        <w:jc w:val="right"/>
        <w:rPr>
          <w:rFonts w:ascii="Times New Roman" w:hAnsi="Times New Roman" w:cs="Times New Roman"/>
          <w:sz w:val="24"/>
          <w:szCs w:val="24"/>
        </w:rPr>
      </w:pPr>
      <w:r>
        <w:rPr>
          <w:rFonts w:ascii="Cambria" w:hAnsi="Cambria" w:cs="Cambria"/>
          <w:sz w:val="24"/>
          <w:szCs w:val="24"/>
        </w:rPr>
        <w:t>Číslo smlouvy: 2016TH02030720</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47"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b/>
          <w:bCs/>
        </w:rPr>
        <w:t>Technická univerzita v Liberci - Ústav pro nanomateriály, pokročilé technologie a inovace:</w:t>
      </w: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21" w:lineRule="exact"/>
        <w:rPr>
          <w:rFonts w:ascii="Times New Roman" w:hAnsi="Times New Roman" w:cs="Times New Roman"/>
          <w:sz w:val="24"/>
          <w:szCs w:val="24"/>
        </w:rPr>
      </w:pPr>
    </w:p>
    <w:p w:rsidR="008A2775" w:rsidRDefault="008A2775" w:rsidP="008A2775">
      <w:pPr>
        <w:widowControl w:val="0"/>
        <w:adjustRightInd w:val="0"/>
        <w:rPr>
          <w:rFonts w:ascii="Times New Roman" w:hAnsi="Times New Roman" w:cs="Times New Roman"/>
          <w:sz w:val="24"/>
          <w:szCs w:val="24"/>
        </w:rPr>
      </w:pPr>
      <w:r>
        <w:rPr>
          <w:rFonts w:ascii="Cambria" w:hAnsi="Cambria" w:cs="Cambria"/>
        </w:rPr>
        <w:t>V ........................................ dne .....................</w:t>
      </w:r>
    </w:p>
    <w:p w:rsidR="008A2775" w:rsidRDefault="008A2775" w:rsidP="008A2775">
      <w:pPr>
        <w:widowControl w:val="0"/>
        <w:adjustRightInd w:val="0"/>
        <w:spacing w:line="277" w:lineRule="exact"/>
        <w:rPr>
          <w:rFonts w:ascii="Times New Roman" w:hAnsi="Times New Roman" w:cs="Times New Roman"/>
          <w:sz w:val="24"/>
          <w:szCs w:val="24"/>
        </w:rPr>
      </w:pPr>
    </w:p>
    <w:p w:rsidR="008A2775" w:rsidRDefault="008A2775" w:rsidP="008A2775">
      <w:pPr>
        <w:widowControl w:val="0"/>
        <w:adjustRightInd w:val="0"/>
        <w:ind w:left="5900"/>
        <w:rPr>
          <w:rFonts w:ascii="Times New Roman" w:hAnsi="Times New Roman" w:cs="Times New Roman"/>
          <w:sz w:val="24"/>
          <w:szCs w:val="24"/>
        </w:rPr>
      </w:pPr>
      <w:r>
        <w:rPr>
          <w:rFonts w:ascii="Cambria" w:hAnsi="Cambria" w:cs="Cambria"/>
        </w:rPr>
        <w:t>_______________________________________________</w:t>
      </w:r>
    </w:p>
    <w:p w:rsidR="008A2775" w:rsidRDefault="008A2775" w:rsidP="008A2775">
      <w:pPr>
        <w:widowControl w:val="0"/>
        <w:adjustRightInd w:val="0"/>
        <w:spacing w:line="62" w:lineRule="exact"/>
        <w:rPr>
          <w:rFonts w:ascii="Times New Roman" w:hAnsi="Times New Roman" w:cs="Times New Roman"/>
          <w:sz w:val="24"/>
          <w:szCs w:val="24"/>
        </w:rPr>
      </w:pPr>
    </w:p>
    <w:p w:rsidR="008A2775" w:rsidRDefault="008A2775" w:rsidP="008A2775">
      <w:pPr>
        <w:widowControl w:val="0"/>
        <w:adjustRightInd w:val="0"/>
        <w:ind w:left="6600"/>
        <w:rPr>
          <w:rFonts w:ascii="Times New Roman" w:hAnsi="Times New Roman" w:cs="Times New Roman"/>
          <w:sz w:val="24"/>
          <w:szCs w:val="24"/>
        </w:rPr>
      </w:pPr>
      <w:r>
        <w:rPr>
          <w:rFonts w:ascii="Cambria" w:hAnsi="Cambria" w:cs="Cambria"/>
        </w:rPr>
        <w:t>xxx</w:t>
      </w:r>
    </w:p>
    <w:p w:rsidR="008A2775" w:rsidRDefault="008A2775" w:rsidP="008A2775">
      <w:pPr>
        <w:widowControl w:val="0"/>
        <w:adjustRightInd w:val="0"/>
        <w:rPr>
          <w:rFonts w:ascii="Times New Roman" w:hAnsi="Times New Roman" w:cs="Times New Roman"/>
          <w:sz w:val="24"/>
          <w:szCs w:val="24"/>
        </w:rPr>
        <w:sectPr w:rsidR="008A2775">
          <w:pgSz w:w="11906" w:h="16838"/>
          <w:pgMar w:top="723" w:right="960" w:bottom="0" w:left="860" w:header="720" w:footer="720" w:gutter="0"/>
          <w:cols w:space="720" w:equalWidth="0">
            <w:col w:w="10080"/>
          </w:cols>
          <w:noEndnote/>
        </w:sect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00" w:lineRule="exact"/>
        <w:rPr>
          <w:rFonts w:ascii="Times New Roman" w:hAnsi="Times New Roman" w:cs="Times New Roman"/>
          <w:sz w:val="24"/>
          <w:szCs w:val="24"/>
        </w:rPr>
      </w:pPr>
    </w:p>
    <w:p w:rsidR="008A2775" w:rsidRDefault="008A2775" w:rsidP="008A2775">
      <w:pPr>
        <w:widowControl w:val="0"/>
        <w:adjustRightInd w:val="0"/>
        <w:spacing w:line="2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8A2775" w:rsidTr="00FA1561">
        <w:trPr>
          <w:trHeight w:val="229"/>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b/>
                <w:bCs/>
                <w:sz w:val="16"/>
                <w:szCs w:val="16"/>
              </w:rPr>
              <w:t>F-052, verze: 4</w:t>
            </w:r>
          </w:p>
        </w:tc>
      </w:tr>
      <w:tr w:rsidR="008A2775" w:rsidTr="00FA1561">
        <w:trPr>
          <w:trHeight w:val="192"/>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sz w:val="16"/>
                <w:szCs w:val="16"/>
              </w:rPr>
              <w:t>Veřejný</w:t>
            </w:r>
          </w:p>
        </w:tc>
      </w:tr>
      <w:tr w:rsidR="008A2775" w:rsidTr="00FA1561">
        <w:trPr>
          <w:trHeight w:val="418"/>
        </w:trPr>
        <w:tc>
          <w:tcPr>
            <w:tcW w:w="1440" w:type="dxa"/>
            <w:tcBorders>
              <w:top w:val="nil"/>
              <w:left w:val="nil"/>
              <w:bottom w:val="nil"/>
              <w:right w:val="nil"/>
            </w:tcBorders>
            <w:vAlign w:val="bottom"/>
          </w:tcPr>
          <w:p w:rsidR="008A2775" w:rsidRDefault="008A2775" w:rsidP="00FA1561">
            <w:pPr>
              <w:widowControl w:val="0"/>
              <w:adjustRightInd w:val="0"/>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8A2775" w:rsidRDefault="008A2775" w:rsidP="00FA1561">
            <w:pPr>
              <w:widowControl w:val="0"/>
              <w:adjustRightInd w:val="0"/>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8A2775" w:rsidRDefault="008A2775" w:rsidP="00FA1561">
            <w:pPr>
              <w:widowControl w:val="0"/>
              <w:adjustRightInd w:val="0"/>
              <w:jc w:val="right"/>
              <w:rPr>
                <w:rFonts w:ascii="Times New Roman" w:hAnsi="Times New Roman" w:cs="Times New Roman"/>
                <w:sz w:val="24"/>
                <w:szCs w:val="24"/>
              </w:rPr>
            </w:pPr>
            <w:r>
              <w:rPr>
                <w:rFonts w:ascii="Cambria" w:hAnsi="Cambria" w:cs="Cambria"/>
              </w:rPr>
              <w:t>strana 4 / 4</w:t>
            </w:r>
          </w:p>
        </w:tc>
      </w:tr>
    </w:tbl>
    <w:p w:rsidR="008A2775" w:rsidRDefault="008A2775" w:rsidP="008A2775">
      <w:pPr>
        <w:widowControl w:val="0"/>
        <w:adjustRightInd w:val="0"/>
        <w:rPr>
          <w:rFonts w:ascii="Times New Roman" w:hAnsi="Times New Roman" w:cs="Times New Roman"/>
          <w:sz w:val="24"/>
          <w:szCs w:val="24"/>
        </w:rPr>
      </w:pPr>
    </w:p>
    <w:p w:rsidR="008A2775" w:rsidRPr="001700FA" w:rsidRDefault="008A2775" w:rsidP="007D0BD6">
      <w:pPr>
        <w:jc w:val="both"/>
        <w:rPr>
          <w:rFonts w:ascii="Times New Roman" w:hAnsi="Times New Roman" w:cs="Times New Roman"/>
          <w:lang w:val="cs-CZ"/>
        </w:rPr>
      </w:pPr>
    </w:p>
    <w:sectPr w:rsidR="008A2775" w:rsidRPr="001700FA" w:rsidSect="00BD1E7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92" w:rsidRDefault="00420092" w:rsidP="003C7493">
      <w:r>
        <w:separator/>
      </w:r>
    </w:p>
  </w:endnote>
  <w:endnote w:type="continuationSeparator" w:id="0">
    <w:p w:rsidR="00420092" w:rsidRDefault="00420092"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92" w:rsidRDefault="00420092" w:rsidP="003C7493">
      <w:r>
        <w:separator/>
      </w:r>
    </w:p>
  </w:footnote>
  <w:footnote w:type="continuationSeparator" w:id="0">
    <w:p w:rsidR="00420092" w:rsidRDefault="00420092"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8A" w:rsidRDefault="0048678A">
    <w:pPr>
      <w:pStyle w:val="Zhlav"/>
    </w:pPr>
    <w:r>
      <w:rPr>
        <w:noProof/>
        <w:lang w:val="cs-CZ"/>
      </w:rPr>
      <w:drawing>
        <wp:anchor distT="0" distB="0" distL="114300" distR="114300" simplePos="0" relativeHeight="251658240" behindDoc="1" locked="0" layoutInCell="1" allowOverlap="1" wp14:anchorId="584AAA60" wp14:editId="4376F7D3">
          <wp:simplePos x="0" y="0"/>
          <wp:positionH relativeFrom="column">
            <wp:posOffset>-932504</wp:posOffset>
          </wp:positionH>
          <wp:positionV relativeFrom="paragraph">
            <wp:posOffset>-492712</wp:posOffset>
          </wp:positionV>
          <wp:extent cx="7561029" cy="1009291"/>
          <wp:effectExtent l="19050" t="0" r="1821"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1029" cy="10092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5"/>
      <w:numFmt w:val="decimal"/>
      <w:lvlText w:val="%1."/>
      <w:lvlJc w:val="left"/>
      <w:pPr>
        <w:tabs>
          <w:tab w:val="num" w:pos="720"/>
        </w:tabs>
        <w:ind w:left="720" w:hanging="360"/>
      </w:pPr>
    </w:lvl>
    <w:lvl w:ilvl="1" w:tplc="000049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BF"/>
    <w:multiLevelType w:val="hybridMultilevel"/>
    <w:tmpl w:val="00002F14"/>
    <w:lvl w:ilvl="0" w:tplc="00006AD6">
      <w:start w:val="1"/>
      <w:numFmt w:val="decimal"/>
      <w:lvlText w:val="%1."/>
      <w:lvlJc w:val="left"/>
      <w:pPr>
        <w:tabs>
          <w:tab w:val="num" w:pos="720"/>
        </w:tabs>
        <w:ind w:left="720" w:hanging="360"/>
      </w:pPr>
    </w:lvl>
    <w:lvl w:ilvl="1" w:tplc="000004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1F"/>
    <w:multiLevelType w:val="hybridMultilevel"/>
    <w:tmpl w:val="000073DA"/>
    <w:lvl w:ilvl="0" w:tplc="000058B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2"/>
      <w:numFmt w:val="decimal"/>
      <w:lvlText w:val="%1."/>
      <w:lvlJc w:val="left"/>
      <w:pPr>
        <w:tabs>
          <w:tab w:val="num" w:pos="720"/>
        </w:tabs>
        <w:ind w:left="720" w:hanging="360"/>
      </w:pPr>
    </w:lvl>
    <w:lvl w:ilvl="1" w:tplc="0000082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C5"/>
    <w:multiLevelType w:val="hybridMultilevel"/>
    <w:tmpl w:val="00006899"/>
    <w:lvl w:ilvl="0" w:tplc="00003CD5">
      <w:start w:val="4"/>
      <w:numFmt w:val="decimal"/>
      <w:lvlText w:val="%1."/>
      <w:lvlJc w:val="left"/>
      <w:pPr>
        <w:tabs>
          <w:tab w:val="num" w:pos="720"/>
        </w:tabs>
        <w:ind w:left="720" w:hanging="360"/>
      </w:pPr>
    </w:lvl>
    <w:lvl w:ilvl="1" w:tplc="000013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A49"/>
    <w:multiLevelType w:val="hybridMultilevel"/>
    <w:tmpl w:val="00005F32"/>
    <w:lvl w:ilvl="0" w:tplc="00003BF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2"/>
      <w:numFmt w:val="decimal"/>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13"/>
    <w:multiLevelType w:val="hybridMultilevel"/>
    <w:tmpl w:val="0000260D"/>
    <w:lvl w:ilvl="0" w:tplc="00006B89">
      <w:start w:val="1"/>
      <w:numFmt w:val="decimal"/>
      <w:lvlText w:val="%1"/>
      <w:lvlJc w:val="left"/>
      <w:pPr>
        <w:tabs>
          <w:tab w:val="num" w:pos="720"/>
        </w:tabs>
        <w:ind w:left="720" w:hanging="360"/>
      </w:pPr>
    </w:lvl>
    <w:lvl w:ilvl="1" w:tplc="0000030A">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49E"/>
    <w:multiLevelType w:val="hybridMultilevel"/>
    <w:tmpl w:val="00002B0C"/>
    <w:lvl w:ilvl="0" w:tplc="000011F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CA"/>
    <w:multiLevelType w:val="hybridMultilevel"/>
    <w:tmpl w:val="00003699"/>
    <w:lvl w:ilvl="0" w:tplc="000009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01C"/>
    <w:multiLevelType w:val="hybridMultilevel"/>
    <w:tmpl w:val="00000BDB"/>
    <w:lvl w:ilvl="0" w:tplc="000056AE">
      <w:start w:val="3"/>
      <w:numFmt w:val="decimal"/>
      <w:lvlText w:val="%1."/>
      <w:lvlJc w:val="left"/>
      <w:pPr>
        <w:tabs>
          <w:tab w:val="num" w:pos="720"/>
        </w:tabs>
        <w:ind w:left="720" w:hanging="360"/>
      </w:pPr>
    </w:lvl>
    <w:lvl w:ilvl="1" w:tplc="000007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A61"/>
    <w:multiLevelType w:val="hybridMultilevel"/>
    <w:tmpl w:val="000022CD"/>
    <w:lvl w:ilvl="0" w:tplc="00007DD1">
      <w:start w:val="1"/>
      <w:numFmt w:val="decimal"/>
      <w:lvlText w:val="%1."/>
      <w:lvlJc w:val="left"/>
      <w:pPr>
        <w:tabs>
          <w:tab w:val="num" w:pos="720"/>
        </w:tabs>
        <w:ind w:left="720" w:hanging="360"/>
      </w:pPr>
    </w:lvl>
    <w:lvl w:ilvl="1" w:tplc="0000261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A9E"/>
    <w:multiLevelType w:val="hybridMultilevel"/>
    <w:tmpl w:val="0000797D"/>
    <w:lvl w:ilvl="0" w:tplc="00005F49">
      <w:start w:val="1"/>
      <w:numFmt w:val="decimal"/>
      <w:lvlText w:val="%1."/>
      <w:lvlJc w:val="left"/>
      <w:pPr>
        <w:tabs>
          <w:tab w:val="num" w:pos="720"/>
        </w:tabs>
        <w:ind w:left="720" w:hanging="360"/>
      </w:pPr>
    </w:lvl>
    <w:lvl w:ilvl="1" w:tplc="00000DD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C61"/>
    <w:multiLevelType w:val="hybridMultilevel"/>
    <w:tmpl w:val="00002FFF"/>
    <w:lvl w:ilvl="0" w:tplc="00006C69">
      <w:start w:val="7"/>
      <w:numFmt w:val="decimal"/>
      <w:lvlText w:val="%1."/>
      <w:lvlJc w:val="left"/>
      <w:pPr>
        <w:tabs>
          <w:tab w:val="num" w:pos="720"/>
        </w:tabs>
        <w:ind w:left="720" w:hanging="360"/>
      </w:pPr>
    </w:lvl>
    <w:lvl w:ilvl="1" w:tplc="000028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01D"/>
    <w:multiLevelType w:val="hybridMultilevel"/>
    <w:tmpl w:val="000071F0"/>
    <w:lvl w:ilvl="0" w:tplc="000003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080"/>
    <w:multiLevelType w:val="hybridMultilevel"/>
    <w:tmpl w:val="00005DB2"/>
    <w:lvl w:ilvl="0" w:tplc="000033E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1BB"/>
    <w:multiLevelType w:val="hybridMultilevel"/>
    <w:tmpl w:val="000026E9"/>
    <w:lvl w:ilvl="0" w:tplc="000001EB">
      <w:start w:val="3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22D"/>
    <w:multiLevelType w:val="hybridMultilevel"/>
    <w:tmpl w:val="000054DC"/>
    <w:lvl w:ilvl="0" w:tplc="0000368E">
      <w:start w:val="3"/>
      <w:numFmt w:val="decimal"/>
      <w:lvlText w:val="%1."/>
      <w:lvlJc w:val="left"/>
      <w:pPr>
        <w:tabs>
          <w:tab w:val="num" w:pos="720"/>
        </w:tabs>
        <w:ind w:left="720" w:hanging="360"/>
      </w:pPr>
    </w:lvl>
    <w:lvl w:ilvl="1" w:tplc="00000D66">
      <w:start w:val="1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40D"/>
    <w:multiLevelType w:val="hybridMultilevel"/>
    <w:tmpl w:val="0000491C"/>
    <w:lvl w:ilvl="0" w:tplc="00004D0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509"/>
    <w:multiLevelType w:val="hybridMultilevel"/>
    <w:tmpl w:val="00001238"/>
    <w:lvl w:ilvl="0" w:tplc="00003B25">
      <w:start w:val="1"/>
      <w:numFmt w:val="decimal"/>
      <w:lvlText w:val="%1"/>
      <w:lvlJc w:val="left"/>
      <w:pPr>
        <w:tabs>
          <w:tab w:val="num" w:pos="720"/>
        </w:tabs>
        <w:ind w:left="720" w:hanging="360"/>
      </w:pPr>
    </w:lvl>
    <w:lvl w:ilvl="1" w:tplc="00001E1F">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CAD"/>
    <w:multiLevelType w:val="hybridMultilevel"/>
    <w:tmpl w:val="0000314F"/>
    <w:lvl w:ilvl="0" w:tplc="00005E14">
      <w:start w:val="1"/>
      <w:numFmt w:val="decimal"/>
      <w:lvlText w:val="%1."/>
      <w:lvlJc w:val="left"/>
      <w:pPr>
        <w:tabs>
          <w:tab w:val="num" w:pos="720"/>
        </w:tabs>
        <w:ind w:left="720" w:hanging="360"/>
      </w:pPr>
    </w:lvl>
    <w:lvl w:ilvl="1" w:tplc="00004DF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D06"/>
    <w:multiLevelType w:val="hybridMultilevel"/>
    <w:tmpl w:val="00004DB7"/>
    <w:lvl w:ilvl="0" w:tplc="00001547">
      <w:start w:val="7"/>
      <w:numFmt w:val="decimal"/>
      <w:lvlText w:val="%1."/>
      <w:lvlJc w:val="left"/>
      <w:pPr>
        <w:tabs>
          <w:tab w:val="num" w:pos="720"/>
        </w:tabs>
        <w:ind w:left="720" w:hanging="360"/>
      </w:pPr>
    </w:lvl>
    <w:lvl w:ilvl="1" w:tplc="000054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039"/>
    <w:multiLevelType w:val="hybridMultilevel"/>
    <w:tmpl w:val="0000542C"/>
    <w:lvl w:ilvl="0" w:tplc="000019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F1E"/>
    <w:multiLevelType w:val="hybridMultilevel"/>
    <w:tmpl w:val="00002833"/>
    <w:lvl w:ilvl="0" w:tplc="0000787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0BF"/>
    <w:multiLevelType w:val="hybridMultilevel"/>
    <w:tmpl w:val="00005C67"/>
    <w:lvl w:ilvl="0" w:tplc="00003CD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172"/>
    <w:multiLevelType w:val="hybridMultilevel"/>
    <w:tmpl w:val="00006B72"/>
    <w:lvl w:ilvl="0" w:tplc="000032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443"/>
    <w:multiLevelType w:val="hybridMultilevel"/>
    <w:tmpl w:val="000066BB"/>
    <w:lvl w:ilvl="0" w:tplc="0000428B">
      <w:start w:val="1"/>
      <w:numFmt w:val="decimal"/>
      <w:lvlText w:val="%1"/>
      <w:lvlJc w:val="left"/>
      <w:pPr>
        <w:tabs>
          <w:tab w:val="num" w:pos="720"/>
        </w:tabs>
        <w:ind w:left="720" w:hanging="360"/>
      </w:pPr>
    </w:lvl>
    <w:lvl w:ilvl="1" w:tplc="000026A6">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B36"/>
    <w:multiLevelType w:val="hybridMultilevel"/>
    <w:tmpl w:val="00005CFD"/>
    <w:lvl w:ilvl="0" w:tplc="00003E1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BCB"/>
    <w:multiLevelType w:val="hybridMultilevel"/>
    <w:tmpl w:val="00000FC9"/>
    <w:lvl w:ilvl="0" w:tplc="00000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E5D"/>
    <w:multiLevelType w:val="hybridMultilevel"/>
    <w:tmpl w:val="00001AD4"/>
    <w:lvl w:ilvl="0" w:tplc="000063CB">
      <w:start w:val="3"/>
      <w:numFmt w:val="decimal"/>
      <w:lvlText w:val="%1."/>
      <w:lvlJc w:val="left"/>
      <w:pPr>
        <w:tabs>
          <w:tab w:val="num" w:pos="720"/>
        </w:tabs>
        <w:ind w:left="720" w:hanging="360"/>
      </w:pPr>
    </w:lvl>
    <w:lvl w:ilvl="1" w:tplc="00006BF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01F"/>
    <w:multiLevelType w:val="hybridMultilevel"/>
    <w:tmpl w:val="00005D03"/>
    <w:lvl w:ilvl="0" w:tplc="00007A5A">
      <w:start w:val="2"/>
      <w:numFmt w:val="decimal"/>
      <w:lvlText w:val="%1."/>
      <w:lvlJc w:val="left"/>
      <w:pPr>
        <w:tabs>
          <w:tab w:val="num" w:pos="720"/>
        </w:tabs>
        <w:ind w:left="720" w:hanging="360"/>
      </w:pPr>
    </w:lvl>
    <w:lvl w:ilvl="1" w:tplc="0000767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049"/>
    <w:multiLevelType w:val="hybridMultilevel"/>
    <w:tmpl w:val="0000692C"/>
    <w:lvl w:ilvl="0" w:tplc="00004A80">
      <w:start w:val="1"/>
      <w:numFmt w:val="decimal"/>
      <w:lvlText w:val="%1"/>
      <w:lvlJc w:val="left"/>
      <w:pPr>
        <w:tabs>
          <w:tab w:val="num" w:pos="720"/>
        </w:tabs>
        <w:ind w:left="720" w:hanging="360"/>
      </w:pPr>
    </w:lvl>
    <w:lvl w:ilvl="1" w:tplc="000018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2AE"/>
    <w:multiLevelType w:val="hybridMultilevel"/>
    <w:tmpl w:val="00006952"/>
    <w:lvl w:ilvl="0" w:tplc="00005F90">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7983"/>
    <w:multiLevelType w:val="hybridMultilevel"/>
    <w:tmpl w:val="000075EF"/>
    <w:lvl w:ilvl="0" w:tplc="00004657">
      <w:start w:val="1"/>
      <w:numFmt w:val="decimal"/>
      <w:lvlText w:val="%1"/>
      <w:lvlJc w:val="left"/>
      <w:pPr>
        <w:tabs>
          <w:tab w:val="num" w:pos="720"/>
        </w:tabs>
        <w:ind w:left="720" w:hanging="360"/>
      </w:pPr>
    </w:lvl>
    <w:lvl w:ilvl="1" w:tplc="00002C49">
      <w:start w:val="2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BB9"/>
    <w:multiLevelType w:val="hybridMultilevel"/>
    <w:tmpl w:val="00005772"/>
    <w:lvl w:ilvl="0" w:tplc="0000139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E87"/>
    <w:multiLevelType w:val="hybridMultilevel"/>
    <w:tmpl w:val="0000390C"/>
    <w:lvl w:ilvl="0" w:tplc="00000F3E">
      <w:start w:val="1"/>
      <w:numFmt w:val="decimal"/>
      <w:lvlText w:val="%1"/>
      <w:lvlJc w:val="left"/>
      <w:pPr>
        <w:tabs>
          <w:tab w:val="num" w:pos="720"/>
        </w:tabs>
        <w:ind w:left="720" w:hanging="360"/>
      </w:pPr>
    </w:lvl>
    <w:lvl w:ilvl="1" w:tplc="00000099">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F4F"/>
    <w:multiLevelType w:val="hybridMultilevel"/>
    <w:tmpl w:val="0000494A"/>
    <w:lvl w:ilvl="0" w:tplc="0000067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F96"/>
    <w:multiLevelType w:val="hybridMultilevel"/>
    <w:tmpl w:val="00007FF5"/>
    <w:lvl w:ilvl="0" w:tplc="00004E45">
      <w:start w:val="1"/>
      <w:numFmt w:val="decimal"/>
      <w:lvlText w:val="%1."/>
      <w:lvlJc w:val="left"/>
      <w:pPr>
        <w:tabs>
          <w:tab w:val="num" w:pos="720"/>
        </w:tabs>
        <w:ind w:left="720" w:hanging="360"/>
      </w:pPr>
    </w:lvl>
    <w:lvl w:ilvl="1" w:tplc="000032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3"/>
  </w:num>
  <w:num w:numId="2">
    <w:abstractNumId w:val="67"/>
  </w:num>
  <w:num w:numId="3">
    <w:abstractNumId w:val="57"/>
  </w:num>
  <w:num w:numId="4">
    <w:abstractNumId w:val="59"/>
  </w:num>
  <w:num w:numId="5">
    <w:abstractNumId w:val="62"/>
  </w:num>
  <w:num w:numId="6">
    <w:abstractNumId w:val="55"/>
  </w:num>
  <w:num w:numId="7">
    <w:abstractNumId w:val="66"/>
  </w:num>
  <w:num w:numId="8">
    <w:abstractNumId w:val="68"/>
  </w:num>
  <w:num w:numId="9">
    <w:abstractNumId w:val="58"/>
  </w:num>
  <w:num w:numId="10">
    <w:abstractNumId w:val="61"/>
  </w:num>
  <w:num w:numId="11">
    <w:abstractNumId w:val="60"/>
  </w:num>
  <w:num w:numId="12">
    <w:abstractNumId w:val="65"/>
  </w:num>
  <w:num w:numId="13">
    <w:abstractNumId w:val="56"/>
  </w:num>
  <w:num w:numId="14">
    <w:abstractNumId w:val="64"/>
  </w:num>
  <w:num w:numId="15">
    <w:abstractNumId w:val="0"/>
  </w:num>
  <w:num w:numId="16">
    <w:abstractNumId w:val="42"/>
  </w:num>
  <w:num w:numId="17">
    <w:abstractNumId w:val="17"/>
  </w:num>
  <w:num w:numId="18">
    <w:abstractNumId w:val="38"/>
  </w:num>
  <w:num w:numId="19">
    <w:abstractNumId w:val="48"/>
  </w:num>
  <w:num w:numId="20">
    <w:abstractNumId w:val="8"/>
  </w:num>
  <w:num w:numId="21">
    <w:abstractNumId w:val="25"/>
  </w:num>
  <w:num w:numId="22">
    <w:abstractNumId w:val="4"/>
  </w:num>
  <w:num w:numId="23">
    <w:abstractNumId w:val="51"/>
  </w:num>
  <w:num w:numId="24">
    <w:abstractNumId w:val="3"/>
  </w:num>
  <w:num w:numId="25">
    <w:abstractNumId w:val="32"/>
  </w:num>
  <w:num w:numId="26">
    <w:abstractNumId w:val="19"/>
  </w:num>
  <w:num w:numId="27">
    <w:abstractNumId w:val="41"/>
  </w:num>
  <w:num w:numId="28">
    <w:abstractNumId w:val="46"/>
  </w:num>
  <w:num w:numId="29">
    <w:abstractNumId w:val="29"/>
  </w:num>
  <w:num w:numId="30">
    <w:abstractNumId w:val="45"/>
  </w:num>
  <w:num w:numId="31">
    <w:abstractNumId w:val="54"/>
  </w:num>
  <w:num w:numId="32">
    <w:abstractNumId w:val="12"/>
  </w:num>
  <w:num w:numId="33">
    <w:abstractNumId w:val="18"/>
  </w:num>
  <w:num w:numId="34">
    <w:abstractNumId w:val="2"/>
  </w:num>
  <w:num w:numId="35">
    <w:abstractNumId w:val="13"/>
  </w:num>
  <w:num w:numId="36">
    <w:abstractNumId w:val="43"/>
  </w:num>
  <w:num w:numId="37">
    <w:abstractNumId w:val="10"/>
  </w:num>
  <w:num w:numId="38">
    <w:abstractNumId w:val="21"/>
  </w:num>
  <w:num w:numId="39">
    <w:abstractNumId w:val="31"/>
  </w:num>
  <w:num w:numId="40">
    <w:abstractNumId w:val="30"/>
  </w:num>
  <w:num w:numId="41">
    <w:abstractNumId w:val="11"/>
  </w:num>
  <w:num w:numId="42">
    <w:abstractNumId w:val="52"/>
  </w:num>
  <w:num w:numId="43">
    <w:abstractNumId w:val="7"/>
  </w:num>
  <w:num w:numId="44">
    <w:abstractNumId w:val="34"/>
  </w:num>
  <w:num w:numId="45">
    <w:abstractNumId w:val="6"/>
  </w:num>
  <w:num w:numId="46">
    <w:abstractNumId w:val="16"/>
  </w:num>
  <w:num w:numId="47">
    <w:abstractNumId w:val="50"/>
  </w:num>
  <w:num w:numId="48">
    <w:abstractNumId w:val="47"/>
  </w:num>
  <w:num w:numId="49">
    <w:abstractNumId w:val="9"/>
  </w:num>
  <w:num w:numId="50">
    <w:abstractNumId w:val="24"/>
  </w:num>
  <w:num w:numId="51">
    <w:abstractNumId w:val="14"/>
  </w:num>
  <w:num w:numId="52">
    <w:abstractNumId w:val="39"/>
  </w:num>
  <w:num w:numId="53">
    <w:abstractNumId w:val="5"/>
  </w:num>
  <w:num w:numId="54">
    <w:abstractNumId w:val="26"/>
  </w:num>
  <w:num w:numId="55">
    <w:abstractNumId w:val="49"/>
  </w:num>
  <w:num w:numId="56">
    <w:abstractNumId w:val="22"/>
  </w:num>
  <w:num w:numId="57">
    <w:abstractNumId w:val="20"/>
  </w:num>
  <w:num w:numId="58">
    <w:abstractNumId w:val="36"/>
  </w:num>
  <w:num w:numId="59">
    <w:abstractNumId w:val="40"/>
  </w:num>
  <w:num w:numId="60">
    <w:abstractNumId w:val="23"/>
  </w:num>
  <w:num w:numId="61">
    <w:abstractNumId w:val="53"/>
  </w:num>
  <w:num w:numId="62">
    <w:abstractNumId w:val="27"/>
  </w:num>
  <w:num w:numId="63">
    <w:abstractNumId w:val="33"/>
  </w:num>
  <w:num w:numId="64">
    <w:abstractNumId w:val="44"/>
  </w:num>
  <w:num w:numId="65">
    <w:abstractNumId w:val="37"/>
  </w:num>
  <w:num w:numId="66">
    <w:abstractNumId w:val="15"/>
  </w:num>
  <w:num w:numId="67">
    <w:abstractNumId w:val="35"/>
  </w:num>
  <w:num w:numId="68">
    <w:abstractNumId w:val="1"/>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FC8"/>
    <w:rsid w:val="00031EAE"/>
    <w:rsid w:val="00055EF0"/>
    <w:rsid w:val="00062CDC"/>
    <w:rsid w:val="00065A61"/>
    <w:rsid w:val="00070486"/>
    <w:rsid w:val="00074F1A"/>
    <w:rsid w:val="00081637"/>
    <w:rsid w:val="0008614D"/>
    <w:rsid w:val="000864C6"/>
    <w:rsid w:val="00092F88"/>
    <w:rsid w:val="000974A8"/>
    <w:rsid w:val="000A2D4F"/>
    <w:rsid w:val="000A49AD"/>
    <w:rsid w:val="000B0834"/>
    <w:rsid w:val="000B542B"/>
    <w:rsid w:val="000B77EE"/>
    <w:rsid w:val="000C009D"/>
    <w:rsid w:val="000C27D6"/>
    <w:rsid w:val="000C6570"/>
    <w:rsid w:val="000C6F69"/>
    <w:rsid w:val="000D0A64"/>
    <w:rsid w:val="000D30F9"/>
    <w:rsid w:val="000E1343"/>
    <w:rsid w:val="000E222C"/>
    <w:rsid w:val="000F69FB"/>
    <w:rsid w:val="000F7181"/>
    <w:rsid w:val="00100597"/>
    <w:rsid w:val="0010301B"/>
    <w:rsid w:val="001132CA"/>
    <w:rsid w:val="00121928"/>
    <w:rsid w:val="00130DBD"/>
    <w:rsid w:val="0015429E"/>
    <w:rsid w:val="00156FB5"/>
    <w:rsid w:val="001700FA"/>
    <w:rsid w:val="00173677"/>
    <w:rsid w:val="001854A7"/>
    <w:rsid w:val="0018559E"/>
    <w:rsid w:val="001B5FD1"/>
    <w:rsid w:val="001D5AFC"/>
    <w:rsid w:val="001D660B"/>
    <w:rsid w:val="001D6AB8"/>
    <w:rsid w:val="001F339E"/>
    <w:rsid w:val="00203D3E"/>
    <w:rsid w:val="002056AB"/>
    <w:rsid w:val="0022573F"/>
    <w:rsid w:val="00246E3D"/>
    <w:rsid w:val="00255E44"/>
    <w:rsid w:val="00257BA7"/>
    <w:rsid w:val="002619DD"/>
    <w:rsid w:val="002665FF"/>
    <w:rsid w:val="002823BA"/>
    <w:rsid w:val="00282D8B"/>
    <w:rsid w:val="00283758"/>
    <w:rsid w:val="00294C85"/>
    <w:rsid w:val="002A0BB5"/>
    <w:rsid w:val="002A24D2"/>
    <w:rsid w:val="002A6207"/>
    <w:rsid w:val="002B04CF"/>
    <w:rsid w:val="002C39CA"/>
    <w:rsid w:val="002D198A"/>
    <w:rsid w:val="002E25A7"/>
    <w:rsid w:val="002F7390"/>
    <w:rsid w:val="00306643"/>
    <w:rsid w:val="00311363"/>
    <w:rsid w:val="003150AB"/>
    <w:rsid w:val="00317D1A"/>
    <w:rsid w:val="00320A1A"/>
    <w:rsid w:val="003260CB"/>
    <w:rsid w:val="00327EE6"/>
    <w:rsid w:val="003322D5"/>
    <w:rsid w:val="00335A87"/>
    <w:rsid w:val="00335CF1"/>
    <w:rsid w:val="003402FE"/>
    <w:rsid w:val="003426E5"/>
    <w:rsid w:val="003528EB"/>
    <w:rsid w:val="00376110"/>
    <w:rsid w:val="00381003"/>
    <w:rsid w:val="00386C42"/>
    <w:rsid w:val="003932B7"/>
    <w:rsid w:val="003936DC"/>
    <w:rsid w:val="003956DB"/>
    <w:rsid w:val="0039693E"/>
    <w:rsid w:val="003B2EB1"/>
    <w:rsid w:val="003B484D"/>
    <w:rsid w:val="003B4992"/>
    <w:rsid w:val="003B6E25"/>
    <w:rsid w:val="003C4E80"/>
    <w:rsid w:val="003C6DB1"/>
    <w:rsid w:val="003C7493"/>
    <w:rsid w:val="003E0D84"/>
    <w:rsid w:val="003E7E5B"/>
    <w:rsid w:val="003F6C6D"/>
    <w:rsid w:val="00400601"/>
    <w:rsid w:val="00405B47"/>
    <w:rsid w:val="00407220"/>
    <w:rsid w:val="00412C91"/>
    <w:rsid w:val="004161A0"/>
    <w:rsid w:val="00420092"/>
    <w:rsid w:val="00420559"/>
    <w:rsid w:val="00422576"/>
    <w:rsid w:val="00422DBD"/>
    <w:rsid w:val="004405F4"/>
    <w:rsid w:val="004407DA"/>
    <w:rsid w:val="0044086C"/>
    <w:rsid w:val="00440DD0"/>
    <w:rsid w:val="00441BDE"/>
    <w:rsid w:val="00445288"/>
    <w:rsid w:val="00445A46"/>
    <w:rsid w:val="00447877"/>
    <w:rsid w:val="004516BD"/>
    <w:rsid w:val="0045358D"/>
    <w:rsid w:val="00463C7A"/>
    <w:rsid w:val="004644E3"/>
    <w:rsid w:val="0047481D"/>
    <w:rsid w:val="00476E4B"/>
    <w:rsid w:val="00477F4F"/>
    <w:rsid w:val="004800AD"/>
    <w:rsid w:val="00482BFB"/>
    <w:rsid w:val="0048678A"/>
    <w:rsid w:val="00496932"/>
    <w:rsid w:val="004A4699"/>
    <w:rsid w:val="004A5104"/>
    <w:rsid w:val="004A639B"/>
    <w:rsid w:val="004D238F"/>
    <w:rsid w:val="004D29B8"/>
    <w:rsid w:val="004D4701"/>
    <w:rsid w:val="004D4A22"/>
    <w:rsid w:val="004D76D2"/>
    <w:rsid w:val="004E090F"/>
    <w:rsid w:val="004E6CB8"/>
    <w:rsid w:val="004F02DE"/>
    <w:rsid w:val="004F4495"/>
    <w:rsid w:val="0050032D"/>
    <w:rsid w:val="00505A93"/>
    <w:rsid w:val="00505DF5"/>
    <w:rsid w:val="00510A71"/>
    <w:rsid w:val="005261C2"/>
    <w:rsid w:val="00541488"/>
    <w:rsid w:val="00542698"/>
    <w:rsid w:val="005435A3"/>
    <w:rsid w:val="00544FA2"/>
    <w:rsid w:val="00547444"/>
    <w:rsid w:val="00561939"/>
    <w:rsid w:val="0056588E"/>
    <w:rsid w:val="005772A2"/>
    <w:rsid w:val="005820B3"/>
    <w:rsid w:val="005A2848"/>
    <w:rsid w:val="005A6080"/>
    <w:rsid w:val="005B1DB6"/>
    <w:rsid w:val="005C691D"/>
    <w:rsid w:val="005D216D"/>
    <w:rsid w:val="005D37A4"/>
    <w:rsid w:val="005E1070"/>
    <w:rsid w:val="005E118E"/>
    <w:rsid w:val="005E54D7"/>
    <w:rsid w:val="006064D4"/>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9095F"/>
    <w:rsid w:val="006A4EB6"/>
    <w:rsid w:val="006B392E"/>
    <w:rsid w:val="006B43E1"/>
    <w:rsid w:val="006B5B86"/>
    <w:rsid w:val="006B6D60"/>
    <w:rsid w:val="006D170E"/>
    <w:rsid w:val="006D23AD"/>
    <w:rsid w:val="006D4717"/>
    <w:rsid w:val="006D65CE"/>
    <w:rsid w:val="006E160D"/>
    <w:rsid w:val="006E2C99"/>
    <w:rsid w:val="006E38C2"/>
    <w:rsid w:val="006F1BEF"/>
    <w:rsid w:val="00702DE3"/>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3C8A"/>
    <w:rsid w:val="007777D5"/>
    <w:rsid w:val="007831ED"/>
    <w:rsid w:val="00793260"/>
    <w:rsid w:val="007A00B0"/>
    <w:rsid w:val="007A1C85"/>
    <w:rsid w:val="007B35EC"/>
    <w:rsid w:val="007B7293"/>
    <w:rsid w:val="007C0165"/>
    <w:rsid w:val="007D0BD6"/>
    <w:rsid w:val="007D1233"/>
    <w:rsid w:val="007E17D7"/>
    <w:rsid w:val="007E4959"/>
    <w:rsid w:val="007E7C0C"/>
    <w:rsid w:val="007F299D"/>
    <w:rsid w:val="007F2E7A"/>
    <w:rsid w:val="00805940"/>
    <w:rsid w:val="00807549"/>
    <w:rsid w:val="00816DC9"/>
    <w:rsid w:val="00825A57"/>
    <w:rsid w:val="0083543E"/>
    <w:rsid w:val="00844090"/>
    <w:rsid w:val="008546AE"/>
    <w:rsid w:val="00854C63"/>
    <w:rsid w:val="008633AB"/>
    <w:rsid w:val="00863CED"/>
    <w:rsid w:val="00864FE5"/>
    <w:rsid w:val="00876A5B"/>
    <w:rsid w:val="0089202F"/>
    <w:rsid w:val="00896BB5"/>
    <w:rsid w:val="008A2775"/>
    <w:rsid w:val="008B5617"/>
    <w:rsid w:val="008B567D"/>
    <w:rsid w:val="008C1B81"/>
    <w:rsid w:val="008C1C18"/>
    <w:rsid w:val="008D1458"/>
    <w:rsid w:val="008D6D39"/>
    <w:rsid w:val="008D6F1B"/>
    <w:rsid w:val="008D7A71"/>
    <w:rsid w:val="008E61E6"/>
    <w:rsid w:val="008E6727"/>
    <w:rsid w:val="008F234C"/>
    <w:rsid w:val="008F46A9"/>
    <w:rsid w:val="00917678"/>
    <w:rsid w:val="009220E2"/>
    <w:rsid w:val="009226EA"/>
    <w:rsid w:val="0093267A"/>
    <w:rsid w:val="00936267"/>
    <w:rsid w:val="00936DEC"/>
    <w:rsid w:val="00937821"/>
    <w:rsid w:val="00945178"/>
    <w:rsid w:val="009600C7"/>
    <w:rsid w:val="00960F71"/>
    <w:rsid w:val="00964D84"/>
    <w:rsid w:val="009664D5"/>
    <w:rsid w:val="00986E76"/>
    <w:rsid w:val="0099084D"/>
    <w:rsid w:val="00996DCE"/>
    <w:rsid w:val="009A2847"/>
    <w:rsid w:val="009A5594"/>
    <w:rsid w:val="009B3BEC"/>
    <w:rsid w:val="009C35B9"/>
    <w:rsid w:val="009C4017"/>
    <w:rsid w:val="009C6AE2"/>
    <w:rsid w:val="009E3CFE"/>
    <w:rsid w:val="009E64A1"/>
    <w:rsid w:val="009E7AE4"/>
    <w:rsid w:val="009F5B5A"/>
    <w:rsid w:val="00A02825"/>
    <w:rsid w:val="00A1143D"/>
    <w:rsid w:val="00A13F40"/>
    <w:rsid w:val="00A210D7"/>
    <w:rsid w:val="00A32303"/>
    <w:rsid w:val="00A327BE"/>
    <w:rsid w:val="00A43E1C"/>
    <w:rsid w:val="00A663E3"/>
    <w:rsid w:val="00A66F55"/>
    <w:rsid w:val="00A70622"/>
    <w:rsid w:val="00A75CF2"/>
    <w:rsid w:val="00A81018"/>
    <w:rsid w:val="00A87D9B"/>
    <w:rsid w:val="00A903CD"/>
    <w:rsid w:val="00A94D8C"/>
    <w:rsid w:val="00AA0C72"/>
    <w:rsid w:val="00AA1416"/>
    <w:rsid w:val="00AC24F2"/>
    <w:rsid w:val="00AC2CA5"/>
    <w:rsid w:val="00AC63A1"/>
    <w:rsid w:val="00AF60ED"/>
    <w:rsid w:val="00B30BE2"/>
    <w:rsid w:val="00B5050A"/>
    <w:rsid w:val="00B51972"/>
    <w:rsid w:val="00B62A02"/>
    <w:rsid w:val="00B64DBD"/>
    <w:rsid w:val="00B6799A"/>
    <w:rsid w:val="00B71CB1"/>
    <w:rsid w:val="00B822C6"/>
    <w:rsid w:val="00B82C22"/>
    <w:rsid w:val="00B83B2E"/>
    <w:rsid w:val="00B84288"/>
    <w:rsid w:val="00B865B6"/>
    <w:rsid w:val="00B92B70"/>
    <w:rsid w:val="00BA05B8"/>
    <w:rsid w:val="00BC391F"/>
    <w:rsid w:val="00BC411E"/>
    <w:rsid w:val="00BC437B"/>
    <w:rsid w:val="00BD1E70"/>
    <w:rsid w:val="00BD1EB0"/>
    <w:rsid w:val="00BD518D"/>
    <w:rsid w:val="00BE1146"/>
    <w:rsid w:val="00BE3CBF"/>
    <w:rsid w:val="00BF03D0"/>
    <w:rsid w:val="00BF249A"/>
    <w:rsid w:val="00BF37A6"/>
    <w:rsid w:val="00BF4FBE"/>
    <w:rsid w:val="00C02AAE"/>
    <w:rsid w:val="00C04C31"/>
    <w:rsid w:val="00C105B5"/>
    <w:rsid w:val="00C13A6C"/>
    <w:rsid w:val="00C2045B"/>
    <w:rsid w:val="00C22ACC"/>
    <w:rsid w:val="00C33E25"/>
    <w:rsid w:val="00C41420"/>
    <w:rsid w:val="00C641B0"/>
    <w:rsid w:val="00C72297"/>
    <w:rsid w:val="00C732D1"/>
    <w:rsid w:val="00C84AF8"/>
    <w:rsid w:val="00C96649"/>
    <w:rsid w:val="00CA2D7A"/>
    <w:rsid w:val="00CA6A10"/>
    <w:rsid w:val="00CB3A22"/>
    <w:rsid w:val="00CD2284"/>
    <w:rsid w:val="00CD492D"/>
    <w:rsid w:val="00CD768D"/>
    <w:rsid w:val="00CE30FB"/>
    <w:rsid w:val="00CE6B27"/>
    <w:rsid w:val="00CF2106"/>
    <w:rsid w:val="00D03BCA"/>
    <w:rsid w:val="00D10B17"/>
    <w:rsid w:val="00D12C9A"/>
    <w:rsid w:val="00D1416F"/>
    <w:rsid w:val="00D16E3B"/>
    <w:rsid w:val="00D1729C"/>
    <w:rsid w:val="00D2745F"/>
    <w:rsid w:val="00D300FF"/>
    <w:rsid w:val="00D3560E"/>
    <w:rsid w:val="00D359E5"/>
    <w:rsid w:val="00D418A2"/>
    <w:rsid w:val="00D4212D"/>
    <w:rsid w:val="00D47864"/>
    <w:rsid w:val="00D6632F"/>
    <w:rsid w:val="00D700D9"/>
    <w:rsid w:val="00D71837"/>
    <w:rsid w:val="00D92147"/>
    <w:rsid w:val="00D97DEF"/>
    <w:rsid w:val="00DB75B1"/>
    <w:rsid w:val="00DC10B1"/>
    <w:rsid w:val="00DC3826"/>
    <w:rsid w:val="00DC3904"/>
    <w:rsid w:val="00DC3CEE"/>
    <w:rsid w:val="00DD3E4B"/>
    <w:rsid w:val="00DE1396"/>
    <w:rsid w:val="00DF00D5"/>
    <w:rsid w:val="00E020B4"/>
    <w:rsid w:val="00E068E1"/>
    <w:rsid w:val="00E20860"/>
    <w:rsid w:val="00E21788"/>
    <w:rsid w:val="00E218BC"/>
    <w:rsid w:val="00E36001"/>
    <w:rsid w:val="00E4011B"/>
    <w:rsid w:val="00E43E1D"/>
    <w:rsid w:val="00E45171"/>
    <w:rsid w:val="00E530A6"/>
    <w:rsid w:val="00E62A5B"/>
    <w:rsid w:val="00E6692E"/>
    <w:rsid w:val="00E66F3D"/>
    <w:rsid w:val="00E70A76"/>
    <w:rsid w:val="00E73E44"/>
    <w:rsid w:val="00E73E75"/>
    <w:rsid w:val="00E83D54"/>
    <w:rsid w:val="00EA1439"/>
    <w:rsid w:val="00EA18C7"/>
    <w:rsid w:val="00EC14E0"/>
    <w:rsid w:val="00EC5668"/>
    <w:rsid w:val="00EC6D36"/>
    <w:rsid w:val="00ED2987"/>
    <w:rsid w:val="00EE7B6F"/>
    <w:rsid w:val="00EF5332"/>
    <w:rsid w:val="00F10DC8"/>
    <w:rsid w:val="00F14CBE"/>
    <w:rsid w:val="00F167CE"/>
    <w:rsid w:val="00F17800"/>
    <w:rsid w:val="00F219FD"/>
    <w:rsid w:val="00F247D1"/>
    <w:rsid w:val="00F24894"/>
    <w:rsid w:val="00F24E2A"/>
    <w:rsid w:val="00F32D51"/>
    <w:rsid w:val="00F4266E"/>
    <w:rsid w:val="00F45CC2"/>
    <w:rsid w:val="00F46C24"/>
    <w:rsid w:val="00F6703B"/>
    <w:rsid w:val="00F70525"/>
    <w:rsid w:val="00F70FC3"/>
    <w:rsid w:val="00F93886"/>
    <w:rsid w:val="00F945A1"/>
    <w:rsid w:val="00F95227"/>
    <w:rsid w:val="00FA31F6"/>
    <w:rsid w:val="00FA410A"/>
    <w:rsid w:val="00FA550B"/>
    <w:rsid w:val="00FB2938"/>
    <w:rsid w:val="00FC3D93"/>
    <w:rsid w:val="00FE02FB"/>
    <w:rsid w:val="00FE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C7493"/>
    <w:pPr>
      <w:tabs>
        <w:tab w:val="center" w:pos="4536"/>
        <w:tab w:val="right" w:pos="9072"/>
      </w:tabs>
    </w:pPr>
  </w:style>
  <w:style w:type="character" w:customStyle="1" w:styleId="ZhlavChar">
    <w:name w:val="Záhlaví Char"/>
    <w:basedOn w:val="Standardnpsmoodstavce"/>
    <w:link w:val="Zhlav"/>
    <w:uiPriority w:val="99"/>
    <w:semiHidden/>
    <w:rsid w:val="003C7493"/>
  </w:style>
  <w:style w:type="paragraph" w:styleId="Zpat">
    <w:name w:val="footer"/>
    <w:basedOn w:val="Normln"/>
    <w:link w:val="ZpatChar"/>
    <w:uiPriority w:val="99"/>
    <w:semiHidden/>
    <w:unhideWhenUsed/>
    <w:rsid w:val="003C7493"/>
    <w:pPr>
      <w:tabs>
        <w:tab w:val="center" w:pos="4536"/>
        <w:tab w:val="right" w:pos="9072"/>
      </w:tabs>
    </w:pPr>
  </w:style>
  <w:style w:type="character" w:customStyle="1" w:styleId="ZpatChar">
    <w:name w:val="Zápatí Char"/>
    <w:basedOn w:val="Standardnpsmoodstavce"/>
    <w:link w:val="Zpat"/>
    <w:uiPriority w:val="99"/>
    <w:semiHidden/>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C7493"/>
    <w:pPr>
      <w:tabs>
        <w:tab w:val="center" w:pos="4536"/>
        <w:tab w:val="right" w:pos="9072"/>
      </w:tabs>
    </w:pPr>
  </w:style>
  <w:style w:type="character" w:customStyle="1" w:styleId="ZhlavChar">
    <w:name w:val="Záhlaví Char"/>
    <w:basedOn w:val="Standardnpsmoodstavce"/>
    <w:link w:val="Zhlav"/>
    <w:uiPriority w:val="99"/>
    <w:semiHidden/>
    <w:rsid w:val="003C7493"/>
  </w:style>
  <w:style w:type="paragraph" w:styleId="Zpat">
    <w:name w:val="footer"/>
    <w:basedOn w:val="Normln"/>
    <w:link w:val="ZpatChar"/>
    <w:uiPriority w:val="99"/>
    <w:semiHidden/>
    <w:unhideWhenUsed/>
    <w:rsid w:val="003C7493"/>
    <w:pPr>
      <w:tabs>
        <w:tab w:val="center" w:pos="4536"/>
        <w:tab w:val="right" w:pos="9072"/>
      </w:tabs>
    </w:pPr>
  </w:style>
  <w:style w:type="character" w:customStyle="1" w:styleId="ZpatChar">
    <w:name w:val="Zápatí Char"/>
    <w:basedOn w:val="Standardnpsmoodstavce"/>
    <w:link w:val="Zpat"/>
    <w:uiPriority w:val="99"/>
    <w:semiHidden/>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9F10-33E0-40A4-8111-7402662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15998</Words>
  <Characters>94393</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2</cp:revision>
  <cp:lastPrinted>2017-02-08T12:19:00Z</cp:lastPrinted>
  <dcterms:created xsi:type="dcterms:W3CDTF">2017-02-08T12:21:00Z</dcterms:created>
  <dcterms:modified xsi:type="dcterms:W3CDTF">2017-02-08T12:21:00Z</dcterms:modified>
</cp:coreProperties>
</file>