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82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 w14:paraId="119D5881" w14:textId="77777777">
        <w:trPr>
          <w:gridAfter w:val="30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3AE0" w14:textId="77777777" w:rsidR="00F467CC" w:rsidRDefault="00F467CC">
            <w:pPr>
              <w:pStyle w:val="EMPTYCELLSTYLE"/>
            </w:pPr>
          </w:p>
        </w:tc>
      </w:tr>
      <w:tr w:rsidR="47483645" w14:paraId="5C2FC9A2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0FB2" w14:textId="4AC042A9" w:rsidR="0011083A" w:rsidRPr="0011083A" w:rsidRDefault="0011083A" w:rsidP="0011083A">
            <w:pPr>
              <w:pStyle w:val="nadpisSmlouvy"/>
              <w:jc w:val="right"/>
              <w:rPr>
                <w:b w:val="0"/>
                <w:bCs/>
                <w:i/>
                <w:iCs/>
                <w:sz w:val="28"/>
                <w:szCs w:val="28"/>
              </w:rPr>
            </w:pPr>
            <w:r w:rsidRPr="0011083A">
              <w:rPr>
                <w:b w:val="0"/>
                <w:bCs/>
                <w:i/>
                <w:iCs/>
                <w:sz w:val="28"/>
                <w:szCs w:val="28"/>
              </w:rPr>
              <w:t>599/2020/OSMI</w:t>
            </w:r>
          </w:p>
          <w:p w14:paraId="5C58F805" w14:textId="3CBFE6BF" w:rsidR="00F467CC" w:rsidRDefault="00A44B18">
            <w:pPr>
              <w:pStyle w:val="nadpisSmlouvy"/>
            </w:pPr>
            <w:r>
              <w:t>DODATEK č. 2</w:t>
            </w:r>
          </w:p>
        </w:tc>
      </w:tr>
      <w:tr w:rsidR="47483643" w14:paraId="19CC6ECC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2252" w14:textId="77777777" w:rsidR="00F467CC" w:rsidRDefault="00A44B18">
            <w:pPr>
              <w:pStyle w:val="podnadpisDodatku"/>
            </w:pPr>
            <w:r>
              <w:t>(dále také jen „dodatek“)</w:t>
            </w:r>
          </w:p>
        </w:tc>
      </w:tr>
      <w:tr w:rsidR="47483641" w14:paraId="23FE6F99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34C4" w14:textId="77777777" w:rsidR="00F467CC" w:rsidRDefault="00A44B18">
            <w:pPr>
              <w:pStyle w:val="nadpisSmlouvy"/>
            </w:pPr>
            <w:r>
              <w:t xml:space="preserve">k pojistné smlouvě č. </w:t>
            </w:r>
          </w:p>
          <w:p w14:paraId="25CC26EF" w14:textId="77777777" w:rsidR="00F467CC" w:rsidRDefault="00A44B18">
            <w:pPr>
              <w:pStyle w:val="nadpisSmlouvy"/>
            </w:pPr>
            <w:r>
              <w:t>8072505510</w:t>
            </w:r>
          </w:p>
        </w:tc>
      </w:tr>
      <w:tr w:rsidR="47483638" w14:paraId="3144BF95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C1313" w14:textId="77777777" w:rsidR="00F467CC" w:rsidRDefault="00A44B18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1DDB6BD7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7E63" w14:textId="77777777" w:rsidR="00F467CC" w:rsidRDefault="00A44B18">
            <w:pPr>
              <w:pStyle w:val="smluvniStrany"/>
            </w:pPr>
            <w:r>
              <w:t>Smluvní strany:</w:t>
            </w:r>
          </w:p>
        </w:tc>
      </w:tr>
      <w:tr w:rsidR="47483632" w14:paraId="6D3A1E28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E2B6" w14:textId="77777777" w:rsidR="00F467CC" w:rsidRDefault="00A44B18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6F72E2CF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CDA7" w14:textId="77777777" w:rsidR="00F467CC" w:rsidRDefault="00A44B18">
            <w:pPr>
              <w:pStyle w:val="textIdentifikace"/>
            </w:pPr>
            <w:r>
              <w:t>se sídlem Masarykovo náměstí 1458, Zelené Předměstí</w:t>
            </w:r>
          </w:p>
          <w:p w14:paraId="4C1579E0" w14:textId="77777777" w:rsidR="00F467CC" w:rsidRDefault="00A44B18">
            <w:pPr>
              <w:pStyle w:val="textIdentifikace"/>
            </w:pPr>
            <w:r>
              <w:t>53002 Pardubice, Česká republika</w:t>
            </w:r>
          </w:p>
          <w:p w14:paraId="6EF16A07" w14:textId="77777777" w:rsidR="00F467CC" w:rsidRDefault="00A44B18">
            <w:pPr>
              <w:pStyle w:val="textIdentifikace"/>
            </w:pPr>
            <w:r>
              <w:t>IČO: 45534306, DIČ: CZ699000761</w:t>
            </w:r>
          </w:p>
          <w:p w14:paraId="3E7D7EB6" w14:textId="77777777" w:rsidR="00F467CC" w:rsidRDefault="00A44B18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6E0E9BD4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FF1C" w14:textId="77777777" w:rsidR="00F467CC" w:rsidRDefault="00A44B18">
            <w:pPr>
              <w:pStyle w:val="textIdentifikace"/>
            </w:pPr>
            <w:r>
              <w:t>(dále jen pojistitel)</w:t>
            </w:r>
          </w:p>
        </w:tc>
      </w:tr>
      <w:tr w:rsidR="47483622" w14:paraId="7264495E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F8DF" w14:textId="77777777" w:rsidR="00F467CC" w:rsidRDefault="00F106A2">
            <w:pPr>
              <w:pStyle w:val="textIdentifikace"/>
            </w:pPr>
            <w:hyperlink r:id="rId6" w:tgtFrame="_self" w:history="1">
              <w:r w:rsidR="00A44B18">
                <w:t>www.csobpoj.cz</w:t>
              </w:r>
            </w:hyperlink>
          </w:p>
        </w:tc>
      </w:tr>
      <w:tr w:rsidR="47483618" w14:paraId="4850DA9D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8A7F" w14:textId="77777777" w:rsidR="00F467CC" w:rsidRDefault="00A44B18">
            <w:pPr>
              <w:pStyle w:val="textIdentifikaceRadekPred"/>
            </w:pPr>
            <w:r>
              <w:t xml:space="preserve">pojistitele zastupuje: </w:t>
            </w:r>
          </w:p>
        </w:tc>
      </w:tr>
      <w:tr w:rsidR="47483616" w14:paraId="7F11EA83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A6E1" w14:textId="77777777" w:rsidR="00F467CC" w:rsidRDefault="00F467CC">
            <w:pPr>
              <w:pStyle w:val="EMPTYCELLSTYLE"/>
            </w:pPr>
          </w:p>
        </w:tc>
      </w:tr>
      <w:tr w:rsidR="47483614" w14:paraId="6481C01D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AF8E" w14:textId="77777777" w:rsidR="00F467CC" w:rsidRDefault="00A44B18">
            <w:pPr>
              <w:pStyle w:val="smluvniStrany"/>
            </w:pPr>
            <w:r>
              <w:t>a</w:t>
            </w:r>
          </w:p>
        </w:tc>
      </w:tr>
      <w:tr w:rsidR="47483611" w14:paraId="731E1644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3F72B" w14:textId="77777777" w:rsidR="00F467CC" w:rsidRDefault="00A44B18">
            <w:pPr>
              <w:pStyle w:val="jmenoPojistnikaUvod"/>
            </w:pPr>
            <w:r>
              <w:t>Město Český Krumlov</w:t>
            </w:r>
          </w:p>
        </w:tc>
      </w:tr>
      <w:tr w:rsidR="47483609" w14:paraId="1DFA8690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3340" w14:textId="77777777" w:rsidR="00F467CC" w:rsidRDefault="00A44B18">
            <w:pPr>
              <w:pStyle w:val="textIdentifikace"/>
            </w:pPr>
            <w:r>
              <w:t>se sídlem / místem podnikání Náměstí Svornosti 1</w:t>
            </w:r>
          </w:p>
          <w:p w14:paraId="67400486" w14:textId="77777777" w:rsidR="00F467CC" w:rsidRDefault="00A44B18">
            <w:pPr>
              <w:pStyle w:val="textIdentifikace"/>
            </w:pPr>
            <w:r>
              <w:t>38101, Český Krumlov</w:t>
            </w:r>
          </w:p>
        </w:tc>
      </w:tr>
      <w:tr w:rsidR="47483605" w14:paraId="06B00DB6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FBC9" w14:textId="77777777" w:rsidR="00F467CC" w:rsidRDefault="00A44B18">
            <w:pPr>
              <w:pStyle w:val="textIdentifikaceRadekPred"/>
            </w:pPr>
            <w:r>
              <w:t>IČO: 00245836</w:t>
            </w:r>
          </w:p>
        </w:tc>
      </w:tr>
      <w:tr w:rsidR="47483603" w14:paraId="56B6E8C4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C1BB" w14:textId="77777777" w:rsidR="00F467CC" w:rsidRDefault="00A44B18">
            <w:pPr>
              <w:pStyle w:val="textIdentifikace"/>
            </w:pPr>
            <w:r>
              <w:t>-</w:t>
            </w:r>
          </w:p>
        </w:tc>
      </w:tr>
      <w:tr w:rsidR="47483601" w14:paraId="7668C186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8C22" w14:textId="77777777" w:rsidR="00F467CC" w:rsidRDefault="00A44B18">
            <w:pPr>
              <w:pStyle w:val="textIdentifikace"/>
            </w:pPr>
            <w:r>
              <w:t>(dále jen „pojistník“)</w:t>
            </w:r>
          </w:p>
        </w:tc>
      </w:tr>
      <w:tr w:rsidR="47483598" w14:paraId="1854782A" w14:textId="77777777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3555" w14:textId="77777777" w:rsidR="00F467CC" w:rsidRDefault="00A44B18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B6E7" w14:textId="77777777" w:rsidR="00F467CC" w:rsidRDefault="00A44B18">
            <w:pPr>
              <w:pStyle w:val="textIdentifikaceRadekPred"/>
            </w:pPr>
            <w:r>
              <w:t>Mgr. Dalibor Carda, starosta</w:t>
            </w:r>
          </w:p>
        </w:tc>
      </w:tr>
      <w:tr w:rsidR="47483594" w14:paraId="41E6F962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983B" w14:textId="77777777" w:rsidR="00F467CC" w:rsidRDefault="00A44B18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 w14:paraId="14BD1112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F872" w14:textId="77777777" w:rsidR="00F467CC" w:rsidRDefault="00A44B18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 w14:paraId="49216B96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444A958" w14:textId="77777777" w:rsidR="00F467CC" w:rsidRDefault="00A44B18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5D31A4EC" w14:textId="77777777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229326F" w14:textId="77777777" w:rsidR="00F467CC" w:rsidRDefault="00A44B18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8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180971B" w14:textId="77777777" w:rsidR="00F467CC" w:rsidRDefault="00A44B18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20EC834E" w14:textId="77777777">
        <w:tc>
          <w:tcPr>
            <w:tcW w:w="40" w:type="dxa"/>
          </w:tcPr>
          <w:p w14:paraId="5490E1D3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</w:tcPr>
          <w:p w14:paraId="553451A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</w:tcPr>
          <w:p w14:paraId="532DC3D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8740" w:type="dxa"/>
            <w:gridSpan w:val="28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DBE19B2" w14:textId="77777777" w:rsidR="00F467CC" w:rsidRDefault="00F467CC">
            <w:pPr>
              <w:pStyle w:val="EMPTYCELLSTYLE"/>
              <w:keepNext/>
            </w:pPr>
          </w:p>
        </w:tc>
      </w:tr>
      <w:tr w:rsidR="47483582" w14:paraId="45D0477A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5FF4F" w14:textId="77777777" w:rsidR="00F467CC" w:rsidRDefault="00A44B18">
            <w:pPr>
              <w:pStyle w:val="nadpisCyklu"/>
            </w:pPr>
            <w:r>
              <w:t>UKONČENÍ</w:t>
            </w:r>
          </w:p>
        </w:tc>
      </w:tr>
      <w:tr w:rsidR="47483580" w14:paraId="1FC06DD5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DBA0" w14:textId="77777777" w:rsidR="00F467CC" w:rsidRDefault="00A44B18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 xml:space="preserve">NEVZTAHUJE na následující dosavadní hodnoty pojistného zájmu (následující dosavadní </w:t>
            </w:r>
            <w:r>
              <w:rPr>
                <w:b/>
                <w:sz w:val="20"/>
              </w:rPr>
              <w:lastRenderedPageBreak/>
              <w:t>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312FD3" w14:paraId="0A4EA8DD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23CA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95F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8FD3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77E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BCFB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A2A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C6B8" w14:textId="77777777" w:rsidR="00F467CC" w:rsidRDefault="00F467C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69F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22DC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54F8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A27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3FB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27D3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830B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427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D638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1523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9DA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FE5D" w14:textId="77777777" w:rsidR="00F467CC" w:rsidRDefault="00F467CC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83409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3FF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F85D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CC59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2D8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5A8C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AA2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F58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1CB3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E50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395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BB77" w14:textId="77777777" w:rsidR="00F467CC" w:rsidRDefault="00F467CC">
            <w:pPr>
              <w:pStyle w:val="EMPTYCELLSTYLE"/>
              <w:keepNext/>
            </w:pPr>
          </w:p>
        </w:tc>
      </w:tr>
      <w:tr w:rsidR="47483572" w14:paraId="44E58A03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D798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8343" w14:textId="77777777" w:rsidR="00F467CC" w:rsidRDefault="00A44B18">
            <w:pPr>
              <w:pStyle w:val="zarovnaniSNasledujicim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7F26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BE8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2645" w14:textId="77777777" w:rsidR="00F467CC" w:rsidRDefault="00A44B18">
            <w:pPr>
              <w:pStyle w:val="zarovnaniSNasledujicim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80E1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61B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502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F0D6" w14:textId="77777777" w:rsidR="00F467CC" w:rsidRDefault="00A44B18">
            <w:pPr>
              <w:pStyle w:val="zarovnaniSNasledujicim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0F4A" w14:textId="77777777" w:rsidR="00F467CC" w:rsidRDefault="00F467CC">
            <w:pPr>
              <w:pStyle w:val="EMPTYCELLSTYLE"/>
              <w:keepNext/>
            </w:pPr>
          </w:p>
        </w:tc>
      </w:tr>
      <w:tr w:rsidR="47483568" w14:paraId="56D12029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5FF2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8BFF" w14:textId="77777777" w:rsidR="00F467CC" w:rsidRDefault="00A44B18">
            <w:pPr>
              <w:pStyle w:val="tabulkaPojisteniBold"/>
              <w:keepNext/>
              <w:keepLines/>
            </w:pPr>
            <w:r>
              <w:t>2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A19C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ADC6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73F12" w14:textId="77777777" w:rsidR="00F467CC" w:rsidRDefault="00A44B18">
            <w:pPr>
              <w:pStyle w:val="tabulkaPojisteniBold"/>
              <w:keepNext/>
              <w:keepLines/>
            </w:pPr>
            <w:r>
              <w:t xml:space="preserve">2C87424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93F2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6EE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502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5578D" w14:textId="77777777" w:rsidR="00F467CC" w:rsidRDefault="00A44B18">
            <w:pPr>
              <w:pStyle w:val="zarovnaniSNasledujicim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7D56" w14:textId="77777777" w:rsidR="00F467CC" w:rsidRDefault="00F467CC">
            <w:pPr>
              <w:pStyle w:val="EMPTYCELLSTYLE"/>
              <w:keepNext/>
            </w:pPr>
          </w:p>
        </w:tc>
      </w:tr>
      <w:tr w:rsidR="00312FD3" w14:paraId="33F223AB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AF85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470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A1F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62B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FCD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8419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6B3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859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4B6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60F8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BB53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C1F9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C5C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4995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93D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D5F9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A6D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84C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81F2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1089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83C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9F2D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484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B2B2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591D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908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EFC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2DE8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194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F6F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A155B" w14:textId="77777777" w:rsidR="00F467CC" w:rsidRDefault="00F467CC">
            <w:pPr>
              <w:pStyle w:val="EMPTYCELLSTYLE"/>
              <w:keepNext/>
            </w:pPr>
          </w:p>
        </w:tc>
      </w:tr>
      <w:tr w:rsidR="00312FD3" w14:paraId="101613DC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284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AE0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A0D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C8A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7EA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FFB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C20E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E6B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2DA3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854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D8ED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E2E6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737C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4565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1C5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1279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7B0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C768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A5F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DB2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4CE5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A0D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518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C5EB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89759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F60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CD2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294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7A4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E39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E932" w14:textId="77777777" w:rsidR="00F467CC" w:rsidRDefault="00F467CC">
            <w:pPr>
              <w:pStyle w:val="EMPTYCELLSTYLE"/>
              <w:keepNext/>
            </w:pPr>
          </w:p>
        </w:tc>
      </w:tr>
      <w:tr w:rsidR="47483562" w14:paraId="1F8CB53A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999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184F" w14:textId="77777777" w:rsidR="00F467CC" w:rsidRDefault="00A44B18">
            <w:pPr>
              <w:pStyle w:val="zarovnaniSNasledujicim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8276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DB0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A165" w14:textId="77777777" w:rsidR="00F467CC" w:rsidRDefault="00A44B18">
            <w:pPr>
              <w:pStyle w:val="zarovnaniSNasledujicim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7CC77C73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430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8278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F309" w14:textId="77777777" w:rsidR="00F467CC" w:rsidRDefault="00A44B18">
            <w:pPr>
              <w:pStyle w:val="zarovnaniSNasledujicim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7802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D978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83EC" w14:textId="77777777" w:rsidR="00F467CC" w:rsidRDefault="00A44B18">
            <w:pPr>
              <w:pStyle w:val="zarovnaniSNasledujicim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B878" w14:textId="77777777" w:rsidR="00F467CC" w:rsidRDefault="00F467CC">
            <w:pPr>
              <w:pStyle w:val="EMPTYCELLSTYLE"/>
              <w:keepNext/>
            </w:pPr>
          </w:p>
        </w:tc>
      </w:tr>
      <w:tr w:rsidR="47483557" w14:paraId="3719240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3F8B" w14:textId="77777777" w:rsidR="00F467CC" w:rsidRDefault="00F467C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B0A7" w14:textId="77777777" w:rsidR="00F467CC" w:rsidRDefault="00A44B18">
            <w:pPr>
              <w:pStyle w:val="zarovnaniSNasledujicim"/>
              <w:keepNext/>
              <w:keepLines/>
            </w:pPr>
            <w:r>
              <w:t>TMBJY16Y664471703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EBE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ED9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A0ED" w14:textId="77777777" w:rsidR="00F467CC" w:rsidRDefault="00A44B18">
            <w:pPr>
              <w:pStyle w:val="zarovnaniSNasledujicim"/>
              <w:keepNext/>
              <w:keepLines/>
            </w:pPr>
            <w:r>
              <w:t>2005</w:t>
            </w:r>
          </w:p>
        </w:tc>
        <w:tc>
          <w:tcPr>
            <w:tcW w:w="20" w:type="dxa"/>
            <w:shd w:val="clear" w:color="auto" w:fill="FFFFFF"/>
          </w:tcPr>
          <w:p w14:paraId="1FDF886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9FC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870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0DAC" w14:textId="77777777" w:rsidR="00F467CC" w:rsidRDefault="00A44B18">
            <w:pPr>
              <w:pStyle w:val="zarovnaniSNasledujicim"/>
              <w:keepNext/>
              <w:keepLines/>
            </w:pPr>
            <w:r>
              <w:t>vlastní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774B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6319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6A4E" w14:textId="77777777" w:rsidR="00F467CC" w:rsidRDefault="00A44B18">
            <w:pPr>
              <w:pStyle w:val="zarovnaniSNasledujicim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2353" w14:textId="77777777" w:rsidR="00F467CC" w:rsidRDefault="00F467CC">
            <w:pPr>
              <w:pStyle w:val="EMPTYCELLSTYLE"/>
              <w:keepNext/>
            </w:pPr>
          </w:p>
        </w:tc>
      </w:tr>
      <w:tr w:rsidR="00312FD3" w14:paraId="7FBFA17A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256B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D6F22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4F75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08C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B85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C956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C44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CD8D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6F4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63C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046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F2F0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A825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6DCD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53EC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67B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AF4C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CBF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2536" w14:textId="77777777" w:rsidR="00F467CC" w:rsidRDefault="00F467C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24CBA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59A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4772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B515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CA36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3C74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08E1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784E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16A3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3DEF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FE80B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CF55" w14:textId="77777777" w:rsidR="00F467CC" w:rsidRDefault="00F467CC">
            <w:pPr>
              <w:pStyle w:val="EMPTYCELLSTYLE"/>
              <w:keepNext/>
            </w:pPr>
          </w:p>
        </w:tc>
      </w:tr>
      <w:tr w:rsidR="47483551" w14:paraId="44E3C84A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A2CEF6" w14:textId="77777777" w:rsidR="00F467CC" w:rsidRDefault="00A44B18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EAA723" w14:textId="77777777" w:rsidR="00F467CC" w:rsidRDefault="00A44B18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1A8F42" w14:textId="77777777" w:rsidR="00F467CC" w:rsidRDefault="00A44B18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FF68A87" w14:textId="77777777" w:rsidR="00F467CC" w:rsidRDefault="00A44B18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2D4CAF" w14:textId="77777777" w:rsidR="00F467CC" w:rsidRDefault="00A44B18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545" w14:paraId="0F2336F9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879C3E" w14:textId="77777777" w:rsidR="00F467CC" w:rsidRDefault="00A44B18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81DCCC" w14:textId="77777777" w:rsidR="00F467CC" w:rsidRDefault="00A44B18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007C10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95 000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A458B1" w14:textId="77777777" w:rsidR="00F467CC" w:rsidRDefault="00F467CC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EB40D6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1 %, min. 1 000 Kč</w:t>
            </w:r>
          </w:p>
        </w:tc>
      </w:tr>
      <w:tr w:rsidR="47483540" w14:paraId="2E695125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00B124" w14:textId="77777777" w:rsidR="00F467CC" w:rsidRDefault="00A44B18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98A53F" w14:textId="77777777" w:rsidR="00F467CC" w:rsidRDefault="00A44B18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9081C54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95 000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33B66E" w14:textId="77777777" w:rsidR="00F467CC" w:rsidRDefault="00F467CC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EA73CD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1 %, min. 1 000 Kč</w:t>
            </w:r>
          </w:p>
        </w:tc>
      </w:tr>
      <w:tr w:rsidR="47483535" w14:paraId="0B67FBB1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5AD1D5" w14:textId="77777777" w:rsidR="00F467CC" w:rsidRDefault="00A44B18">
            <w:pPr>
              <w:pStyle w:val="tableTD"/>
              <w:keepNext/>
              <w:keepLines/>
            </w:pPr>
            <w:r>
              <w:t>ÚRAZ (+DO)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30A69B" w14:textId="77777777" w:rsidR="00F467CC" w:rsidRDefault="00A44B18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745411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C9B5CA" w14:textId="77777777" w:rsidR="00F467CC" w:rsidRDefault="00F467CC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4FE744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530" w14:paraId="02577F7D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2F5C91" w14:textId="77777777" w:rsidR="00F467CC" w:rsidRDefault="00A44B18">
            <w:pPr>
              <w:pStyle w:val="tableTD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FEE10B" w14:textId="77777777" w:rsidR="00F467CC" w:rsidRDefault="00A44B18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0C4FF1" w14:textId="77777777" w:rsidR="00F467CC" w:rsidRDefault="00F467CC">
            <w:pPr>
              <w:pStyle w:val="tableTD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63AE6F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5 000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27C905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500 Kč</w:t>
            </w:r>
          </w:p>
        </w:tc>
      </w:tr>
      <w:tr w:rsidR="47483525" w14:paraId="575DF4B9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C29A80" w14:textId="77777777" w:rsidR="00F467CC" w:rsidRDefault="00A44B18">
            <w:pPr>
              <w:pStyle w:val="tableTD"/>
              <w:keepNext/>
              <w:keepLines/>
            </w:pPr>
            <w:r>
              <w:t>ASNdo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AE1444" w14:textId="77777777" w:rsidR="00F467CC" w:rsidRDefault="00A44B18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4C5789" w14:textId="77777777" w:rsidR="00F467CC" w:rsidRDefault="00F467CC">
            <w:pPr>
              <w:pStyle w:val="tableTD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C6ECA5" w14:textId="77777777" w:rsidR="00F467CC" w:rsidRDefault="00F467CC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7179E3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521" w14:paraId="569B7072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2F67" w14:textId="77777777" w:rsidR="00F467CC" w:rsidRDefault="00F467CC">
            <w:pPr>
              <w:pStyle w:val="beznyText"/>
            </w:pPr>
          </w:p>
          <w:p w14:paraId="7F616638" w14:textId="77777777" w:rsidR="00312FD3" w:rsidRDefault="00312FD3">
            <w:pPr>
              <w:pStyle w:val="beznyText"/>
            </w:pPr>
          </w:p>
        </w:tc>
      </w:tr>
      <w:tr w:rsidR="47483520" w14:paraId="3C3623BA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BA3B" w14:textId="77777777" w:rsidR="00F467CC" w:rsidRDefault="00A44B18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518" w14:paraId="6187E8DD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4057C8D" w14:textId="77777777" w:rsidR="00F467CC" w:rsidRDefault="00A44B18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516" w14:paraId="52F03680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569B" w14:textId="77777777" w:rsidR="00F467CC" w:rsidRDefault="00A44B18">
            <w:pPr>
              <w:pStyle w:val="smallBold"/>
            </w:pPr>
            <w:r>
              <w:t>Výše pojistného za jednotlivá pojištění činí:</w:t>
            </w:r>
          </w:p>
        </w:tc>
      </w:tr>
      <w:tr w:rsidR="47483513" w14:paraId="429C59A7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679D32" w14:textId="77777777" w:rsidR="00F467CC" w:rsidRDefault="00F467CC">
            <w:pPr>
              <w:pStyle w:val="tableTHbold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06790D" w14:textId="77777777" w:rsidR="00F467CC" w:rsidRDefault="00A44B18">
            <w:pPr>
              <w:pStyle w:val="tableTHbold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5EEB85" w14:textId="77777777" w:rsidR="00F467CC" w:rsidRDefault="00A44B18">
            <w:pPr>
              <w:pStyle w:val="tableTHbold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7E3AA3" w14:textId="77777777" w:rsidR="00F467CC" w:rsidRDefault="00A44B18">
            <w:pPr>
              <w:pStyle w:val="tableTHbold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509" w14:paraId="35A93EAA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283EBA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FB1DFE" w14:textId="77777777" w:rsidR="00F467CC" w:rsidRDefault="00A44B18">
            <w:pPr>
              <w:pStyle w:val="tableTD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BA6A7F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-3 839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7947716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158 337 Kč</w:t>
            </w:r>
          </w:p>
        </w:tc>
      </w:tr>
      <w:tr w:rsidR="47483504" w14:paraId="49B3DBE4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D806" w14:textId="77777777" w:rsidR="00F467CC" w:rsidRDefault="00F467C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D36F7" w14:textId="77777777" w:rsidR="00F467CC" w:rsidRDefault="00F467C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AB4D" w14:textId="77777777" w:rsidR="00F467CC" w:rsidRDefault="00F467C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6F55" w14:textId="77777777" w:rsidR="00F467CC" w:rsidRDefault="00F467C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D8DC" w14:textId="77777777" w:rsidR="00F467CC" w:rsidRDefault="00F467CC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BD469D" w14:textId="77777777" w:rsidR="00F467CC" w:rsidRDefault="00A44B18">
            <w:pPr>
              <w:pStyle w:val="tableTD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4AD4F1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-3 839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6D80E93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158 337 Kč</w:t>
            </w:r>
          </w:p>
        </w:tc>
      </w:tr>
      <w:tr w:rsidR="47483500" w14:paraId="04877877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A667" w14:textId="77777777" w:rsidR="00F467CC" w:rsidRDefault="00F467CC">
            <w:pPr>
              <w:pStyle w:val="zarovnaniSNasledujicim"/>
              <w:keepNext/>
              <w:keepLines/>
            </w:pPr>
          </w:p>
        </w:tc>
      </w:tr>
      <w:tr w:rsidR="47483498" w14:paraId="75E894EC" w14:textId="77777777">
        <w:trPr>
          <w:cantSplit/>
        </w:trPr>
        <w:tc>
          <w:tcPr>
            <w:tcW w:w="660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2525CD" w14:textId="77777777" w:rsidR="00F467CC" w:rsidRDefault="00A44B18">
            <w:pPr>
              <w:pStyle w:val="tableTD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182808A2" w14:textId="77777777" w:rsidR="00F467CC" w:rsidRDefault="00A44B18">
            <w:pPr>
              <w:pStyle w:val="tableTD"/>
              <w:keepNext/>
              <w:keepLines/>
            </w:pPr>
            <w:r>
              <w:rPr>
                <w:b/>
              </w:rPr>
              <w:t>Od 29.07.2020</w:t>
            </w:r>
            <w:r>
              <w:t xml:space="preserve"> 00:00 hodin </w:t>
            </w:r>
            <w:r>
              <w:rPr>
                <w:b/>
              </w:rPr>
              <w:t>do 01.01.2021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2DFFC8D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-1 637 Kč</w:t>
            </w:r>
          </w:p>
        </w:tc>
      </w:tr>
      <w:tr w:rsidR="47483491" w14:paraId="1406EFCA" w14:textId="77777777">
        <w:trPr>
          <w:cantSplit/>
        </w:trPr>
        <w:tc>
          <w:tcPr>
            <w:tcW w:w="660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A60A8E" w14:textId="77777777" w:rsidR="00F467CC" w:rsidRDefault="00A44B18">
            <w:pPr>
              <w:pStyle w:val="tableTD"/>
              <w:keepNext/>
              <w:keepLines/>
            </w:pPr>
            <w:r>
              <w:t>Součet splátek pojistného z předešlého dodatku číslo 1</w:t>
            </w:r>
          </w:p>
          <w:p w14:paraId="5AEFEE48" w14:textId="77777777" w:rsidR="00F467CC" w:rsidRDefault="00A44B18">
            <w:pPr>
              <w:pStyle w:val="tableTD"/>
              <w:keepNext/>
              <w:keepLines/>
            </w:pPr>
            <w:r>
              <w:rPr>
                <w:b/>
              </w:rPr>
              <w:t>Od 29.07.2020</w:t>
            </w:r>
            <w:r>
              <w:t xml:space="preserve"> 00:00 hodin </w:t>
            </w:r>
            <w:r>
              <w:rPr>
                <w:b/>
              </w:rPr>
              <w:t>do 01.01.2021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95345F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0 Kč</w:t>
            </w:r>
          </w:p>
        </w:tc>
      </w:tr>
      <w:tr w:rsidR="47483484" w14:paraId="6D0C42C4" w14:textId="77777777">
        <w:trPr>
          <w:cantSplit/>
        </w:trPr>
        <w:tc>
          <w:tcPr>
            <w:tcW w:w="660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29D29A" w14:textId="77777777" w:rsidR="00F467CC" w:rsidRDefault="00A44B18">
            <w:pPr>
              <w:pStyle w:val="tableTD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4813CF5" w14:textId="77777777" w:rsidR="00F467CC" w:rsidRDefault="00A44B18">
            <w:pPr>
              <w:pStyle w:val="tableTD"/>
              <w:keepNext/>
              <w:keepLines/>
              <w:jc w:val="right"/>
            </w:pPr>
            <w:r>
              <w:t>-1 637 Kč</w:t>
            </w:r>
          </w:p>
        </w:tc>
      </w:tr>
      <w:tr w:rsidR="47483481" w14:paraId="2A84F8AB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4926" w14:textId="77777777" w:rsidR="00F467CC" w:rsidRDefault="00F467CC">
            <w:pPr>
              <w:pStyle w:val="beznyText"/>
            </w:pPr>
          </w:p>
        </w:tc>
      </w:tr>
      <w:tr w:rsidR="47483478" w14:paraId="41AF126A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84FF" w14:textId="77777777" w:rsidR="00F467CC" w:rsidRDefault="00A44B18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70" w14:paraId="76BC1253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35EF" w14:textId="77777777" w:rsidR="00F467CC" w:rsidRDefault="00A44B18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66" w14:paraId="382366E1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E7C6" w14:textId="77777777" w:rsidR="00F467CC" w:rsidRDefault="00A44B18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462" w14:paraId="3FD395D3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E984F" w14:textId="77777777" w:rsidR="00F467CC" w:rsidRDefault="00A44B18">
            <w:pPr>
              <w:pStyle w:val="textNormalBlokB90"/>
            </w:pPr>
            <w:r>
              <w:t>Na dodatku pojistné smlouvy vznikl přeplatek ve výši 1 637 Kč, který bude vrácen pojistníkovi, pokud o něj zažádá, nebo je možné přeplatek odečíst od nejbližší splátky pojistného v případě, že tato splátka existuje.</w:t>
            </w:r>
          </w:p>
          <w:p w14:paraId="3395EEFC" w14:textId="77777777" w:rsidR="00312FD3" w:rsidRDefault="00312FD3">
            <w:pPr>
              <w:pStyle w:val="textNormalBlokB90"/>
            </w:pPr>
          </w:p>
          <w:p w14:paraId="19FDFCAF" w14:textId="77777777" w:rsidR="00312FD3" w:rsidRDefault="00312FD3">
            <w:pPr>
              <w:pStyle w:val="textNormalBlokB90"/>
            </w:pPr>
          </w:p>
        </w:tc>
      </w:tr>
      <w:tr w:rsidR="47483459" w14:paraId="0E8F0719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87BC" w14:textId="77777777" w:rsidR="00F467CC" w:rsidRDefault="00A44B18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457" w14:paraId="23116B02" w14:textId="77777777">
        <w:tc>
          <w:tcPr>
            <w:tcW w:w="910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0100EB8" w14:textId="77777777" w:rsidR="00F467CC" w:rsidRDefault="00A44B18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454" w14:paraId="0BA78106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EE1C" w14:textId="77777777" w:rsidR="00F467CC" w:rsidRDefault="00A44B18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A5D4" w14:textId="77777777" w:rsidR="00F467CC" w:rsidRDefault="00A44B18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29.07.2020</w:t>
            </w:r>
          </w:p>
        </w:tc>
      </w:tr>
      <w:tr w:rsidR="47483450" w14:paraId="2350FA6E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6FD7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487A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1AB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4A6E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34E48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DE5A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CD08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A776F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BAC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91B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399A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A928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1FB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EA6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12E8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55E6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501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6B3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5BC0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99C2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8C7B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1ED4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842F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B866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D2CE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1A0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502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6D98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3BB6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604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44F3F" w14:textId="77777777" w:rsidR="00F467CC" w:rsidRDefault="00F467CC">
            <w:pPr>
              <w:pStyle w:val="EMPTYCELLSTYLE"/>
            </w:pPr>
          </w:p>
        </w:tc>
      </w:tr>
      <w:tr w:rsidR="47483449" w14:paraId="142BB764" w14:textId="77777777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1FEE" w14:textId="77777777" w:rsidR="00F467CC" w:rsidRDefault="00A44B18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E2B9" w14:textId="77777777" w:rsidR="00F467CC" w:rsidRDefault="00A44B18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446" w14:paraId="3D80D819" w14:textId="77777777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252F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34CA5C3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524038E4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</w:tcPr>
          <w:p w14:paraId="04D3624A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</w:tcPr>
          <w:p w14:paraId="3C6E7418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746893EF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</w:tcPr>
          <w:p w14:paraId="6B002225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</w:tcPr>
          <w:p w14:paraId="7F2ADC0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2A48CD3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45F69A5E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</w:tcPr>
          <w:p w14:paraId="208CCFA2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55063844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6AA96E4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00F98BDE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</w:tcPr>
          <w:p w14:paraId="00777BD9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</w:tcPr>
          <w:p w14:paraId="02D6F02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0AC7CF9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2E747128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</w:tcPr>
          <w:p w14:paraId="4425D1F9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</w:tcPr>
          <w:p w14:paraId="79F51CA6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</w:tcPr>
          <w:p w14:paraId="4B59171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33D6F6AA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</w:tcPr>
          <w:p w14:paraId="58C1AB87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</w:tcPr>
          <w:p w14:paraId="18DE36BB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1FE671D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66AADB2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43A6B6B8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</w:tcPr>
          <w:p w14:paraId="6DBC903A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</w:tcPr>
          <w:p w14:paraId="75F5E3A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752C3F2F" w14:textId="77777777" w:rsidR="00F467CC" w:rsidRDefault="00F467CC">
            <w:pPr>
              <w:pStyle w:val="EMPTYCELLSTYLE"/>
            </w:pPr>
          </w:p>
        </w:tc>
      </w:tr>
      <w:tr w:rsidR="47483444" w14:paraId="1A6808DC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11D3" w14:textId="77777777" w:rsidR="00F467CC" w:rsidRDefault="00A44B18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7DDA" w14:textId="77777777" w:rsidR="00F467CC" w:rsidRDefault="00A44B18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440" w14:paraId="572448D8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B2B8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0BAB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7C4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C159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5735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9153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0DC4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918B4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9F0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060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8035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2B2C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A2BF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417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EAD7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2E2B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0F5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A59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564C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686A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9D4D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50F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E958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ACDD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503B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DF3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387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44EF8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6CF6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16A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ACC2" w14:textId="77777777" w:rsidR="00F467CC" w:rsidRDefault="00F467CC">
            <w:pPr>
              <w:pStyle w:val="EMPTYCELLSTYLE"/>
            </w:pPr>
          </w:p>
        </w:tc>
      </w:tr>
      <w:tr w:rsidR="47483439" w14:paraId="37E6076C" w14:textId="77777777">
        <w:tc>
          <w:tcPr>
            <w:tcW w:w="40" w:type="dxa"/>
          </w:tcPr>
          <w:p w14:paraId="260B736B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20578765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58F1F80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55C4B8D9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3F49" w14:textId="77777777" w:rsidR="00F467CC" w:rsidRDefault="00A44B18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C749" w14:textId="77777777" w:rsidR="00F467CC" w:rsidRDefault="00A44B18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436" w14:paraId="2CF0B70F" w14:textId="77777777">
        <w:tc>
          <w:tcPr>
            <w:tcW w:w="40" w:type="dxa"/>
          </w:tcPr>
          <w:p w14:paraId="0EB79427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33BB4E72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33BD40A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7E67482C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AE94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4181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AE41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DCE4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D22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B66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68B6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5E449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9A0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489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D173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07A3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D06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F79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B646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6169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EC03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F41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4816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4822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3FE1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7A9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191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7054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32B7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550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7A8A" w14:textId="77777777" w:rsidR="00F467CC" w:rsidRDefault="00F467CC">
            <w:pPr>
              <w:pStyle w:val="EMPTYCELLSTYLE"/>
            </w:pPr>
          </w:p>
        </w:tc>
      </w:tr>
      <w:tr w:rsidR="47483435" w14:paraId="17ED1FBE" w14:textId="77777777">
        <w:tc>
          <w:tcPr>
            <w:tcW w:w="40" w:type="dxa"/>
          </w:tcPr>
          <w:p w14:paraId="29AB7365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3176C554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347D06F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3B816808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D21F" w14:textId="77777777" w:rsidR="00F467CC" w:rsidRDefault="00A44B18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D995" w14:textId="77777777" w:rsidR="00F467CC" w:rsidRDefault="00A44B18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432" w14:paraId="74C3556F" w14:textId="77777777">
        <w:tc>
          <w:tcPr>
            <w:tcW w:w="40" w:type="dxa"/>
          </w:tcPr>
          <w:p w14:paraId="7EE7841A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12C3CF9C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7D00586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114B70BC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9A91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65DFA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2D97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D7AA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7E7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19D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08FA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1750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569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C8D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80A1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4D85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C78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423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0E5FC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E29F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9AB8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5E1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3249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C827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4B65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499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09C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7619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8B60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ACA1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1465" w14:textId="77777777" w:rsidR="00F467CC" w:rsidRDefault="00F467CC">
            <w:pPr>
              <w:pStyle w:val="EMPTYCELLSTYLE"/>
            </w:pPr>
          </w:p>
        </w:tc>
      </w:tr>
      <w:tr w:rsidR="47483431" w14:paraId="4783A953" w14:textId="77777777">
        <w:tc>
          <w:tcPr>
            <w:tcW w:w="40" w:type="dxa"/>
          </w:tcPr>
          <w:p w14:paraId="04B16F26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2601C6F8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2D3ADA7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45DC77FA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7CC0" w14:textId="77777777" w:rsidR="00F467CC" w:rsidRDefault="00A44B18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9DCD" w14:textId="77777777" w:rsidR="00F467CC" w:rsidRDefault="00A44B18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428" w14:paraId="6228A726" w14:textId="77777777">
        <w:tc>
          <w:tcPr>
            <w:tcW w:w="40" w:type="dxa"/>
          </w:tcPr>
          <w:p w14:paraId="2103A58D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23F2E83E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38C45A1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5FC09D03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5D91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8FF0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EB97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6CE01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E78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CD7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6C30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3D3C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11C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814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1CD2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555D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D004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ED6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CBAE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B9D6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2899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581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24E9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9FFC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803C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47A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956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9824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8E99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3E4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FFB5" w14:textId="77777777" w:rsidR="00F467CC" w:rsidRDefault="00F467CC">
            <w:pPr>
              <w:pStyle w:val="EMPTYCELLSTYLE"/>
            </w:pPr>
          </w:p>
        </w:tc>
      </w:tr>
      <w:tr w:rsidR="47483427" w14:paraId="03B06E5D" w14:textId="77777777">
        <w:tc>
          <w:tcPr>
            <w:tcW w:w="40" w:type="dxa"/>
          </w:tcPr>
          <w:p w14:paraId="4CA136A5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5FBA299D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03DB456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0E0334D3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4E68" w14:textId="77777777" w:rsidR="00F467CC" w:rsidRDefault="00A44B18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B7C2" w14:textId="77777777" w:rsidR="00F467CC" w:rsidRDefault="00A44B18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424" w14:paraId="039D11EB" w14:textId="77777777">
        <w:tc>
          <w:tcPr>
            <w:tcW w:w="40" w:type="dxa"/>
          </w:tcPr>
          <w:p w14:paraId="228693F1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1FE65A32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631EFB3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36995383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A833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7DAD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24D2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775D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F3E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3CA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10E1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75A9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99C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48C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B9E7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DB5E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74FC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930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7367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FECD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C3C9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AA2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1DA6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349B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0D35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572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FABF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CD52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29669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08E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0F5C" w14:textId="77777777" w:rsidR="00F467CC" w:rsidRDefault="00F467CC">
            <w:pPr>
              <w:pStyle w:val="EMPTYCELLSTYLE"/>
            </w:pPr>
          </w:p>
        </w:tc>
      </w:tr>
      <w:tr w:rsidR="47483422" w14:paraId="5F91D726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2183" w14:textId="77777777" w:rsidR="00F467CC" w:rsidRDefault="00A44B18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80D3" w14:textId="77777777" w:rsidR="00F467CC" w:rsidRDefault="00A44B18">
            <w:pPr>
              <w:pStyle w:val="beznyText"/>
            </w:pPr>
            <w:r>
              <w:t>Prohlašuji a svým podpisem níže stvrzuji, že:</w:t>
            </w:r>
          </w:p>
        </w:tc>
      </w:tr>
      <w:tr w:rsidR="47483419" w14:paraId="14C50758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A4FE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19C75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1BD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805C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3C4A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A7E5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BAD5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5185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5AD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F04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A006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EF27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975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AFB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CCBC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0643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1A7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522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7298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20CA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AA9E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42F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05B2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857F4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00C3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F98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9A5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B23B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44DF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E4C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3788" w14:textId="77777777" w:rsidR="00F467CC" w:rsidRDefault="00F467CC">
            <w:pPr>
              <w:pStyle w:val="EMPTYCELLSTYLE"/>
            </w:pPr>
          </w:p>
        </w:tc>
      </w:tr>
      <w:tr w:rsidR="47483418" w14:paraId="140637B7" w14:textId="77777777">
        <w:tc>
          <w:tcPr>
            <w:tcW w:w="40" w:type="dxa"/>
          </w:tcPr>
          <w:p w14:paraId="65B77184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498AB7C9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69B963E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083A4C25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D5E6" w14:textId="77777777" w:rsidR="00F467CC" w:rsidRDefault="00A44B18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5A3B5" w14:textId="77777777" w:rsidR="00F467CC" w:rsidRDefault="00A44B18">
            <w:pPr>
              <w:pStyle w:val="textNormalBlokB9VolnyRadekPred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415" w14:paraId="1014F504" w14:textId="77777777">
        <w:tc>
          <w:tcPr>
            <w:tcW w:w="40" w:type="dxa"/>
          </w:tcPr>
          <w:p w14:paraId="4D941C9B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461A37D5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76DCB1D4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0B9F0EDA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65FC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5581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1180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3AF6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B294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AEF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BD82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F466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D48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396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EFA6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74DF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400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AB5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63B5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B94C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6855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68E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78EE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50479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70C5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151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50A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DD38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980A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AAA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7541" w14:textId="77777777" w:rsidR="00F467CC" w:rsidRDefault="00F467CC">
            <w:pPr>
              <w:pStyle w:val="EMPTYCELLSTYLE"/>
            </w:pPr>
          </w:p>
        </w:tc>
      </w:tr>
      <w:tr w:rsidR="47483414" w14:paraId="4C407A4B" w14:textId="77777777">
        <w:tc>
          <w:tcPr>
            <w:tcW w:w="40" w:type="dxa"/>
          </w:tcPr>
          <w:p w14:paraId="0F0848FD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4BE4BDAB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214D25F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27B603DE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29A7" w14:textId="77777777" w:rsidR="00F467CC" w:rsidRDefault="00A44B18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A285" w14:textId="77777777" w:rsidR="00F467CC" w:rsidRDefault="00A44B18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411" w14:paraId="5802BD3A" w14:textId="77777777">
        <w:tc>
          <w:tcPr>
            <w:tcW w:w="40" w:type="dxa"/>
          </w:tcPr>
          <w:p w14:paraId="60A06F01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05CF5873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7E80FA8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3517390D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69E2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EBD9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E17C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436B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0C9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5AA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3897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F217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3227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B4D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AE09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6FA1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3D97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BC5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6AC9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93AA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90CA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596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3503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9785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A494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8A4B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0B3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9F3C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965D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584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BA17" w14:textId="77777777" w:rsidR="00F467CC" w:rsidRDefault="00F467CC">
            <w:pPr>
              <w:pStyle w:val="EMPTYCELLSTYLE"/>
            </w:pPr>
          </w:p>
        </w:tc>
      </w:tr>
      <w:tr w:rsidR="47483410" w14:paraId="136D76B7" w14:textId="77777777">
        <w:tc>
          <w:tcPr>
            <w:tcW w:w="40" w:type="dxa"/>
          </w:tcPr>
          <w:p w14:paraId="7C222EBC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4667EC3D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1BDEC97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4CE28908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CC5A" w14:textId="77777777" w:rsidR="00F467CC" w:rsidRDefault="00A44B18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675E" w14:textId="77777777" w:rsidR="00F467CC" w:rsidRDefault="00A44B18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407" w14:paraId="04827063" w14:textId="77777777">
        <w:tc>
          <w:tcPr>
            <w:tcW w:w="40" w:type="dxa"/>
          </w:tcPr>
          <w:p w14:paraId="696FFDBB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0865D211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4538959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26CEA8C7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B09C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341A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A4B6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96BB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821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A67E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FF84E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B2D0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8D4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EEF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1B7F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945A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29E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10E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5306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01D9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8E30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B5A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CF5D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FAC1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7B07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AF3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6CA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5D65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C8E7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1E4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A9BC" w14:textId="77777777" w:rsidR="00F467CC" w:rsidRDefault="00F467CC">
            <w:pPr>
              <w:pStyle w:val="EMPTYCELLSTYLE"/>
            </w:pPr>
          </w:p>
        </w:tc>
      </w:tr>
      <w:tr w:rsidR="47483406" w14:paraId="00A4CAF6" w14:textId="77777777">
        <w:tc>
          <w:tcPr>
            <w:tcW w:w="40" w:type="dxa"/>
          </w:tcPr>
          <w:p w14:paraId="1B1E34B9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70D95DDE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5DF3047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4EFFE62F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6A72" w14:textId="77777777" w:rsidR="00F467CC" w:rsidRDefault="00A44B18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7B4A" w14:textId="77777777" w:rsidR="00F467CC" w:rsidRDefault="00A44B18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403" w14:paraId="00DBB480" w14:textId="77777777">
        <w:tc>
          <w:tcPr>
            <w:tcW w:w="40" w:type="dxa"/>
          </w:tcPr>
          <w:p w14:paraId="4D0AE342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35BD350B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36A8B2A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00DB5BDC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C58F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F975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E248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C9C2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9FD0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EDE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596B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19CF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266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9E7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6120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C1F2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3907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B2C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A7EC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F4B5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93C8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12D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518A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0502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EA74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3DF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97D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861A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493F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B96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4AC8" w14:textId="77777777" w:rsidR="00F467CC" w:rsidRDefault="00F467CC">
            <w:pPr>
              <w:pStyle w:val="EMPTYCELLSTYLE"/>
            </w:pPr>
          </w:p>
        </w:tc>
      </w:tr>
      <w:tr w:rsidR="47483402" w14:paraId="06F707BD" w14:textId="77777777">
        <w:tc>
          <w:tcPr>
            <w:tcW w:w="40" w:type="dxa"/>
          </w:tcPr>
          <w:p w14:paraId="07A83DD0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5C580797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3828059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726AFF7D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60DD" w14:textId="77777777" w:rsidR="00F467CC" w:rsidRDefault="00A44B18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BAE7" w14:textId="77777777" w:rsidR="00F467CC" w:rsidRDefault="00A44B18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399" w14:paraId="1CA5CC45" w14:textId="77777777">
        <w:tc>
          <w:tcPr>
            <w:tcW w:w="40" w:type="dxa"/>
          </w:tcPr>
          <w:p w14:paraId="4DF08CA4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20504526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427986E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4B399D1E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6721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5805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9B8C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1AA3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8B5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7AEA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DD90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AD30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D60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220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9C65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A277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658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C68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65D6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78D7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AF7D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3104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41CB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CC54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AC93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591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CC4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C8A4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229C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64D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0984" w14:textId="77777777" w:rsidR="00F467CC" w:rsidRDefault="00F467CC">
            <w:pPr>
              <w:pStyle w:val="EMPTYCELLSTYLE"/>
            </w:pPr>
          </w:p>
        </w:tc>
      </w:tr>
      <w:tr w:rsidR="47483398" w14:paraId="093042B0" w14:textId="77777777">
        <w:tc>
          <w:tcPr>
            <w:tcW w:w="40" w:type="dxa"/>
          </w:tcPr>
          <w:p w14:paraId="1F9A3934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7A9133F6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2F836DC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601796F4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EDCE" w14:textId="77777777" w:rsidR="00F467CC" w:rsidRDefault="00A44B18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9F2D" w14:textId="77777777" w:rsidR="00F467CC" w:rsidRDefault="00A44B18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395" w14:paraId="540D15D3" w14:textId="77777777">
        <w:tc>
          <w:tcPr>
            <w:tcW w:w="40" w:type="dxa"/>
          </w:tcPr>
          <w:p w14:paraId="1B7B1C67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5CFD5350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7D72113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1C0BF73A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2A0A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7D6D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967C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15B8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2BA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908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F28A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8921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E672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AE9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CC1E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7F00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169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694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1713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E98C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A228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4D3F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7E53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EB6D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940E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C6A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189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02FF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C0D0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ACA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3CC5" w14:textId="77777777" w:rsidR="00F467CC" w:rsidRDefault="00F467CC">
            <w:pPr>
              <w:pStyle w:val="EMPTYCELLSTYLE"/>
            </w:pPr>
          </w:p>
        </w:tc>
      </w:tr>
      <w:tr w:rsidR="47483394" w14:paraId="39CD0AD3" w14:textId="77777777">
        <w:tc>
          <w:tcPr>
            <w:tcW w:w="40" w:type="dxa"/>
          </w:tcPr>
          <w:p w14:paraId="150B2BB4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68984904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35361A3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77994C55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3F3B" w14:textId="77777777" w:rsidR="00F467CC" w:rsidRDefault="00A44B18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9912" w14:textId="77777777" w:rsidR="00F467CC" w:rsidRDefault="00A44B18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391" w14:paraId="2C599772" w14:textId="77777777">
        <w:tc>
          <w:tcPr>
            <w:tcW w:w="40" w:type="dxa"/>
          </w:tcPr>
          <w:p w14:paraId="0A251ED7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4D1CDDF2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677B5D7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02BD5BD3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6CF8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2C3A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9E83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7E195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CA5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960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3327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4A3D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F5A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EC4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F747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2634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5057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DCF7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D4E3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C42F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1000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8A1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A59C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400A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AED4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C3C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44B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0CE8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CD64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362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F87D" w14:textId="77777777" w:rsidR="00F467CC" w:rsidRDefault="00F467CC">
            <w:pPr>
              <w:pStyle w:val="EMPTYCELLSTYLE"/>
            </w:pPr>
          </w:p>
        </w:tc>
      </w:tr>
      <w:tr w:rsidR="47483390" w14:paraId="503C323C" w14:textId="77777777">
        <w:tc>
          <w:tcPr>
            <w:tcW w:w="40" w:type="dxa"/>
          </w:tcPr>
          <w:p w14:paraId="0413C78F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05DB75F2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4F4872D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296AAF92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4B7A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868C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932F" w14:textId="77777777" w:rsidR="00F467CC" w:rsidRDefault="00A44B1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4253" w14:textId="77777777" w:rsidR="00F467CC" w:rsidRDefault="00A44B18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387" w14:paraId="7A692008" w14:textId="77777777">
        <w:tc>
          <w:tcPr>
            <w:tcW w:w="40" w:type="dxa"/>
          </w:tcPr>
          <w:p w14:paraId="305FF799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6CAA6D37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612CBF8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0CBBA0B1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5E33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9156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5CAB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F074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4DE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A1B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C5CB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CE32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18A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D72E4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D85D3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9FD4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805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CB9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6A66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9F47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2090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0FE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DCDD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F7FA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2F06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E71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95E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A75E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A2EF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5FE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DEED" w14:textId="77777777" w:rsidR="00F467CC" w:rsidRDefault="00F467CC">
            <w:pPr>
              <w:pStyle w:val="EMPTYCELLSTYLE"/>
            </w:pPr>
          </w:p>
        </w:tc>
      </w:tr>
      <w:tr w:rsidR="47483386" w14:paraId="69BAE73B" w14:textId="77777777">
        <w:tc>
          <w:tcPr>
            <w:tcW w:w="40" w:type="dxa"/>
          </w:tcPr>
          <w:p w14:paraId="2DFECF83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236BB121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7576FEF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71209B4D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DB20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21BC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EB3C" w14:textId="77777777" w:rsidR="00F467CC" w:rsidRDefault="00A44B18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30A5" w14:textId="77777777" w:rsidR="00F467CC" w:rsidRDefault="00A44B18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383" w14:paraId="7C8A9173" w14:textId="77777777">
        <w:tc>
          <w:tcPr>
            <w:tcW w:w="40" w:type="dxa"/>
          </w:tcPr>
          <w:p w14:paraId="4245B29A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</w:tcPr>
          <w:p w14:paraId="06E19491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</w:tcPr>
          <w:p w14:paraId="170D314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</w:tcPr>
          <w:p w14:paraId="70275564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C1CF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EC02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B8FA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54E1F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EC7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EFD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FE0C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DE42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8A4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B84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6AF5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0EA5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C16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A69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CE77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7C61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6437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56B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8D6F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9996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0D85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953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0A9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37DA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619D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9F7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C955" w14:textId="77777777" w:rsidR="00F467CC" w:rsidRDefault="00F467CC">
            <w:pPr>
              <w:pStyle w:val="EMPTYCELLSTYLE"/>
            </w:pPr>
          </w:p>
        </w:tc>
      </w:tr>
      <w:tr w:rsidR="47483380" w14:paraId="435DFA5C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E53B" w14:textId="77777777" w:rsidR="00F467CC" w:rsidRDefault="00A44B18">
            <w:pPr>
              <w:pStyle w:val="textNormal0"/>
            </w:pPr>
            <w:r>
              <w:t>3.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FD66" w14:textId="77777777" w:rsidR="00F467CC" w:rsidRDefault="00A44B18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377" w14:paraId="403CF98B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8021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2A43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0FA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4B4F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FBE6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9D77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C22F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C6AC1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344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2F54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6634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DE09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F6E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E57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3037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73BD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F79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600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FC5D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3841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DF7F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C25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183D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CDAD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46CF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285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C9AC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BD4C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0972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FF0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8F1D" w14:textId="77777777" w:rsidR="00F467CC" w:rsidRDefault="00F467CC">
            <w:pPr>
              <w:pStyle w:val="EMPTYCELLSTYLE"/>
            </w:pPr>
          </w:p>
        </w:tc>
      </w:tr>
      <w:tr w:rsidR="47483376" w14:paraId="214EAFDC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1133" w14:textId="77777777" w:rsidR="00F467CC" w:rsidRDefault="00A44B18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CB36" w14:textId="77777777" w:rsidR="00F467CC" w:rsidRDefault="00A44B18">
            <w:pPr>
              <w:pStyle w:val="textNormalB9"/>
            </w:pPr>
            <w:r>
              <w:t>Správce pojistné smlouvy: Bc. Marcela Dvořáková</w:t>
            </w:r>
          </w:p>
        </w:tc>
      </w:tr>
      <w:tr w:rsidR="47483373" w14:paraId="5B6AAA78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4B35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2A9D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944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B645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2611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526F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5A9E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47A1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8921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8D1A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929E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6B8D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2C3E2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8FC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23CC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41E4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C08A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398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2616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0F7A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B454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E1D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FE174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EBA4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DDE0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B86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6C68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D0F0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441A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8D2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3C93" w14:textId="77777777" w:rsidR="00F467CC" w:rsidRDefault="00F467CC">
            <w:pPr>
              <w:pStyle w:val="EMPTYCELLSTYLE"/>
            </w:pPr>
          </w:p>
        </w:tc>
      </w:tr>
      <w:tr w:rsidR="47483372" w14:paraId="4FA08FA9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99FB" w14:textId="77777777" w:rsidR="00F467CC" w:rsidRDefault="00A44B18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0A99" w14:textId="77777777" w:rsidR="00F467CC" w:rsidRDefault="00A44B18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764F" w14:textId="77777777" w:rsidR="00F467CC" w:rsidRDefault="00A44B18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312FD3">
              <w:rPr>
                <w:noProof/>
              </w:rPr>
              <w:t>4</w:t>
            </w:r>
            <w:r>
              <w:fldChar w:fldCharType="end"/>
            </w:r>
          </w:p>
        </w:tc>
      </w:tr>
      <w:tr w:rsidR="47483369" w14:paraId="3744689F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33DD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8D95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875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ED1E6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2E83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15C8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6A5B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CF096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87E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97C5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0F5D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42FF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CECC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6F36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80BF7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AFB0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CC2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CC10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F0FF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31DE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D336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95F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B671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FB58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4732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160B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656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3694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7F8B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BEA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E21D" w14:textId="77777777" w:rsidR="00F467CC" w:rsidRDefault="00F467CC">
            <w:pPr>
              <w:pStyle w:val="EMPTYCELLSTYLE"/>
            </w:pPr>
          </w:p>
        </w:tc>
      </w:tr>
      <w:tr w:rsidR="47483368" w14:paraId="1785B19C" w14:textId="77777777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7FCA" w14:textId="77777777" w:rsidR="00F467CC" w:rsidRDefault="00A44B18">
            <w:pPr>
              <w:pStyle w:val="textNormalVolnyRadekPred"/>
            </w:pPr>
            <w:r>
              <w:t>6.</w:t>
            </w:r>
          </w:p>
        </w:tc>
        <w:tc>
          <w:tcPr>
            <w:tcW w:w="8800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5507" w14:textId="77777777" w:rsidR="00F467CC" w:rsidRDefault="00A44B18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  <w:p w14:paraId="14AFD5EC" w14:textId="77777777" w:rsidR="00312FD3" w:rsidRDefault="00312FD3">
            <w:pPr>
              <w:pStyle w:val="textNormalBlokB9VolnyRadekPred"/>
            </w:pPr>
          </w:p>
          <w:p w14:paraId="38AE732F" w14:textId="77777777" w:rsidR="00312FD3" w:rsidRDefault="00312FD3">
            <w:pPr>
              <w:pStyle w:val="textNormalBlokB9VolnyRadekPred"/>
            </w:pPr>
          </w:p>
        </w:tc>
      </w:tr>
      <w:tr w:rsidR="47483365" w14:paraId="43DA1CDF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77D9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1B94B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36A7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9EA6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3B6A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4E1D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8B12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17E5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C645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2CC7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8E5C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1E83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5F2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4E8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D986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ACAA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DE6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18A7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675B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D9BC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ECAC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F412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3CC5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2ABC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279E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B084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82C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90449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2A46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C3C0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948F" w14:textId="77777777" w:rsidR="00F467CC" w:rsidRDefault="00F467CC">
            <w:pPr>
              <w:pStyle w:val="EMPTYCELLSTYLE"/>
            </w:pPr>
          </w:p>
        </w:tc>
      </w:tr>
      <w:tr w:rsidR="47483364" w14:paraId="4D723D2F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7892" w14:textId="77777777" w:rsidR="00F467CC" w:rsidRDefault="00A44B18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3F8D" w14:textId="77777777" w:rsidR="00F467CC" w:rsidRDefault="00A44B18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  <w:p w14:paraId="221AB4C7" w14:textId="77777777" w:rsidR="00312FD3" w:rsidRDefault="00312FD3">
            <w:pPr>
              <w:pStyle w:val="textNormalBlok"/>
            </w:pPr>
          </w:p>
          <w:p w14:paraId="759604BD" w14:textId="77777777" w:rsidR="00312FD3" w:rsidRDefault="00312FD3">
            <w:pPr>
              <w:pStyle w:val="textNormalBlok"/>
            </w:pPr>
          </w:p>
          <w:p w14:paraId="1740CDAF" w14:textId="77777777" w:rsidR="00312FD3" w:rsidRDefault="00312FD3">
            <w:pPr>
              <w:pStyle w:val="textNormalBlok"/>
            </w:pPr>
          </w:p>
          <w:p w14:paraId="2C1F7257" w14:textId="77777777" w:rsidR="00312FD3" w:rsidRDefault="00312FD3">
            <w:pPr>
              <w:pStyle w:val="textNormalBlok"/>
            </w:pPr>
          </w:p>
        </w:tc>
      </w:tr>
      <w:tr w:rsidR="47483361" w14:paraId="7ADEC409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1C27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C31C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D2D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D7B2" w14:textId="77777777" w:rsidR="00F467CC" w:rsidRDefault="00F467C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A8D9" w14:textId="77777777" w:rsidR="00F467CC" w:rsidRDefault="00F467C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56DC" w14:textId="77777777" w:rsidR="00F467CC" w:rsidRDefault="00F467C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2171" w14:textId="77777777" w:rsidR="00F467CC" w:rsidRDefault="00F467C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DEFE" w14:textId="77777777" w:rsidR="00F467CC" w:rsidRDefault="00F467C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822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1D24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2CFC" w14:textId="77777777" w:rsidR="00F467CC" w:rsidRDefault="00F467C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6E75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26BE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30F41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0E59" w14:textId="77777777" w:rsidR="00F467CC" w:rsidRDefault="00F467C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4F16" w14:textId="77777777" w:rsidR="00F467CC" w:rsidRDefault="00F467C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E84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5A69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4297" w14:textId="77777777" w:rsidR="00F467CC" w:rsidRDefault="00F467CC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6987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559A" w14:textId="77777777" w:rsidR="00F467CC" w:rsidRDefault="00F467C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F4FF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C4D0" w14:textId="77777777" w:rsidR="00F467CC" w:rsidRDefault="00F467C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21CC" w14:textId="77777777" w:rsidR="00F467CC" w:rsidRDefault="00F467C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7ED4" w14:textId="77777777" w:rsidR="00F467CC" w:rsidRDefault="00F467C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5E43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029D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0571" w14:textId="77777777" w:rsidR="00F467CC" w:rsidRDefault="00F467C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BA09" w14:textId="77777777" w:rsidR="00F467CC" w:rsidRDefault="00F467C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BA05" w14:textId="77777777" w:rsidR="00F467CC" w:rsidRDefault="00F467C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27FB" w14:textId="77777777" w:rsidR="00F467CC" w:rsidRDefault="00F467CC">
            <w:pPr>
              <w:pStyle w:val="EMPTYCELLSTYLE"/>
            </w:pPr>
          </w:p>
        </w:tc>
      </w:tr>
      <w:tr w:rsidR="47483359" w14:paraId="3D9CDBE4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9736" w14:textId="77777777" w:rsidR="00F467CC" w:rsidRDefault="00F467CC">
            <w:pPr>
              <w:pStyle w:val="podpisovePoleSpacer"/>
              <w:keepNext/>
              <w:keepLines/>
            </w:pPr>
          </w:p>
        </w:tc>
      </w:tr>
      <w:tr w:rsidR="47483358" w14:paraId="15BDAF7E" w14:textId="77777777">
        <w:trPr>
          <w:cantSplit/>
        </w:trPr>
        <w:tc>
          <w:tcPr>
            <w:tcW w:w="4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9B89" w14:textId="77777777" w:rsidR="00F467CC" w:rsidRDefault="00312FD3">
            <w:pPr>
              <w:pStyle w:val="beznyText"/>
              <w:keepNext/>
              <w:keepLines/>
            </w:pPr>
            <w:r>
              <w:t>V Českých Budějovicích   dne 28.července 2020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AB38" w14:textId="77777777" w:rsidR="00F467CC" w:rsidRDefault="00A44B18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31D02BA8" w14:textId="77777777" w:rsidR="00F467CC" w:rsidRDefault="00A44B18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  <w:p w14:paraId="1A279B3C" w14:textId="77777777" w:rsidR="00312FD3" w:rsidRDefault="00312FD3">
            <w:pPr>
              <w:pStyle w:val="beznyText"/>
              <w:keepNext/>
              <w:keepLines/>
              <w:jc w:val="center"/>
            </w:pPr>
          </w:p>
          <w:p w14:paraId="7C7B000B" w14:textId="77777777" w:rsidR="00312FD3" w:rsidRDefault="00312FD3">
            <w:pPr>
              <w:pStyle w:val="beznyText"/>
              <w:keepNext/>
              <w:keepLines/>
              <w:jc w:val="center"/>
            </w:pPr>
          </w:p>
        </w:tc>
      </w:tr>
      <w:tr w:rsidR="47483354" w14:paraId="549ADC3B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343D" w14:textId="77777777" w:rsidR="00F467CC" w:rsidRDefault="00F467CC">
            <w:pPr>
              <w:pStyle w:val="podpisovePoleSpacer"/>
              <w:keepNext/>
              <w:keepLines/>
            </w:pPr>
          </w:p>
        </w:tc>
      </w:tr>
      <w:tr w:rsidR="47483353" w14:paraId="45540949" w14:textId="77777777">
        <w:trPr>
          <w:cantSplit/>
        </w:trPr>
        <w:tc>
          <w:tcPr>
            <w:tcW w:w="4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95A1" w14:textId="77777777" w:rsidR="00F467CC" w:rsidRDefault="00312FD3">
            <w:pPr>
              <w:pStyle w:val="beznyText"/>
              <w:keepNext/>
              <w:keepLines/>
            </w:pPr>
            <w:r>
              <w:t>V Českých Budějovicích   dne 28.července 2020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254C" w14:textId="77777777" w:rsidR="00F467CC" w:rsidRDefault="00A44B18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45CF85FD" w14:textId="77777777" w:rsidR="00F467CC" w:rsidRDefault="00A44B18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349" w14:paraId="2B554E5B" w14:textId="77777777">
        <w:trPr>
          <w:cantSplit/>
        </w:trPr>
        <w:tc>
          <w:tcPr>
            <w:tcW w:w="91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0F35" w14:textId="77777777" w:rsidR="00F467CC" w:rsidRDefault="00F467CC">
            <w:pPr>
              <w:pStyle w:val="beznyText"/>
            </w:pPr>
          </w:p>
        </w:tc>
      </w:tr>
      <w:tr w:rsidR="47483347" w14:paraId="1031C7FF" w14:textId="77777777">
        <w:trPr>
          <w:gridAfter w:val="30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B455" w14:textId="77777777" w:rsidR="00F467CC" w:rsidRDefault="00F467CC">
            <w:pPr>
              <w:pStyle w:val="EMPTYCELLSTYLE"/>
            </w:pPr>
          </w:p>
        </w:tc>
      </w:tr>
    </w:tbl>
    <w:p w14:paraId="60D22E12" w14:textId="77777777" w:rsidR="00F467CC" w:rsidRDefault="00F467CC">
      <w:pPr>
        <w:pStyle w:val="beznyText"/>
        <w:sectPr w:rsidR="00F467CC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0"/>
        <w:gridCol w:w="3760"/>
      </w:tblGrid>
      <w:tr w:rsidR="47483344" w14:paraId="43514038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4E5D" w14:textId="77777777" w:rsidR="00F467CC" w:rsidRDefault="00A44B18">
            <w:pPr>
              <w:pStyle w:val="nadpisSplatkovyKalendar"/>
            </w:pPr>
            <w:r>
              <w:lastRenderedPageBreak/>
              <w:t>Splátkový kalendář k dodatku č. 2 pojistné smlouvy</w:t>
            </w:r>
          </w:p>
        </w:tc>
      </w:tr>
      <w:tr w:rsidR="47483342" w14:paraId="2EEB2FAE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76B1" w14:textId="77777777" w:rsidR="00F467CC" w:rsidRDefault="00A44B18">
            <w:pPr>
              <w:pStyle w:val="nadpisSplatkovyKalendar"/>
            </w:pPr>
            <w:r>
              <w:t>č. 8072505510</w:t>
            </w:r>
          </w:p>
        </w:tc>
      </w:tr>
      <w:tr w:rsidR="47483340" w14:paraId="472F163E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F5B7" w14:textId="77777777" w:rsidR="00F467CC" w:rsidRDefault="00F467CC">
            <w:pPr>
              <w:pStyle w:val="beznyText"/>
            </w:pPr>
          </w:p>
        </w:tc>
      </w:tr>
      <w:tr w:rsidR="47483339" w14:paraId="4BA027DF" w14:textId="77777777">
        <w:trPr>
          <w:gridAfter w:val="1"/>
          <w:wAfter w:w="3760" w:type="dxa"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1B2B" w14:textId="77777777" w:rsidR="00F467CC" w:rsidRDefault="00F467CC">
            <w:pPr>
              <w:pStyle w:val="EMPTYCELLSTYLE"/>
            </w:pPr>
          </w:p>
        </w:tc>
      </w:tr>
      <w:tr w:rsidR="47483337" w14:paraId="12F9933E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7B8A" w14:textId="77777777" w:rsidR="00F467CC" w:rsidRDefault="00A44B18">
            <w:pPr>
              <w:pStyle w:val="textNormalBlokB90"/>
            </w:pPr>
            <w:r>
              <w:t>Na dodatku pojistné smlouvy vznikl přeplatek ve výši 1 637 Kč, který bude vrácen pojistníkovi, pokud o něj zažádá, nebo je možné přeplatek odečíst od nejbližší splátky pojistného v případě, že tato splátka existuje.</w:t>
            </w:r>
          </w:p>
          <w:p w14:paraId="115E3BB2" w14:textId="77777777" w:rsidR="00312FD3" w:rsidRDefault="00312FD3">
            <w:pPr>
              <w:pStyle w:val="textNormalBlokB90"/>
            </w:pPr>
          </w:p>
          <w:p w14:paraId="6724D7FB" w14:textId="77777777" w:rsidR="00312FD3" w:rsidRDefault="00312FD3">
            <w:pPr>
              <w:pStyle w:val="textNormalBlokB90"/>
            </w:pPr>
          </w:p>
          <w:p w14:paraId="0B7E9A7E" w14:textId="77777777" w:rsidR="00312FD3" w:rsidRDefault="00312FD3">
            <w:pPr>
              <w:pStyle w:val="textNormalBlokB90"/>
            </w:pPr>
          </w:p>
        </w:tc>
      </w:tr>
      <w:tr w:rsidR="47483335" w14:paraId="095C2CA2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5F3C" w14:textId="77777777" w:rsidR="00F467CC" w:rsidRDefault="00F467CC">
            <w:pPr>
              <w:pStyle w:val="volnyRadekSpacer"/>
            </w:pPr>
          </w:p>
        </w:tc>
      </w:tr>
      <w:tr w:rsidR="47483333" w14:paraId="754D5635" w14:textId="77777777"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004B" w14:textId="77777777" w:rsidR="00F467CC" w:rsidRDefault="00312FD3">
            <w:pPr>
              <w:pStyle w:val="textNormal0"/>
            </w:pPr>
            <w:r>
              <w:t>V Českých Budějovicích   dne 28.července 2020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14FD" w14:textId="77777777" w:rsidR="00F467CC" w:rsidRDefault="00A44B18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1B1AFC4A" w14:textId="77777777" w:rsidR="00F467CC" w:rsidRDefault="00A44B18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328" w14:paraId="66667353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195A" w14:textId="77777777" w:rsidR="00F467CC" w:rsidRDefault="00F467CC">
            <w:pPr>
              <w:pStyle w:val="hlavickaPaticka0"/>
            </w:pPr>
          </w:p>
        </w:tc>
      </w:tr>
    </w:tbl>
    <w:p w14:paraId="03632AFF" w14:textId="77777777" w:rsidR="00F467CC" w:rsidRDefault="00F467CC">
      <w:pPr>
        <w:pStyle w:val="beznyText"/>
      </w:pPr>
      <w:bookmarkStart w:id="1" w:name="B2BBOOKMARK2"/>
      <w:bookmarkEnd w:id="1"/>
    </w:p>
    <w:sectPr w:rsidR="00F467CC">
      <w:headerReference w:type="default" r:id="rId10"/>
      <w:footerReference w:type="default" r:id="rId11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6B60E" w14:textId="77777777" w:rsidR="00F106A2" w:rsidRDefault="00F106A2">
      <w:r>
        <w:separator/>
      </w:r>
    </w:p>
  </w:endnote>
  <w:endnote w:type="continuationSeparator" w:id="0">
    <w:p w14:paraId="2B3E0DFA" w14:textId="77777777" w:rsidR="00F106A2" w:rsidRDefault="00F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3B28" w14:textId="1CB8F5C9" w:rsidR="00F467CC" w:rsidRDefault="00A44B18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646393">
        <w:rPr>
          <w:noProof/>
        </w:rPr>
        <w:t>4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CFBD" w14:textId="77777777" w:rsidR="00F467CC" w:rsidRDefault="00A44B18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5776F" w14:textId="77777777" w:rsidR="00F106A2" w:rsidRDefault="00F106A2">
      <w:r>
        <w:separator/>
      </w:r>
    </w:p>
  </w:footnote>
  <w:footnote w:type="continuationSeparator" w:id="0">
    <w:p w14:paraId="4A2C3250" w14:textId="77777777" w:rsidR="00F106A2" w:rsidRDefault="00F1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99AB" w14:textId="77777777" w:rsidR="00F467CC" w:rsidRDefault="00A44B18">
    <w:pPr>
      <w:pStyle w:val="hlavickaPaticka0"/>
    </w:pPr>
    <w:r>
      <w:t>Číslo pojistné smlouvy: 8072505510 dodatek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23BB" w14:textId="77777777" w:rsidR="00F467CC" w:rsidRDefault="00F467CC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C5BF" w14:textId="77777777" w:rsidR="00F467CC" w:rsidRDefault="00F467CC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CC"/>
    <w:rsid w:val="0011083A"/>
    <w:rsid w:val="00312FD3"/>
    <w:rsid w:val="00335553"/>
    <w:rsid w:val="00646393"/>
    <w:rsid w:val="00905967"/>
    <w:rsid w:val="00A44B18"/>
    <w:rsid w:val="00DC47C8"/>
    <w:rsid w:val="00E45187"/>
    <w:rsid w:val="00F106A2"/>
    <w:rsid w:val="00F4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99DD"/>
  <w15:docId w15:val="{7BE4B20F-8D51-4EFC-9CD5-633466B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rv04\nt04k\OPSPR\OPSPR-&#268;esk&#233;%20Bud&#283;jovice\1_OBCHODN&#205;%20P&#344;&#205;PADY\Kop&#345;ivov&#225;\Nov&#233;%20smlouvy%20B2B\M\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Marcela</dc:creator>
  <cp:lastModifiedBy>Šárka Kabeláčová</cp:lastModifiedBy>
  <cp:revision>2</cp:revision>
  <cp:lastPrinted>2020-07-30T07:24:00Z</cp:lastPrinted>
  <dcterms:created xsi:type="dcterms:W3CDTF">2020-09-15T10:02:00Z</dcterms:created>
  <dcterms:modified xsi:type="dcterms:W3CDTF">2020-09-15T10:02:00Z</dcterms:modified>
</cp:coreProperties>
</file>