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1280"/>
        <w:gridCol w:w="3208"/>
        <w:gridCol w:w="3208"/>
      </w:tblGrid>
      <w:tr w:rsidR="00C90F54" w:rsidTr="00C90F54">
        <w:trPr>
          <w:jc w:val="center"/>
        </w:trPr>
        <w:tc>
          <w:tcPr>
            <w:tcW w:w="0" w:type="auto"/>
            <w:vAlign w:val="center"/>
          </w:tcPr>
          <w:p w:rsidR="00C90F54" w:rsidRDefault="00C90F54" w:rsidP="00C90F54">
            <w:pPr>
              <w:jc w:val="center"/>
            </w:pPr>
            <w:r>
              <w:rPr>
                <w:noProof/>
              </w:rPr>
              <w:drawing>
                <wp:inline distT="0" distB="0" distL="0" distR="0">
                  <wp:extent cx="714375" cy="866775"/>
                  <wp:effectExtent l="0" t="0" r="9525" b="9525"/>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tc>
        <w:tc>
          <w:tcPr>
            <w:tcW w:w="0" w:type="auto"/>
            <w:gridSpan w:val="2"/>
            <w:vAlign w:val="center"/>
          </w:tcPr>
          <w:p w:rsidR="00C90F54" w:rsidRDefault="00C90F54" w:rsidP="00C90F54">
            <w:pPr>
              <w:jc w:val="center"/>
              <w:rPr>
                <w:bCs/>
                <w:sz w:val="22"/>
              </w:rPr>
            </w:pPr>
            <w:r>
              <w:rPr>
                <w:b/>
                <w:bCs/>
                <w:sz w:val="28"/>
              </w:rPr>
              <w:t>MĚSTO KUTNÁ HORA</w:t>
            </w:r>
            <w:r>
              <w:rPr>
                <w:b/>
                <w:bCs/>
                <w:sz w:val="36"/>
              </w:rPr>
              <w:br/>
            </w:r>
            <w:r>
              <w:rPr>
                <w:bCs/>
                <w:sz w:val="22"/>
              </w:rPr>
              <w:t>Havlíčkovo náměstí 552/1, 284 01 Kutná Hora, IČ: 00236195</w:t>
            </w:r>
          </w:p>
          <w:p w:rsidR="00C90F54" w:rsidRPr="00B220C1" w:rsidRDefault="00C90F54" w:rsidP="00C90F54">
            <w:pPr>
              <w:jc w:val="center"/>
              <w:rPr>
                <w:b/>
                <w:bCs/>
              </w:rPr>
            </w:pPr>
            <w:r w:rsidRPr="00B220C1">
              <w:rPr>
                <w:b/>
                <w:bCs/>
              </w:rPr>
              <w:t>Kancelář tajemníka</w:t>
            </w:r>
          </w:p>
          <w:p w:rsidR="00C90F54" w:rsidRDefault="00C90F54" w:rsidP="00C90F54">
            <w:pPr>
              <w:jc w:val="center"/>
              <w:rPr>
                <w:sz w:val="22"/>
              </w:rPr>
            </w:pPr>
            <w:r>
              <w:rPr>
                <w:bCs/>
                <w:sz w:val="22"/>
              </w:rPr>
              <w:t xml:space="preserve"> tel.: 327 710 110, 327 710 111</w:t>
            </w:r>
            <w:r>
              <w:rPr>
                <w:rFonts w:ascii="Arial" w:hAnsi="Arial"/>
                <w:bCs/>
                <w:snapToGrid w:val="0"/>
                <w:sz w:val="22"/>
              </w:rPr>
              <w:t>*</w:t>
            </w:r>
            <w:r>
              <w:rPr>
                <w:bCs/>
                <w:sz w:val="22"/>
              </w:rPr>
              <w:t>, fax: 327 710 106</w:t>
            </w:r>
            <w:r>
              <w:rPr>
                <w:bCs/>
                <w:sz w:val="22"/>
              </w:rPr>
              <w:br/>
              <w:t>e-mail: </w:t>
            </w:r>
            <w:r w:rsidRPr="007B0716">
              <w:rPr>
                <w:bCs/>
                <w:sz w:val="22"/>
              </w:rPr>
              <w:t>podatelna@kutnahora.cz</w:t>
            </w:r>
            <w:r>
              <w:rPr>
                <w:bCs/>
                <w:sz w:val="22"/>
              </w:rPr>
              <w:t xml:space="preserve">,  </w:t>
            </w:r>
            <w:r w:rsidRPr="007B0716">
              <w:rPr>
                <w:bCs/>
                <w:sz w:val="22"/>
              </w:rPr>
              <w:t>www.mu.kutnahora.</w:t>
            </w:r>
            <w:proofErr w:type="gramStart"/>
            <w:r w:rsidRPr="007B0716">
              <w:rPr>
                <w:bCs/>
                <w:sz w:val="22"/>
              </w:rPr>
              <w:t>cz</w:t>
            </w:r>
            <w:r>
              <w:rPr>
                <w:bCs/>
                <w:sz w:val="22"/>
              </w:rPr>
              <w:t xml:space="preserve">,  </w:t>
            </w:r>
            <w:r>
              <w:rPr>
                <w:sz w:val="22"/>
                <w:lang w:eastAsia="en-US"/>
              </w:rPr>
              <w:t>ID</w:t>
            </w:r>
            <w:proofErr w:type="gramEnd"/>
            <w:r>
              <w:rPr>
                <w:sz w:val="22"/>
                <w:lang w:eastAsia="en-US"/>
              </w:rPr>
              <w:t>: b65bfx3</w:t>
            </w:r>
            <w:r>
              <w:rPr>
                <w:bCs/>
                <w:sz w:val="22"/>
              </w:rPr>
              <w:t xml:space="preserve"> </w:t>
            </w:r>
          </w:p>
          <w:p w:rsidR="00C90F54" w:rsidRDefault="00C90F54" w:rsidP="00C90F54">
            <w:pPr>
              <w:jc w:val="center"/>
              <w:rPr>
                <w:b/>
                <w:bCs/>
                <w:sz w:val="10"/>
              </w:rPr>
            </w:pPr>
          </w:p>
        </w:tc>
      </w:tr>
      <w:tr w:rsidR="00C90F54" w:rsidTr="00C90F54">
        <w:tblPrEx>
          <w:jc w:val="left"/>
        </w:tblPrEx>
        <w:trPr>
          <w:gridBefore w:val="1"/>
        </w:trPr>
        <w:tc>
          <w:tcPr>
            <w:tcW w:w="0" w:type="auto"/>
            <w:tcBorders>
              <w:top w:val="single" w:sz="4" w:space="0" w:color="auto"/>
              <w:bottom w:val="nil"/>
            </w:tcBorders>
            <w:vAlign w:val="center"/>
          </w:tcPr>
          <w:p w:rsidR="00C90F54" w:rsidRDefault="00C90F54" w:rsidP="00C90F54">
            <w:pPr>
              <w:jc w:val="center"/>
            </w:pPr>
          </w:p>
        </w:tc>
        <w:tc>
          <w:tcPr>
            <w:tcW w:w="0" w:type="auto"/>
            <w:tcBorders>
              <w:top w:val="single" w:sz="4" w:space="0" w:color="auto"/>
              <w:bottom w:val="nil"/>
            </w:tcBorders>
            <w:vAlign w:val="center"/>
          </w:tcPr>
          <w:p w:rsidR="00C90F54" w:rsidRDefault="00C90F54" w:rsidP="00C90F54">
            <w:pPr>
              <w:jc w:val="center"/>
              <w:rPr>
                <w:b/>
                <w:bCs/>
                <w:sz w:val="10"/>
              </w:rPr>
            </w:pPr>
          </w:p>
        </w:tc>
      </w:tr>
    </w:tbl>
    <w:p w:rsidR="00C90F54" w:rsidRDefault="00C90F54" w:rsidP="00AC427E">
      <w:pPr>
        <w:pStyle w:val="Zkladntext"/>
        <w:spacing w:line="276" w:lineRule="auto"/>
        <w:jc w:val="center"/>
        <w:rPr>
          <w:rFonts w:ascii="Garamond" w:hAnsi="Garamond"/>
          <w:b/>
          <w:bCs/>
          <w:sz w:val="32"/>
        </w:rPr>
      </w:pPr>
    </w:p>
    <w:p w:rsidR="00AC427E" w:rsidRPr="00AC427E" w:rsidRDefault="00AC427E" w:rsidP="00AC427E">
      <w:pPr>
        <w:pStyle w:val="Zkladntext"/>
        <w:spacing w:line="276" w:lineRule="auto"/>
        <w:jc w:val="center"/>
        <w:rPr>
          <w:rFonts w:ascii="Garamond" w:hAnsi="Garamond"/>
          <w:b/>
          <w:bCs/>
          <w:sz w:val="32"/>
        </w:rPr>
      </w:pPr>
      <w:r w:rsidRPr="00AC427E">
        <w:rPr>
          <w:rFonts w:ascii="Garamond" w:hAnsi="Garamond"/>
          <w:b/>
          <w:bCs/>
          <w:sz w:val="32"/>
        </w:rPr>
        <w:t>Smlouva</w:t>
      </w:r>
    </w:p>
    <w:p w:rsidR="00AC427E" w:rsidRPr="00AC427E" w:rsidRDefault="00AC427E" w:rsidP="00AC427E">
      <w:pPr>
        <w:spacing w:line="276" w:lineRule="auto"/>
        <w:jc w:val="center"/>
        <w:rPr>
          <w:rFonts w:ascii="Garamond" w:hAnsi="Garamond"/>
          <w:b/>
          <w:bCs/>
          <w:sz w:val="32"/>
        </w:rPr>
      </w:pPr>
      <w:r w:rsidRPr="00AC427E">
        <w:rPr>
          <w:rFonts w:ascii="Garamond" w:hAnsi="Garamond"/>
          <w:b/>
          <w:bCs/>
          <w:sz w:val="32"/>
        </w:rPr>
        <w:t>o zajištění výuky angličtiny pro pracovníky MěÚ Kutná Hora</w:t>
      </w:r>
    </w:p>
    <w:p w:rsidR="00AC427E" w:rsidRPr="00AC427E" w:rsidRDefault="00AC427E" w:rsidP="00AC427E">
      <w:pPr>
        <w:spacing w:line="276" w:lineRule="auto"/>
        <w:jc w:val="both"/>
        <w:rPr>
          <w:rFonts w:ascii="Garamond" w:hAnsi="Garamond"/>
        </w:rPr>
      </w:pPr>
    </w:p>
    <w:p w:rsidR="00AC427E" w:rsidRPr="00AC427E" w:rsidRDefault="00AC427E" w:rsidP="00AC427E">
      <w:pPr>
        <w:spacing w:line="276" w:lineRule="auto"/>
        <w:jc w:val="both"/>
        <w:rPr>
          <w:rFonts w:ascii="Garamond" w:hAnsi="Garamond"/>
        </w:rPr>
      </w:pPr>
      <w:r w:rsidRPr="00AC427E">
        <w:rPr>
          <w:rFonts w:ascii="Garamond" w:hAnsi="Garamond"/>
        </w:rPr>
        <w:t>uzavřená dne 9. 9. 2020 mezi</w:t>
      </w:r>
    </w:p>
    <w:p w:rsidR="00AC427E" w:rsidRPr="00AC427E" w:rsidRDefault="00AC427E" w:rsidP="00AC427E">
      <w:pPr>
        <w:spacing w:line="276" w:lineRule="auto"/>
        <w:jc w:val="both"/>
        <w:rPr>
          <w:rFonts w:ascii="Garamond" w:hAnsi="Garamond"/>
        </w:rPr>
      </w:pPr>
    </w:p>
    <w:p w:rsidR="00AC427E" w:rsidRPr="00AC427E" w:rsidRDefault="00AC427E" w:rsidP="00AC427E">
      <w:pPr>
        <w:spacing w:line="276" w:lineRule="auto"/>
        <w:jc w:val="both"/>
        <w:rPr>
          <w:rFonts w:ascii="Garamond" w:hAnsi="Garamond"/>
        </w:rPr>
      </w:pPr>
      <w:r w:rsidRPr="00AC427E">
        <w:rPr>
          <w:rFonts w:ascii="Garamond" w:hAnsi="Garamond"/>
        </w:rPr>
        <w:t>Městem Kutná Hora</w:t>
      </w:r>
    </w:p>
    <w:p w:rsidR="00AC427E" w:rsidRPr="00AC427E" w:rsidRDefault="00AC427E" w:rsidP="00AC427E">
      <w:pPr>
        <w:spacing w:line="276" w:lineRule="auto"/>
        <w:jc w:val="both"/>
        <w:rPr>
          <w:rFonts w:ascii="Garamond" w:hAnsi="Garamond"/>
        </w:rPr>
      </w:pPr>
      <w:r w:rsidRPr="00AC427E">
        <w:rPr>
          <w:rFonts w:ascii="Garamond" w:hAnsi="Garamond"/>
        </w:rPr>
        <w:t xml:space="preserve">zastoupeným </w:t>
      </w:r>
      <w:r w:rsidR="002233C5">
        <w:rPr>
          <w:rFonts w:ascii="Garamond" w:hAnsi="Garamond"/>
        </w:rPr>
        <w:t>XXXXXX XXXXXXX</w:t>
      </w:r>
      <w:r w:rsidRPr="00AC427E">
        <w:rPr>
          <w:rFonts w:ascii="Garamond" w:hAnsi="Garamond"/>
        </w:rPr>
        <w:t>, vedoucí Odboru kancelář tajemníka MěÚ Kutná Hora</w:t>
      </w:r>
    </w:p>
    <w:p w:rsidR="00AC427E" w:rsidRPr="00AC427E" w:rsidRDefault="00AC427E" w:rsidP="00AC427E">
      <w:pPr>
        <w:spacing w:line="276" w:lineRule="auto"/>
        <w:jc w:val="both"/>
        <w:rPr>
          <w:rFonts w:ascii="Garamond" w:hAnsi="Garamond"/>
        </w:rPr>
      </w:pPr>
      <w:r w:rsidRPr="00AC427E">
        <w:rPr>
          <w:rFonts w:ascii="Garamond" w:hAnsi="Garamond"/>
        </w:rPr>
        <w:t>Havlíčkovo nám. 552, 284 24 Kutná Hora</w:t>
      </w:r>
    </w:p>
    <w:p w:rsidR="00AC427E" w:rsidRPr="00AC427E" w:rsidRDefault="00AC427E" w:rsidP="00AC427E">
      <w:pPr>
        <w:spacing w:line="276" w:lineRule="auto"/>
        <w:jc w:val="both"/>
        <w:rPr>
          <w:rFonts w:ascii="Garamond" w:hAnsi="Garamond"/>
        </w:rPr>
      </w:pPr>
      <w:r w:rsidRPr="00AC427E">
        <w:rPr>
          <w:rFonts w:ascii="Garamond" w:hAnsi="Garamond"/>
        </w:rPr>
        <w:t>IČO 00236195</w:t>
      </w:r>
    </w:p>
    <w:p w:rsidR="00AC427E" w:rsidRPr="00AC427E" w:rsidRDefault="00AC427E" w:rsidP="00AC427E">
      <w:pPr>
        <w:spacing w:line="276" w:lineRule="auto"/>
        <w:jc w:val="both"/>
        <w:rPr>
          <w:rFonts w:ascii="Garamond" w:hAnsi="Garamond"/>
        </w:rPr>
      </w:pPr>
      <w:r w:rsidRPr="00AC427E">
        <w:rPr>
          <w:rFonts w:ascii="Garamond" w:hAnsi="Garamond"/>
        </w:rPr>
        <w:t xml:space="preserve">(dále jen </w:t>
      </w:r>
      <w:r>
        <w:rPr>
          <w:rFonts w:ascii="Garamond" w:hAnsi="Garamond"/>
        </w:rPr>
        <w:t>„</w:t>
      </w:r>
      <w:r w:rsidRPr="00AC427E">
        <w:rPr>
          <w:rFonts w:ascii="Garamond" w:hAnsi="Garamond"/>
          <w:b/>
        </w:rPr>
        <w:t>objednatel</w:t>
      </w:r>
      <w:r>
        <w:rPr>
          <w:rFonts w:ascii="Garamond" w:hAnsi="Garamond"/>
        </w:rPr>
        <w:t>“</w:t>
      </w:r>
      <w:r w:rsidRPr="00AC427E">
        <w:rPr>
          <w:rFonts w:ascii="Garamond" w:hAnsi="Garamond"/>
        </w:rPr>
        <w:t>)</w:t>
      </w:r>
    </w:p>
    <w:p w:rsidR="00AC427E" w:rsidRPr="00AC427E" w:rsidRDefault="00AC427E" w:rsidP="00AC427E">
      <w:pPr>
        <w:spacing w:line="276" w:lineRule="auto"/>
        <w:jc w:val="both"/>
        <w:rPr>
          <w:rFonts w:ascii="Garamond" w:hAnsi="Garamond"/>
        </w:rPr>
      </w:pPr>
    </w:p>
    <w:p w:rsidR="00AC427E" w:rsidRPr="00AC427E" w:rsidRDefault="00AC427E" w:rsidP="00AC427E">
      <w:pPr>
        <w:spacing w:line="276" w:lineRule="auto"/>
        <w:jc w:val="both"/>
        <w:rPr>
          <w:rFonts w:ascii="Garamond" w:hAnsi="Garamond"/>
        </w:rPr>
      </w:pPr>
      <w:r w:rsidRPr="00AC427E">
        <w:rPr>
          <w:rFonts w:ascii="Garamond" w:hAnsi="Garamond"/>
        </w:rPr>
        <w:t>a</w:t>
      </w:r>
    </w:p>
    <w:p w:rsidR="00AC427E" w:rsidRPr="00AC427E" w:rsidRDefault="00AC427E" w:rsidP="00AC427E">
      <w:pPr>
        <w:spacing w:line="276" w:lineRule="auto"/>
        <w:jc w:val="both"/>
        <w:rPr>
          <w:rFonts w:ascii="Garamond" w:hAnsi="Garamond"/>
        </w:rPr>
      </w:pPr>
    </w:p>
    <w:p w:rsidR="00AC427E" w:rsidRPr="00AC427E" w:rsidRDefault="00AC427E" w:rsidP="00AC427E">
      <w:pPr>
        <w:spacing w:line="276" w:lineRule="auto"/>
        <w:jc w:val="both"/>
        <w:rPr>
          <w:rFonts w:ascii="Garamond" w:hAnsi="Garamond"/>
        </w:rPr>
      </w:pPr>
      <w:r w:rsidRPr="00AC427E">
        <w:rPr>
          <w:rFonts w:ascii="Garamond" w:hAnsi="Garamond"/>
        </w:rPr>
        <w:t xml:space="preserve">Marií </w:t>
      </w:r>
      <w:proofErr w:type="spellStart"/>
      <w:r w:rsidRPr="00AC427E">
        <w:rPr>
          <w:rFonts w:ascii="Garamond" w:hAnsi="Garamond"/>
        </w:rPr>
        <w:t>Chovanovou</w:t>
      </w:r>
      <w:proofErr w:type="spellEnd"/>
    </w:p>
    <w:p w:rsidR="00AC427E" w:rsidRPr="00AC427E" w:rsidRDefault="00AC427E" w:rsidP="00AC427E">
      <w:pPr>
        <w:spacing w:line="276" w:lineRule="auto"/>
        <w:jc w:val="both"/>
        <w:rPr>
          <w:rFonts w:ascii="Garamond" w:hAnsi="Garamond"/>
        </w:rPr>
      </w:pPr>
      <w:r w:rsidRPr="00AC427E">
        <w:rPr>
          <w:rFonts w:ascii="Garamond" w:hAnsi="Garamond"/>
        </w:rPr>
        <w:t>Na Sioně 696, 284 01 Kutná Hora</w:t>
      </w:r>
    </w:p>
    <w:p w:rsidR="00AC427E" w:rsidRPr="00AC427E" w:rsidRDefault="00AC427E" w:rsidP="00AC427E">
      <w:pPr>
        <w:spacing w:line="276" w:lineRule="auto"/>
        <w:jc w:val="both"/>
        <w:rPr>
          <w:rFonts w:ascii="Garamond" w:hAnsi="Garamond"/>
        </w:rPr>
      </w:pPr>
      <w:r w:rsidRPr="00AC427E">
        <w:rPr>
          <w:rFonts w:ascii="Garamond" w:hAnsi="Garamond"/>
        </w:rPr>
        <w:t>IČO 06516289</w:t>
      </w:r>
    </w:p>
    <w:p w:rsidR="00AC427E" w:rsidRPr="00AC427E" w:rsidRDefault="00915585" w:rsidP="00AC427E">
      <w:pPr>
        <w:spacing w:line="276" w:lineRule="auto"/>
        <w:jc w:val="both"/>
        <w:rPr>
          <w:rFonts w:ascii="Garamond" w:hAnsi="Garamond"/>
        </w:rPr>
      </w:pPr>
      <w:r>
        <w:rPr>
          <w:rFonts w:ascii="Garamond" w:hAnsi="Garamond"/>
        </w:rPr>
        <w:t xml:space="preserve">Bankovní spojení: </w:t>
      </w:r>
      <w:proofErr w:type="spellStart"/>
      <w:r>
        <w:rPr>
          <w:rFonts w:ascii="Garamond" w:hAnsi="Garamond"/>
        </w:rPr>
        <w:t>FioBanka</w:t>
      </w:r>
      <w:proofErr w:type="spellEnd"/>
      <w:r>
        <w:rPr>
          <w:rFonts w:ascii="Garamond" w:hAnsi="Garamond"/>
        </w:rPr>
        <w:t>, a. s.</w:t>
      </w:r>
      <w:r w:rsidR="00AC427E" w:rsidRPr="00AC427E">
        <w:rPr>
          <w:rFonts w:ascii="Garamond" w:hAnsi="Garamond"/>
        </w:rPr>
        <w:t xml:space="preserve">, č. účtu: </w:t>
      </w:r>
      <w:r w:rsidR="00B96251">
        <w:rPr>
          <w:rFonts w:ascii="Garamond" w:hAnsi="Garamond"/>
        </w:rPr>
        <w:t>xxxxxxxxxx</w:t>
      </w:r>
      <w:r w:rsidRPr="00915585">
        <w:rPr>
          <w:rFonts w:ascii="Garamond" w:hAnsi="Garamond"/>
        </w:rPr>
        <w:t>/2010</w:t>
      </w:r>
    </w:p>
    <w:p w:rsidR="00AC427E" w:rsidRPr="00AC427E" w:rsidRDefault="00AC427E" w:rsidP="00AC427E">
      <w:pPr>
        <w:spacing w:line="276" w:lineRule="auto"/>
        <w:jc w:val="both"/>
        <w:rPr>
          <w:rFonts w:ascii="Garamond" w:hAnsi="Garamond"/>
        </w:rPr>
      </w:pPr>
      <w:r w:rsidRPr="00AC427E">
        <w:rPr>
          <w:rFonts w:ascii="Garamond" w:hAnsi="Garamond"/>
        </w:rPr>
        <w:t xml:space="preserve">(dále jen </w:t>
      </w:r>
      <w:r>
        <w:rPr>
          <w:rFonts w:ascii="Garamond" w:hAnsi="Garamond"/>
        </w:rPr>
        <w:t>„</w:t>
      </w:r>
      <w:r w:rsidRPr="00AC427E">
        <w:rPr>
          <w:rFonts w:ascii="Garamond" w:hAnsi="Garamond"/>
          <w:b/>
        </w:rPr>
        <w:t>poskytovatel</w:t>
      </w:r>
      <w:r>
        <w:rPr>
          <w:rFonts w:ascii="Garamond" w:hAnsi="Garamond"/>
          <w:b/>
        </w:rPr>
        <w:t>“</w:t>
      </w:r>
      <w:r w:rsidRPr="00AC427E">
        <w:rPr>
          <w:rFonts w:ascii="Garamond" w:hAnsi="Garamond"/>
        </w:rPr>
        <w:t>)</w:t>
      </w:r>
    </w:p>
    <w:p w:rsidR="00AC427E" w:rsidRPr="00AC427E" w:rsidRDefault="00AC427E" w:rsidP="00AC427E">
      <w:pPr>
        <w:spacing w:line="276" w:lineRule="auto"/>
        <w:jc w:val="both"/>
        <w:rPr>
          <w:rFonts w:ascii="Garamond" w:hAnsi="Garamond"/>
        </w:rPr>
      </w:pPr>
      <w:r w:rsidRPr="00AC427E">
        <w:rPr>
          <w:rFonts w:ascii="Garamond" w:hAnsi="Garamond"/>
        </w:rPr>
        <w:t xml:space="preserve"> </w:t>
      </w:r>
    </w:p>
    <w:p w:rsidR="00AC427E" w:rsidRPr="00AC427E" w:rsidRDefault="00AC427E" w:rsidP="00AC427E">
      <w:pPr>
        <w:spacing w:line="276" w:lineRule="auto"/>
        <w:jc w:val="center"/>
        <w:rPr>
          <w:rFonts w:ascii="Garamond" w:hAnsi="Garamond"/>
          <w:b/>
        </w:rPr>
      </w:pPr>
      <w:r w:rsidRPr="00AC427E">
        <w:rPr>
          <w:rFonts w:ascii="Garamond" w:hAnsi="Garamond"/>
          <w:b/>
        </w:rPr>
        <w:t>I.</w:t>
      </w:r>
    </w:p>
    <w:p w:rsidR="00AC427E" w:rsidRPr="00AC427E" w:rsidRDefault="00AC427E" w:rsidP="00AC427E">
      <w:pPr>
        <w:pStyle w:val="Zkladntext"/>
        <w:spacing w:line="276" w:lineRule="auto"/>
        <w:rPr>
          <w:rFonts w:ascii="Garamond" w:hAnsi="Garamond"/>
        </w:rPr>
      </w:pPr>
    </w:p>
    <w:p w:rsidR="00AC427E" w:rsidRPr="00AC427E" w:rsidRDefault="00AC427E" w:rsidP="00AC427E">
      <w:pPr>
        <w:pStyle w:val="Zkladntext"/>
        <w:spacing w:line="276" w:lineRule="auto"/>
        <w:ind w:firstLine="284"/>
        <w:rPr>
          <w:rFonts w:ascii="Garamond" w:hAnsi="Garamond"/>
        </w:rPr>
      </w:pPr>
      <w:r w:rsidRPr="00AC427E">
        <w:rPr>
          <w:rFonts w:ascii="Garamond" w:hAnsi="Garamond"/>
        </w:rPr>
        <w:t>Předmětem smlouvy je zajištění výuky angličtiny pro přihlášené zaměstnance MěÚ Kutná Hora.</w:t>
      </w:r>
    </w:p>
    <w:p w:rsidR="00AC427E" w:rsidRPr="00AC427E" w:rsidRDefault="00AC427E" w:rsidP="00AC427E">
      <w:pPr>
        <w:spacing w:line="276" w:lineRule="auto"/>
        <w:ind w:firstLine="284"/>
        <w:jc w:val="both"/>
        <w:rPr>
          <w:rFonts w:ascii="Garamond" w:hAnsi="Garamond"/>
        </w:rPr>
      </w:pPr>
      <w:r w:rsidRPr="00AC427E">
        <w:rPr>
          <w:rFonts w:ascii="Garamond" w:hAnsi="Garamond"/>
        </w:rPr>
        <w:t xml:space="preserve">Kursy budou zajišťovány pro 5 skupin angličtiny, přičemž 1 skupina je v rozsahu  dvou vyučovacích hodin týdně (2 x 45 min). </w:t>
      </w:r>
    </w:p>
    <w:p w:rsidR="00AC427E" w:rsidRPr="00AC427E" w:rsidRDefault="00AC427E" w:rsidP="00AC427E">
      <w:pPr>
        <w:spacing w:line="276" w:lineRule="auto"/>
        <w:ind w:firstLine="284"/>
        <w:jc w:val="both"/>
        <w:rPr>
          <w:rFonts w:ascii="Garamond" w:hAnsi="Garamond"/>
        </w:rPr>
      </w:pPr>
    </w:p>
    <w:p w:rsidR="00AC427E" w:rsidRPr="00AC427E" w:rsidRDefault="00AC427E" w:rsidP="00AC427E">
      <w:pPr>
        <w:spacing w:line="276" w:lineRule="auto"/>
        <w:jc w:val="center"/>
        <w:rPr>
          <w:rFonts w:ascii="Garamond" w:hAnsi="Garamond"/>
          <w:b/>
        </w:rPr>
      </w:pPr>
      <w:r w:rsidRPr="00AC427E">
        <w:rPr>
          <w:rFonts w:ascii="Garamond" w:hAnsi="Garamond"/>
          <w:b/>
        </w:rPr>
        <w:t>II.</w:t>
      </w:r>
    </w:p>
    <w:p w:rsidR="00AC427E" w:rsidRPr="00AC427E" w:rsidRDefault="00AC427E" w:rsidP="00AC427E">
      <w:pPr>
        <w:spacing w:line="276" w:lineRule="auto"/>
        <w:ind w:firstLine="284"/>
        <w:jc w:val="both"/>
        <w:rPr>
          <w:rFonts w:ascii="Garamond" w:hAnsi="Garamond"/>
        </w:rPr>
      </w:pPr>
    </w:p>
    <w:p w:rsidR="00AC427E" w:rsidRDefault="00AC427E" w:rsidP="00AC427E">
      <w:pPr>
        <w:spacing w:line="276" w:lineRule="auto"/>
        <w:ind w:firstLine="284"/>
        <w:jc w:val="both"/>
        <w:rPr>
          <w:rFonts w:ascii="Garamond" w:hAnsi="Garamond"/>
        </w:rPr>
      </w:pPr>
      <w:r w:rsidRPr="00AC427E">
        <w:rPr>
          <w:rFonts w:ascii="Garamond" w:hAnsi="Garamond"/>
        </w:rPr>
        <w:t>Cena kursů je dána dle nabídky předložené poskytovatelem v poptávkovém řízení – tj. 370 Kč jedna vyučovací hodina. Při sjednaném rozsahu kursů i výuky je cena za 1 týden vyučování  ve výši 3.700 Kč (1 kurs á 740 Kč). Smluvní strany se dohodly na 1 vyučovací hodině měsíčně zdarma pro účastníky, kteří se nemohli zúčastnit v určeném měsíci pravidelné výuky.</w:t>
      </w:r>
    </w:p>
    <w:p w:rsidR="00AC427E" w:rsidRDefault="00AC427E" w:rsidP="00AC427E">
      <w:pPr>
        <w:spacing w:line="276" w:lineRule="auto"/>
        <w:ind w:firstLine="284"/>
        <w:jc w:val="both"/>
        <w:rPr>
          <w:rFonts w:ascii="Garamond" w:hAnsi="Garamond"/>
        </w:rPr>
      </w:pPr>
    </w:p>
    <w:p w:rsidR="00AC427E" w:rsidRPr="00AC427E" w:rsidRDefault="00AC427E" w:rsidP="00AC427E">
      <w:pPr>
        <w:spacing w:line="276" w:lineRule="auto"/>
        <w:jc w:val="center"/>
        <w:rPr>
          <w:rFonts w:ascii="Garamond" w:hAnsi="Garamond"/>
          <w:b/>
        </w:rPr>
      </w:pPr>
      <w:r w:rsidRPr="00AC427E">
        <w:rPr>
          <w:rFonts w:ascii="Garamond" w:hAnsi="Garamond"/>
          <w:b/>
        </w:rPr>
        <w:t>III.</w:t>
      </w:r>
    </w:p>
    <w:p w:rsidR="00AC427E" w:rsidRPr="00AC427E" w:rsidRDefault="00AC427E" w:rsidP="00AC427E">
      <w:pPr>
        <w:spacing w:line="276" w:lineRule="auto"/>
        <w:ind w:firstLine="284"/>
        <w:jc w:val="both"/>
        <w:rPr>
          <w:rFonts w:ascii="Garamond" w:hAnsi="Garamond"/>
        </w:rPr>
      </w:pPr>
    </w:p>
    <w:p w:rsidR="00AC427E" w:rsidRPr="00AC427E" w:rsidRDefault="00AC427E" w:rsidP="00AC427E">
      <w:pPr>
        <w:spacing w:line="276" w:lineRule="auto"/>
        <w:ind w:firstLine="284"/>
        <w:jc w:val="both"/>
        <w:rPr>
          <w:rFonts w:ascii="Garamond" w:hAnsi="Garamond"/>
        </w:rPr>
      </w:pPr>
      <w:r w:rsidRPr="00AC427E">
        <w:rPr>
          <w:rFonts w:ascii="Garamond" w:hAnsi="Garamond"/>
        </w:rPr>
        <w:t xml:space="preserve">Úhrada kursů bude prováděna bezhotovostním převodem na výše uvedený účet poskytovatele. Platba bude provedena ve dvou  splátkách takto: </w:t>
      </w:r>
    </w:p>
    <w:p w:rsidR="00AC427E" w:rsidRPr="00AC427E" w:rsidRDefault="00AC427E" w:rsidP="00AC427E">
      <w:pPr>
        <w:spacing w:line="276" w:lineRule="auto"/>
        <w:ind w:firstLine="284"/>
        <w:jc w:val="both"/>
        <w:rPr>
          <w:rFonts w:ascii="Garamond" w:hAnsi="Garamond"/>
        </w:rPr>
      </w:pPr>
      <w:r w:rsidRPr="00AC427E">
        <w:rPr>
          <w:rFonts w:ascii="Garamond" w:hAnsi="Garamond"/>
        </w:rPr>
        <w:lastRenderedPageBreak/>
        <w:t>září 2020 až leden 2021 – platba do 15. 10. 2020 ve výši 59.200</w:t>
      </w:r>
      <w:r w:rsidR="007B0716">
        <w:rPr>
          <w:rFonts w:ascii="Garamond" w:hAnsi="Garamond"/>
        </w:rPr>
        <w:t xml:space="preserve"> Kč dle počtu kurzů za pololetí,</w:t>
      </w:r>
    </w:p>
    <w:p w:rsidR="00AC427E" w:rsidRPr="00AC427E" w:rsidRDefault="00AC427E" w:rsidP="00AC427E">
      <w:pPr>
        <w:spacing w:line="276" w:lineRule="auto"/>
        <w:ind w:firstLine="284"/>
        <w:jc w:val="both"/>
        <w:rPr>
          <w:rFonts w:ascii="Garamond" w:hAnsi="Garamond"/>
        </w:rPr>
      </w:pPr>
      <w:r w:rsidRPr="00AC427E">
        <w:rPr>
          <w:rFonts w:ascii="Garamond" w:hAnsi="Garamond"/>
        </w:rPr>
        <w:t>únor 2021 – červen 2021 – platba do 15. 4. 2021 ve výši 74.000 Kč dle počtu kurzů za pololetí.</w:t>
      </w:r>
    </w:p>
    <w:p w:rsidR="00AC427E" w:rsidRPr="00AC427E" w:rsidRDefault="00AC427E" w:rsidP="00AC427E">
      <w:pPr>
        <w:spacing w:line="276" w:lineRule="auto"/>
        <w:ind w:firstLine="284"/>
        <w:jc w:val="both"/>
        <w:rPr>
          <w:rFonts w:ascii="Garamond" w:hAnsi="Garamond"/>
        </w:rPr>
      </w:pPr>
    </w:p>
    <w:p w:rsidR="00AC427E" w:rsidRPr="00AC427E" w:rsidRDefault="00AC427E" w:rsidP="00AC427E">
      <w:pPr>
        <w:spacing w:line="276" w:lineRule="auto"/>
        <w:jc w:val="center"/>
        <w:rPr>
          <w:rFonts w:ascii="Garamond" w:hAnsi="Garamond"/>
          <w:b/>
        </w:rPr>
      </w:pPr>
      <w:r w:rsidRPr="00AC427E">
        <w:rPr>
          <w:rFonts w:ascii="Garamond" w:hAnsi="Garamond"/>
          <w:b/>
        </w:rPr>
        <w:t>IV.</w:t>
      </w:r>
    </w:p>
    <w:p w:rsidR="00AC427E" w:rsidRPr="00AC427E" w:rsidRDefault="00AC427E" w:rsidP="00AC427E">
      <w:pPr>
        <w:pStyle w:val="Zkladntext"/>
        <w:spacing w:line="276" w:lineRule="auto"/>
        <w:ind w:firstLine="284"/>
        <w:rPr>
          <w:rFonts w:ascii="Garamond" w:hAnsi="Garamond"/>
        </w:rPr>
      </w:pPr>
    </w:p>
    <w:p w:rsidR="00AC427E" w:rsidRPr="00AC427E" w:rsidRDefault="00AC427E" w:rsidP="00AC427E">
      <w:pPr>
        <w:pStyle w:val="Zkladntext"/>
        <w:spacing w:line="276" w:lineRule="auto"/>
        <w:ind w:firstLine="284"/>
        <w:rPr>
          <w:rFonts w:ascii="Garamond" w:hAnsi="Garamond"/>
        </w:rPr>
      </w:pPr>
      <w:r w:rsidRPr="00AC427E">
        <w:rPr>
          <w:rFonts w:ascii="Garamond" w:hAnsi="Garamond"/>
        </w:rPr>
        <w:t>Objednavatel je povinen zajistit prostory pro výuku. Učebnice a učební pomůcky si zajišťují frekventanti na své vlastní náklady.</w:t>
      </w:r>
    </w:p>
    <w:p w:rsidR="00AC427E" w:rsidRPr="00AC427E" w:rsidRDefault="00AC427E" w:rsidP="00AC427E">
      <w:pPr>
        <w:spacing w:line="276" w:lineRule="auto"/>
        <w:ind w:firstLine="284"/>
        <w:jc w:val="both"/>
        <w:rPr>
          <w:rFonts w:ascii="Garamond" w:hAnsi="Garamond"/>
        </w:rPr>
      </w:pPr>
    </w:p>
    <w:p w:rsidR="00AC427E" w:rsidRPr="00AC427E" w:rsidRDefault="00AC427E" w:rsidP="00AC427E">
      <w:pPr>
        <w:spacing w:line="276" w:lineRule="auto"/>
        <w:ind w:firstLine="284"/>
        <w:jc w:val="both"/>
        <w:rPr>
          <w:rFonts w:ascii="Garamond" w:hAnsi="Garamond"/>
        </w:rPr>
      </w:pPr>
    </w:p>
    <w:p w:rsidR="00AC427E" w:rsidRPr="00AC427E" w:rsidRDefault="00AC427E" w:rsidP="00AC427E">
      <w:pPr>
        <w:spacing w:line="276" w:lineRule="auto"/>
        <w:jc w:val="center"/>
        <w:rPr>
          <w:rFonts w:ascii="Garamond" w:hAnsi="Garamond"/>
          <w:b/>
        </w:rPr>
      </w:pPr>
      <w:r w:rsidRPr="00AC427E">
        <w:rPr>
          <w:rFonts w:ascii="Garamond" w:hAnsi="Garamond"/>
          <w:b/>
        </w:rPr>
        <w:t>V.</w:t>
      </w:r>
    </w:p>
    <w:p w:rsidR="00AC427E" w:rsidRPr="00AC427E" w:rsidRDefault="00AC427E" w:rsidP="00AC427E">
      <w:pPr>
        <w:spacing w:line="276" w:lineRule="auto"/>
        <w:ind w:firstLine="284"/>
        <w:jc w:val="both"/>
        <w:rPr>
          <w:rFonts w:ascii="Garamond" w:hAnsi="Garamond"/>
        </w:rPr>
      </w:pPr>
    </w:p>
    <w:p w:rsidR="00AC427E" w:rsidRPr="00AC427E" w:rsidRDefault="00AC427E" w:rsidP="00AC427E">
      <w:pPr>
        <w:pStyle w:val="Zkladntext"/>
        <w:spacing w:line="276" w:lineRule="auto"/>
        <w:ind w:firstLine="284"/>
        <w:rPr>
          <w:rFonts w:ascii="Garamond" w:hAnsi="Garamond"/>
        </w:rPr>
      </w:pPr>
      <w:r w:rsidRPr="00AC427E">
        <w:rPr>
          <w:rFonts w:ascii="Garamond" w:hAnsi="Garamond"/>
        </w:rPr>
        <w:t>Poskytovatel je povinen řádně a v termínech zajišťovat výuku, vést docházku frekventantů a výuku zakončit  přezkoušením frekventantů formou testů. V případě, že poskytovatel nemůže osobně realizovat výuku, je povinen zajistit za sebe po tuto dobu adekvátní náhradu na své vlastní náklady.</w:t>
      </w:r>
    </w:p>
    <w:p w:rsidR="00AC427E" w:rsidRPr="00AC427E" w:rsidRDefault="00AC427E" w:rsidP="00AC427E">
      <w:pPr>
        <w:pStyle w:val="Zkladntext"/>
        <w:spacing w:line="276" w:lineRule="auto"/>
        <w:ind w:firstLine="284"/>
        <w:rPr>
          <w:rFonts w:ascii="Garamond" w:hAnsi="Garamond"/>
        </w:rPr>
      </w:pPr>
    </w:p>
    <w:p w:rsidR="00AC427E" w:rsidRPr="00AC427E" w:rsidRDefault="00AC427E" w:rsidP="00AC427E">
      <w:pPr>
        <w:pStyle w:val="Zkladntext"/>
        <w:spacing w:line="276" w:lineRule="auto"/>
        <w:jc w:val="center"/>
        <w:rPr>
          <w:rFonts w:ascii="Garamond" w:hAnsi="Garamond"/>
          <w:b/>
        </w:rPr>
      </w:pPr>
      <w:r w:rsidRPr="00AC427E">
        <w:rPr>
          <w:rFonts w:ascii="Garamond" w:hAnsi="Garamond"/>
          <w:b/>
        </w:rPr>
        <w:t>VI.</w:t>
      </w:r>
    </w:p>
    <w:p w:rsidR="00AC427E" w:rsidRPr="00AC427E" w:rsidRDefault="00AC427E" w:rsidP="00AC427E">
      <w:pPr>
        <w:pStyle w:val="Zkladntext"/>
        <w:spacing w:line="276" w:lineRule="auto"/>
        <w:ind w:firstLine="284"/>
        <w:rPr>
          <w:rFonts w:ascii="Garamond" w:hAnsi="Garamond"/>
        </w:rPr>
      </w:pPr>
    </w:p>
    <w:p w:rsidR="00AC427E" w:rsidRPr="00AC427E" w:rsidRDefault="00AC427E" w:rsidP="00AC427E">
      <w:pPr>
        <w:pStyle w:val="Zkladntext"/>
        <w:spacing w:line="276" w:lineRule="auto"/>
        <w:ind w:firstLine="284"/>
        <w:rPr>
          <w:rFonts w:ascii="Garamond" w:hAnsi="Garamond"/>
        </w:rPr>
      </w:pPr>
      <w:r w:rsidRPr="00AC427E">
        <w:rPr>
          <w:rFonts w:ascii="Garamond" w:hAnsi="Garamond"/>
        </w:rPr>
        <w:tab/>
        <w:t xml:space="preserve">Smlouva se uzavírá na dobu určitou od 14. 9. 2020 do 30. 6. 2021. Před uplynutím této lhůty lze smlouvu ukončit dohodou, popřípadě písemnou výpovědí jedné ze smluvních stran. Výpovědní lhůta činí 30 dnů a počíná běžet prvním dnem následujícím po doručení výpovědi druhé straně. Při  ukončení smlouvy před 30. 6. 2021 se strany zavazují, že vypořádají ke dni ukončení smlouvy svá vzájemná práva a povinnosti dle zásad o případném  bezdůvodném obohacení na základě vyúčtování odsouhlaseném oběma smluvními stranami. </w:t>
      </w:r>
    </w:p>
    <w:p w:rsidR="00AC427E" w:rsidRPr="00AC427E" w:rsidRDefault="00AC427E" w:rsidP="00AC427E">
      <w:pPr>
        <w:pStyle w:val="Zkladntext"/>
        <w:spacing w:line="276" w:lineRule="auto"/>
        <w:ind w:firstLine="284"/>
        <w:rPr>
          <w:rFonts w:ascii="Garamond" w:hAnsi="Garamond"/>
        </w:rPr>
      </w:pPr>
    </w:p>
    <w:p w:rsidR="00AC427E" w:rsidRPr="00AC427E" w:rsidRDefault="00AC427E" w:rsidP="00AC427E">
      <w:pPr>
        <w:pStyle w:val="Zkladntext"/>
        <w:spacing w:line="276" w:lineRule="auto"/>
        <w:jc w:val="center"/>
        <w:rPr>
          <w:rFonts w:ascii="Garamond" w:hAnsi="Garamond"/>
          <w:b/>
        </w:rPr>
      </w:pPr>
      <w:r w:rsidRPr="00AC427E">
        <w:rPr>
          <w:rFonts w:ascii="Garamond" w:hAnsi="Garamond"/>
          <w:b/>
        </w:rPr>
        <w:t>VII.</w:t>
      </w:r>
    </w:p>
    <w:p w:rsidR="00AC427E" w:rsidRPr="00AC427E" w:rsidRDefault="00AC427E" w:rsidP="00AC427E">
      <w:pPr>
        <w:pStyle w:val="Zkladntext"/>
        <w:spacing w:line="276" w:lineRule="auto"/>
        <w:ind w:firstLine="284"/>
        <w:rPr>
          <w:rFonts w:ascii="Garamond" w:hAnsi="Garamond"/>
        </w:rPr>
      </w:pPr>
    </w:p>
    <w:p w:rsidR="00AC427E" w:rsidRPr="00AC427E" w:rsidRDefault="00AC427E" w:rsidP="00AC427E">
      <w:pPr>
        <w:pStyle w:val="Zkladntext"/>
        <w:spacing w:line="276" w:lineRule="auto"/>
        <w:ind w:firstLine="284"/>
        <w:rPr>
          <w:rFonts w:ascii="Garamond" w:hAnsi="Garamond"/>
        </w:rPr>
      </w:pPr>
      <w:r w:rsidRPr="00AC427E">
        <w:rPr>
          <w:rFonts w:ascii="Garamond" w:hAnsi="Garamond"/>
        </w:rPr>
        <w:t xml:space="preserve">Smlouva je vyhotovena ve dvou stejnopisech. Každá ze smluvních stran obdrží po jednom výtisku. Veškeré dodatky této smlouvy mohou být učiněny pouze písemně, formou číslovaných dodatků. </w:t>
      </w:r>
    </w:p>
    <w:p w:rsidR="00AC427E" w:rsidRPr="00AC427E" w:rsidRDefault="00AC427E" w:rsidP="00AC427E">
      <w:pPr>
        <w:pStyle w:val="Zkladntext"/>
        <w:spacing w:line="276" w:lineRule="auto"/>
        <w:ind w:firstLine="284"/>
        <w:rPr>
          <w:rFonts w:ascii="Garamond" w:hAnsi="Garamond"/>
        </w:rPr>
      </w:pPr>
      <w:r w:rsidRPr="00AC427E">
        <w:rPr>
          <w:rFonts w:ascii="Garamond" w:hAnsi="Garamond"/>
        </w:rPr>
        <w:t>Obě smluvní strany svými podpisy vyjadřují shodu své svobodné vůle s textem této smlouvy.</w:t>
      </w:r>
    </w:p>
    <w:p w:rsidR="00AC427E" w:rsidRPr="00AC427E" w:rsidRDefault="00AC427E" w:rsidP="00AC427E">
      <w:pPr>
        <w:pStyle w:val="Zkladntext"/>
        <w:spacing w:line="276" w:lineRule="auto"/>
        <w:ind w:firstLine="284"/>
        <w:rPr>
          <w:rFonts w:ascii="Garamond" w:hAnsi="Garamond"/>
        </w:rPr>
      </w:pPr>
    </w:p>
    <w:p w:rsidR="00AC427E" w:rsidRPr="00AC427E" w:rsidRDefault="00AC427E" w:rsidP="00AC427E">
      <w:pPr>
        <w:pStyle w:val="Zkladntext"/>
        <w:spacing w:line="276" w:lineRule="auto"/>
        <w:ind w:firstLine="284"/>
        <w:rPr>
          <w:rFonts w:ascii="Garamond" w:hAnsi="Garamond"/>
        </w:rPr>
      </w:pPr>
    </w:p>
    <w:p w:rsidR="00AC427E" w:rsidRPr="00AC427E" w:rsidRDefault="00AC427E" w:rsidP="00AC427E">
      <w:pPr>
        <w:pStyle w:val="Zkladntext"/>
        <w:spacing w:line="276" w:lineRule="auto"/>
        <w:ind w:firstLine="284"/>
        <w:rPr>
          <w:rFonts w:ascii="Garamond" w:hAnsi="Garamond"/>
        </w:rPr>
      </w:pPr>
    </w:p>
    <w:p w:rsidR="00AC427E" w:rsidRPr="00AC427E" w:rsidRDefault="00AC427E" w:rsidP="00AC427E">
      <w:pPr>
        <w:pStyle w:val="Zkladntext"/>
        <w:spacing w:line="276" w:lineRule="auto"/>
        <w:ind w:firstLine="284"/>
        <w:rPr>
          <w:rFonts w:ascii="Garamond" w:hAnsi="Garamond"/>
        </w:rPr>
      </w:pPr>
    </w:p>
    <w:p w:rsidR="00AC427E" w:rsidRPr="00AC427E" w:rsidRDefault="00AC427E" w:rsidP="00AC427E">
      <w:pPr>
        <w:pStyle w:val="Zkladntext"/>
        <w:spacing w:line="276" w:lineRule="auto"/>
        <w:rPr>
          <w:rFonts w:ascii="Garamond" w:hAnsi="Garamond"/>
        </w:rPr>
      </w:pPr>
    </w:p>
    <w:p w:rsidR="00AC427E" w:rsidRPr="00AC427E" w:rsidRDefault="00AC427E" w:rsidP="00AC427E">
      <w:pPr>
        <w:pStyle w:val="Zkladntext"/>
        <w:spacing w:line="276" w:lineRule="auto"/>
        <w:rPr>
          <w:rFonts w:ascii="Garamond" w:hAnsi="Garamond"/>
        </w:rPr>
      </w:pPr>
      <w:r w:rsidRPr="00AC427E">
        <w:rPr>
          <w:rFonts w:ascii="Garamond" w:hAnsi="Garamond"/>
        </w:rPr>
        <w:t>……………………………………                                    …..………………………………</w:t>
      </w:r>
    </w:p>
    <w:p w:rsidR="00AC427E" w:rsidRPr="00AC427E" w:rsidRDefault="00AC427E" w:rsidP="00AC427E">
      <w:pPr>
        <w:pStyle w:val="Zkladntext"/>
        <w:spacing w:line="276" w:lineRule="auto"/>
        <w:rPr>
          <w:rFonts w:ascii="Garamond" w:hAnsi="Garamond"/>
        </w:rPr>
      </w:pPr>
    </w:p>
    <w:p w:rsidR="00AC427E" w:rsidRPr="00AC427E" w:rsidRDefault="00AC427E" w:rsidP="00AC427E">
      <w:pPr>
        <w:pStyle w:val="Zkladntext"/>
        <w:tabs>
          <w:tab w:val="left" w:pos="6379"/>
        </w:tabs>
        <w:spacing w:line="276" w:lineRule="auto"/>
        <w:rPr>
          <w:rFonts w:ascii="Garamond" w:hAnsi="Garamond"/>
        </w:rPr>
      </w:pPr>
      <w:r w:rsidRPr="00AC427E">
        <w:rPr>
          <w:rFonts w:ascii="Garamond" w:hAnsi="Garamond"/>
        </w:rPr>
        <w:t xml:space="preserve">        </w:t>
      </w:r>
      <w:r w:rsidR="002233C5">
        <w:rPr>
          <w:rFonts w:ascii="Garamond" w:hAnsi="Garamond"/>
        </w:rPr>
        <w:t>XXXXX XXXXXXX</w:t>
      </w:r>
      <w:r w:rsidRPr="00AC427E">
        <w:rPr>
          <w:rFonts w:ascii="Garamond" w:hAnsi="Garamond"/>
        </w:rPr>
        <w:tab/>
        <w:t xml:space="preserve">Marie </w:t>
      </w:r>
      <w:proofErr w:type="spellStart"/>
      <w:r w:rsidRPr="00AC427E">
        <w:rPr>
          <w:rFonts w:ascii="Garamond" w:hAnsi="Garamond"/>
        </w:rPr>
        <w:t>Chovanová</w:t>
      </w:r>
      <w:proofErr w:type="spellEnd"/>
    </w:p>
    <w:p w:rsidR="00AC427E" w:rsidRPr="00AC427E" w:rsidRDefault="00AC427E" w:rsidP="00AC427E">
      <w:pPr>
        <w:pStyle w:val="Zkladntext"/>
        <w:spacing w:line="276" w:lineRule="auto"/>
        <w:rPr>
          <w:rFonts w:ascii="Garamond" w:hAnsi="Garamond"/>
        </w:rPr>
      </w:pPr>
    </w:p>
    <w:p w:rsidR="00AC427E" w:rsidRDefault="00AC427E" w:rsidP="002233C5">
      <w:pPr>
        <w:pStyle w:val="Zkladntext"/>
        <w:tabs>
          <w:tab w:val="left" w:pos="6521"/>
        </w:tabs>
        <w:spacing w:line="276" w:lineRule="auto"/>
      </w:pPr>
      <w:r w:rsidRPr="00AC427E">
        <w:rPr>
          <w:rFonts w:ascii="Garamond" w:hAnsi="Garamond"/>
        </w:rPr>
        <w:t xml:space="preserve">            za objednavatele</w:t>
      </w:r>
      <w:r w:rsidRPr="00AC427E">
        <w:rPr>
          <w:rFonts w:ascii="Garamond" w:hAnsi="Garamond"/>
        </w:rPr>
        <w:tab/>
        <w:t>za poskytovatele</w:t>
      </w:r>
      <w:bookmarkStart w:id="0" w:name="_GoBack"/>
      <w:bookmarkEnd w:id="0"/>
    </w:p>
    <w:p w:rsidR="00AC427E" w:rsidRDefault="00AC427E" w:rsidP="00AC427E">
      <w:pPr>
        <w:pStyle w:val="Zkladntext"/>
        <w:rPr>
          <w:color w:val="FF0000"/>
        </w:rPr>
      </w:pPr>
    </w:p>
    <w:p w:rsidR="00AC427E" w:rsidRDefault="00AC427E" w:rsidP="00AC427E">
      <w:pPr>
        <w:pStyle w:val="Zkladntext"/>
        <w:rPr>
          <w:color w:val="FF0000"/>
        </w:rPr>
      </w:pPr>
    </w:p>
    <w:p w:rsidR="00235FE7" w:rsidRDefault="00235FE7"/>
    <w:sectPr w:rsidR="00235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7E"/>
    <w:rsid w:val="002233C5"/>
    <w:rsid w:val="00235FE7"/>
    <w:rsid w:val="006078AC"/>
    <w:rsid w:val="007B0716"/>
    <w:rsid w:val="00915585"/>
    <w:rsid w:val="00AC427E"/>
    <w:rsid w:val="00B96251"/>
    <w:rsid w:val="00C90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427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C427E"/>
    <w:pPr>
      <w:jc w:val="both"/>
    </w:pPr>
  </w:style>
  <w:style w:type="character" w:customStyle="1" w:styleId="ZkladntextChar">
    <w:name w:val="Základní text Char"/>
    <w:basedOn w:val="Standardnpsmoodstavce"/>
    <w:link w:val="Zkladntext"/>
    <w:rsid w:val="00AC427E"/>
    <w:rPr>
      <w:rFonts w:ascii="Times New Roman" w:eastAsia="Times New Roman" w:hAnsi="Times New Roman" w:cs="Times New Roman"/>
      <w:sz w:val="24"/>
      <w:szCs w:val="24"/>
      <w:lang w:eastAsia="cs-CZ"/>
    </w:rPr>
  </w:style>
  <w:style w:type="character" w:styleId="Hypertextovodkaz">
    <w:name w:val="Hyperlink"/>
    <w:rsid w:val="00C90F54"/>
    <w:rPr>
      <w:color w:val="0000FF"/>
      <w:u w:val="single"/>
    </w:rPr>
  </w:style>
  <w:style w:type="paragraph" w:styleId="Textbubliny">
    <w:name w:val="Balloon Text"/>
    <w:basedOn w:val="Normln"/>
    <w:link w:val="TextbublinyChar"/>
    <w:uiPriority w:val="99"/>
    <w:semiHidden/>
    <w:unhideWhenUsed/>
    <w:rsid w:val="00915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5585"/>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427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C427E"/>
    <w:pPr>
      <w:jc w:val="both"/>
    </w:pPr>
  </w:style>
  <w:style w:type="character" w:customStyle="1" w:styleId="ZkladntextChar">
    <w:name w:val="Základní text Char"/>
    <w:basedOn w:val="Standardnpsmoodstavce"/>
    <w:link w:val="Zkladntext"/>
    <w:rsid w:val="00AC427E"/>
    <w:rPr>
      <w:rFonts w:ascii="Times New Roman" w:eastAsia="Times New Roman" w:hAnsi="Times New Roman" w:cs="Times New Roman"/>
      <w:sz w:val="24"/>
      <w:szCs w:val="24"/>
      <w:lang w:eastAsia="cs-CZ"/>
    </w:rPr>
  </w:style>
  <w:style w:type="character" w:styleId="Hypertextovodkaz">
    <w:name w:val="Hyperlink"/>
    <w:rsid w:val="00C90F54"/>
    <w:rPr>
      <w:color w:val="0000FF"/>
      <w:u w:val="single"/>
    </w:rPr>
  </w:style>
  <w:style w:type="paragraph" w:styleId="Textbubliny">
    <w:name w:val="Balloon Text"/>
    <w:basedOn w:val="Normln"/>
    <w:link w:val="TextbublinyChar"/>
    <w:uiPriority w:val="99"/>
    <w:semiHidden/>
    <w:unhideWhenUsed/>
    <w:rsid w:val="00915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558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2529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Kloudová Adéla</dc:creator>
  <cp:lastModifiedBy>Sovová Stanislava</cp:lastModifiedBy>
  <cp:revision>2</cp:revision>
  <cp:lastPrinted>2020-09-11T11:42:00Z</cp:lastPrinted>
  <dcterms:created xsi:type="dcterms:W3CDTF">2020-09-11T13:21:00Z</dcterms:created>
  <dcterms:modified xsi:type="dcterms:W3CDTF">2020-09-11T13:21:00Z</dcterms:modified>
</cp:coreProperties>
</file>