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CD42F0">
        <w:rPr>
          <w:rFonts w:ascii="Arial" w:hAnsi="Arial" w:cs="Arial"/>
          <w:b/>
          <w:sz w:val="22"/>
          <w:szCs w:val="22"/>
        </w:rPr>
        <w:t>917</w:t>
      </w:r>
      <w:r w:rsidRPr="00386410">
        <w:rPr>
          <w:rFonts w:ascii="Arial" w:hAnsi="Arial" w:cs="Arial"/>
          <w:b/>
          <w:sz w:val="22"/>
          <w:szCs w:val="22"/>
        </w:rPr>
        <w:t>/20</w:t>
      </w:r>
      <w:r w:rsidR="000E4864">
        <w:rPr>
          <w:rFonts w:ascii="Arial" w:hAnsi="Arial" w:cs="Arial"/>
          <w:b/>
          <w:sz w:val="22"/>
          <w:szCs w:val="22"/>
        </w:rPr>
        <w:t>20</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roofErr w:type="spellStart"/>
      <w:r w:rsidRPr="00386410">
        <w:rPr>
          <w:rFonts w:ascii="Arial" w:hAnsi="Arial" w:cs="Arial"/>
          <w:b/>
          <w:sz w:val="22"/>
          <w:szCs w:val="22"/>
        </w:rPr>
        <w:t>xx</w:t>
      </w:r>
      <w:proofErr w:type="spellEnd"/>
      <w:r w:rsidRPr="00386410">
        <w:rPr>
          <w:rFonts w:ascii="Arial" w:hAnsi="Arial" w:cs="Arial"/>
          <w:b/>
          <w:sz w:val="22"/>
          <w:szCs w:val="22"/>
        </w:rPr>
        <w:t>/20</w:t>
      </w:r>
      <w:r w:rsidR="000E4864">
        <w:rPr>
          <w:rFonts w:ascii="Arial" w:hAnsi="Arial" w:cs="Arial"/>
          <w:b/>
          <w:sz w:val="22"/>
          <w:szCs w:val="22"/>
        </w:rPr>
        <w:t>20</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CD42F0" w:rsidRDefault="007455E1" w:rsidP="00D85DC2">
      <w:pPr>
        <w:spacing w:after="240"/>
        <w:jc w:val="center"/>
        <w:rPr>
          <w:rFonts w:ascii="Arial" w:hAnsi="Arial" w:cs="Arial"/>
          <w:b/>
          <w:sz w:val="26"/>
          <w:szCs w:val="26"/>
        </w:rPr>
      </w:pPr>
      <w:r w:rsidRPr="00CD42F0">
        <w:rPr>
          <w:rFonts w:ascii="Arial" w:hAnsi="Arial" w:cs="Arial"/>
          <w:b/>
          <w:sz w:val="26"/>
          <w:szCs w:val="26"/>
        </w:rPr>
        <w:t>„</w:t>
      </w:r>
      <w:r w:rsidR="00CD42F0">
        <w:rPr>
          <w:rFonts w:ascii="Arial" w:hAnsi="Arial" w:cs="Arial"/>
          <w:b/>
          <w:sz w:val="26"/>
          <w:szCs w:val="26"/>
        </w:rPr>
        <w:t>Areál ZCV, ÚDP – výměna plynového kotle</w:t>
      </w:r>
      <w:r w:rsidRPr="00CD42F0">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8F6D2E" w:rsidRDefault="00B015A5" w:rsidP="00B015A5">
      <w:pPr>
        <w:tabs>
          <w:tab w:val="left" w:pos="3960"/>
        </w:tabs>
        <w:jc w:val="both"/>
        <w:rPr>
          <w:rFonts w:ascii="Arial" w:hAnsi="Arial" w:cs="Arial"/>
          <w:sz w:val="22"/>
          <w:szCs w:val="22"/>
        </w:rPr>
      </w:pPr>
      <w:r w:rsidRPr="008F6D2E">
        <w:rPr>
          <w:rFonts w:ascii="Arial" w:hAnsi="Arial" w:cs="Arial"/>
          <w:sz w:val="22"/>
          <w:szCs w:val="22"/>
        </w:rPr>
        <w:tab/>
      </w:r>
    </w:p>
    <w:p w:rsidR="0033197B" w:rsidRDefault="008F6D2E" w:rsidP="00B015A5">
      <w:pPr>
        <w:tabs>
          <w:tab w:val="left" w:pos="3960"/>
        </w:tabs>
        <w:jc w:val="both"/>
        <w:rPr>
          <w:rFonts w:ascii="Arial" w:hAnsi="Arial" w:cs="Arial"/>
          <w:sz w:val="22"/>
          <w:szCs w:val="22"/>
        </w:rPr>
      </w:pPr>
      <w:r>
        <w:rPr>
          <w:rFonts w:ascii="Arial" w:hAnsi="Arial" w:cs="Arial"/>
          <w:sz w:val="22"/>
          <w:szCs w:val="22"/>
        </w:rPr>
        <w:tab/>
        <w:t>e-</w:t>
      </w:r>
      <w:r w:rsidR="00B015A5" w:rsidRPr="008F6D2E">
        <w:rPr>
          <w:rFonts w:ascii="Arial" w:hAnsi="Arial" w:cs="Arial"/>
          <w:sz w:val="22"/>
          <w:szCs w:val="22"/>
        </w:rPr>
        <w:t xml:space="preserve">mail: </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Pr="00386410"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CD42F0">
        <w:rPr>
          <w:rFonts w:ascii="Arial" w:hAnsi="Arial" w:cs="Arial"/>
          <w:b/>
          <w:sz w:val="22"/>
          <w:szCs w:val="22"/>
        </w:rPr>
        <w:tab/>
        <w:t>MALTOP- EKO s.r.o.</w:t>
      </w:r>
      <w:r w:rsidR="003755DC" w:rsidRPr="00386410">
        <w:rPr>
          <w:rFonts w:ascii="Arial" w:hAnsi="Arial" w:cs="Arial"/>
          <w:b/>
          <w:sz w:val="22"/>
          <w:szCs w:val="22"/>
        </w:rPr>
        <w:tab/>
      </w:r>
    </w:p>
    <w:p w:rsidR="00CD42F0" w:rsidRDefault="00CD42F0" w:rsidP="003755DC">
      <w:pPr>
        <w:tabs>
          <w:tab w:val="left" w:pos="3960"/>
        </w:tabs>
        <w:jc w:val="both"/>
        <w:rPr>
          <w:rFonts w:ascii="Arial" w:hAnsi="Arial" w:cs="Arial"/>
          <w:sz w:val="22"/>
          <w:szCs w:val="22"/>
        </w:rPr>
      </w:pPr>
      <w:r>
        <w:rPr>
          <w:rFonts w:ascii="Arial" w:hAnsi="Arial" w:cs="Arial"/>
          <w:sz w:val="22"/>
          <w:szCs w:val="22"/>
        </w:rPr>
        <w:tab/>
        <w:t xml:space="preserve">Místo 75, 431 58; </w:t>
      </w:r>
    </w:p>
    <w:p w:rsidR="00CD42F0" w:rsidRDefault="00CD42F0" w:rsidP="003755DC">
      <w:pPr>
        <w:tabs>
          <w:tab w:val="left" w:pos="3960"/>
        </w:tabs>
        <w:jc w:val="both"/>
        <w:rPr>
          <w:rFonts w:ascii="Arial" w:hAnsi="Arial" w:cs="Arial"/>
          <w:sz w:val="22"/>
          <w:szCs w:val="22"/>
        </w:rPr>
      </w:pPr>
      <w:r>
        <w:rPr>
          <w:rFonts w:ascii="Arial" w:hAnsi="Arial" w:cs="Arial"/>
          <w:sz w:val="22"/>
          <w:szCs w:val="22"/>
        </w:rPr>
        <w:tab/>
        <w:t>provozovna: Beethovenova ul. 4547,</w:t>
      </w:r>
    </w:p>
    <w:p w:rsidR="003755DC" w:rsidRPr="00386410" w:rsidRDefault="00CD42F0" w:rsidP="003755DC">
      <w:pPr>
        <w:tabs>
          <w:tab w:val="left" w:pos="3960"/>
        </w:tabs>
        <w:jc w:val="both"/>
        <w:rPr>
          <w:rFonts w:ascii="Arial" w:hAnsi="Arial" w:cs="Arial"/>
          <w:sz w:val="22"/>
          <w:szCs w:val="22"/>
        </w:rPr>
      </w:pPr>
      <w:r>
        <w:rPr>
          <w:rFonts w:ascii="Arial" w:hAnsi="Arial" w:cs="Arial"/>
          <w:sz w:val="22"/>
          <w:szCs w:val="22"/>
        </w:rPr>
        <w:tab/>
        <w:t xml:space="preserve">430 01 Chomutov   </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CD42F0" w:rsidRPr="00CD42F0">
        <w:rPr>
          <w:rFonts w:ascii="Arial" w:hAnsi="Arial" w:cs="Arial"/>
          <w:sz w:val="22"/>
          <w:szCs w:val="22"/>
        </w:rPr>
        <w:t>28258410</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CD42F0" w:rsidRPr="00CD42F0">
        <w:rPr>
          <w:rFonts w:ascii="Arial" w:hAnsi="Arial" w:cs="Arial"/>
          <w:sz w:val="22"/>
          <w:szCs w:val="22"/>
        </w:rPr>
        <w:t>CZ28258410</w:t>
      </w:r>
    </w:p>
    <w:p w:rsidR="003755DC" w:rsidRPr="00CD42F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CD42F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3197B"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technických:</w:t>
      </w:r>
    </w:p>
    <w:p w:rsidR="008517A2" w:rsidRDefault="003755DC" w:rsidP="003755DC">
      <w:pPr>
        <w:tabs>
          <w:tab w:val="left" w:pos="3960"/>
        </w:tabs>
        <w:jc w:val="both"/>
        <w:rPr>
          <w:rFonts w:ascii="Arial" w:hAnsi="Arial" w:cs="Arial"/>
          <w:b/>
          <w:sz w:val="22"/>
          <w:szCs w:val="22"/>
        </w:rPr>
      </w:pPr>
      <w:r w:rsidRPr="00386410">
        <w:rPr>
          <w:rFonts w:ascii="Arial" w:hAnsi="Arial" w:cs="Arial"/>
          <w:b/>
          <w:sz w:val="22"/>
          <w:szCs w:val="22"/>
        </w:rPr>
        <w:tab/>
      </w:r>
    </w:p>
    <w:p w:rsidR="003755DC" w:rsidRPr="008517A2"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008517A2">
        <w:rPr>
          <w:rFonts w:ascii="Arial" w:hAnsi="Arial" w:cs="Arial"/>
          <w:sz w:val="22"/>
          <w:szCs w:val="22"/>
        </w:rPr>
        <w:tab/>
      </w:r>
    </w:p>
    <w:p w:rsidR="0033197B" w:rsidRDefault="003755DC" w:rsidP="008517A2">
      <w:pPr>
        <w:tabs>
          <w:tab w:val="left" w:pos="3969"/>
        </w:tabs>
        <w:jc w:val="both"/>
        <w:rPr>
          <w:rFonts w:ascii="Arial" w:hAnsi="Arial" w:cs="Arial"/>
          <w:sz w:val="22"/>
          <w:szCs w:val="22"/>
        </w:rPr>
      </w:pPr>
      <w:r w:rsidRPr="00386410">
        <w:rPr>
          <w:rFonts w:ascii="Arial" w:hAnsi="Arial" w:cs="Arial"/>
          <w:sz w:val="22"/>
          <w:szCs w:val="22"/>
        </w:rPr>
        <w:tab/>
        <w:t>tel.</w:t>
      </w:r>
      <w:r w:rsidR="00BC7531">
        <w:rPr>
          <w:rFonts w:ascii="Arial" w:hAnsi="Arial" w:cs="Arial"/>
          <w:sz w:val="22"/>
          <w:szCs w:val="22"/>
        </w:rPr>
        <w:t>:</w:t>
      </w:r>
    </w:p>
    <w:p w:rsidR="00CB4292" w:rsidRDefault="008517A2" w:rsidP="008517A2">
      <w:pPr>
        <w:tabs>
          <w:tab w:val="left" w:pos="3969"/>
        </w:tabs>
        <w:jc w:val="both"/>
        <w:rPr>
          <w:rFonts w:ascii="Arial" w:hAnsi="Arial" w:cs="Arial"/>
          <w:bCs/>
          <w:color w:val="000000"/>
          <w:sz w:val="22"/>
          <w:szCs w:val="22"/>
        </w:rPr>
      </w:pPr>
      <w:r>
        <w:rPr>
          <w:rFonts w:ascii="Arial" w:hAnsi="Arial" w:cs="Arial"/>
          <w:sz w:val="22"/>
          <w:szCs w:val="22"/>
        </w:rPr>
        <w:tab/>
      </w:r>
      <w:r w:rsidR="003755DC" w:rsidRPr="00386410">
        <w:rPr>
          <w:rFonts w:ascii="Arial" w:hAnsi="Arial" w:cs="Arial"/>
          <w:bCs/>
          <w:color w:val="000000"/>
          <w:sz w:val="22"/>
          <w:szCs w:val="22"/>
        </w:rPr>
        <w:t>e-mail:</w:t>
      </w:r>
      <w:r>
        <w:rPr>
          <w:rFonts w:ascii="Arial" w:hAnsi="Arial" w:cs="Arial"/>
          <w:bCs/>
          <w:color w:val="000000"/>
          <w:sz w:val="22"/>
          <w:szCs w:val="22"/>
        </w:rPr>
        <w:t xml:space="preserve"> </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p>
    <w:p w:rsidR="003755DC" w:rsidRPr="00386410" w:rsidRDefault="002F6A7D"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CF487E">
        <w:rPr>
          <w:rFonts w:ascii="Arial" w:hAnsi="Arial" w:cs="Arial"/>
          <w:sz w:val="22"/>
          <w:szCs w:val="22"/>
        </w:rPr>
        <w:t xml:space="preserve"> Krajského soudu v Ústí nad Labem</w:t>
      </w:r>
      <w:r w:rsidR="003755DC" w:rsidRPr="00386410">
        <w:rPr>
          <w:rFonts w:ascii="Arial" w:hAnsi="Arial" w:cs="Arial"/>
          <w:sz w:val="22"/>
          <w:szCs w:val="22"/>
        </w:rPr>
        <w:t>, v</w:t>
      </w:r>
      <w:r w:rsidR="00CF487E">
        <w:rPr>
          <w:rFonts w:ascii="Arial" w:hAnsi="Arial" w:cs="Arial"/>
          <w:sz w:val="22"/>
          <w:szCs w:val="22"/>
        </w:rPr>
        <w:t> </w:t>
      </w:r>
      <w:r w:rsidR="003755DC" w:rsidRPr="00386410">
        <w:rPr>
          <w:rFonts w:ascii="Arial" w:hAnsi="Arial" w:cs="Arial"/>
          <w:sz w:val="22"/>
          <w:szCs w:val="22"/>
        </w:rPr>
        <w:t>oddílu</w:t>
      </w:r>
      <w:r w:rsidR="00CF487E">
        <w:rPr>
          <w:rFonts w:ascii="Arial" w:hAnsi="Arial" w:cs="Arial"/>
          <w:sz w:val="22"/>
          <w:szCs w:val="22"/>
        </w:rPr>
        <w:t xml:space="preserve"> C</w:t>
      </w:r>
      <w:r w:rsidR="003755DC" w:rsidRPr="00386410">
        <w:rPr>
          <w:rFonts w:ascii="Arial" w:hAnsi="Arial" w:cs="Arial"/>
          <w:sz w:val="22"/>
          <w:szCs w:val="22"/>
        </w:rPr>
        <w:t>, vložce č.</w:t>
      </w:r>
      <w:r w:rsidR="00CF487E">
        <w:rPr>
          <w:rFonts w:ascii="Arial" w:hAnsi="Arial" w:cs="Arial"/>
          <w:sz w:val="22"/>
          <w:szCs w:val="22"/>
        </w:rPr>
        <w:t>: 25918.</w:t>
      </w:r>
      <w:r w:rsidR="003755DC" w:rsidRPr="00386410">
        <w:rPr>
          <w:rFonts w:ascii="Arial" w:hAnsi="Arial" w:cs="Arial"/>
          <w:sz w:val="22"/>
          <w:szCs w:val="22"/>
        </w:rPr>
        <w:t xml:space="preserve"> </w:t>
      </w:r>
    </w:p>
    <w:p w:rsidR="00CF487E" w:rsidRDefault="00CF487E" w:rsidP="003755DC">
      <w:pPr>
        <w:widowControl w:val="0"/>
        <w:spacing w:line="240" w:lineRule="atLeast"/>
        <w:rPr>
          <w:rFonts w:ascii="Arial" w:hAnsi="Arial"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911726" w:rsidRPr="00911726" w:rsidRDefault="002F6A7D" w:rsidP="00184888">
      <w:pPr>
        <w:pStyle w:val="Zkladntext"/>
        <w:widowControl/>
        <w:numPr>
          <w:ilvl w:val="0"/>
          <w:numId w:val="1"/>
        </w:numPr>
        <w:spacing w:after="240"/>
        <w:ind w:left="426" w:hanging="426"/>
        <w:jc w:val="both"/>
        <w:rPr>
          <w:rFonts w:cs="Arial"/>
          <w:b/>
          <w:color w:val="auto"/>
          <w:sz w:val="22"/>
          <w:szCs w:val="22"/>
        </w:rPr>
      </w:pPr>
      <w:r>
        <w:rPr>
          <w:rFonts w:cs="Arial"/>
          <w:sz w:val="22"/>
          <w:szCs w:val="22"/>
        </w:rPr>
        <w:t>Zhotovitel</w:t>
      </w:r>
      <w:r w:rsidR="00661EDA" w:rsidRPr="005338F0">
        <w:rPr>
          <w:rFonts w:cs="Arial"/>
          <w:sz w:val="22"/>
          <w:szCs w:val="22"/>
        </w:rPr>
        <w:t xml:space="preserve"> se zavazuje provést </w:t>
      </w:r>
      <w:r w:rsidR="00CF487E">
        <w:rPr>
          <w:rFonts w:cs="Arial"/>
          <w:sz w:val="22"/>
          <w:szCs w:val="22"/>
        </w:rPr>
        <w:t>d</w:t>
      </w:r>
      <w:r w:rsidR="00661EDA" w:rsidRPr="005338F0">
        <w:rPr>
          <w:rFonts w:cs="Arial"/>
          <w:sz w:val="22"/>
          <w:szCs w:val="22"/>
        </w:rPr>
        <w:t>ílo</w:t>
      </w:r>
      <w:r w:rsidR="00CF487E">
        <w:rPr>
          <w:rFonts w:cs="Arial"/>
          <w:sz w:val="22"/>
          <w:szCs w:val="22"/>
        </w:rPr>
        <w:t xml:space="preserve"> „Areál ZCV, ÚDP – výměna plynového kotle“</w:t>
      </w:r>
      <w:r w:rsidR="00661EDA" w:rsidRPr="005338F0">
        <w:rPr>
          <w:rFonts w:cs="Arial"/>
          <w:sz w:val="22"/>
          <w:szCs w:val="22"/>
        </w:rPr>
        <w:t xml:space="preserve"> v rozsahu Výzvy k podání nabídky do </w:t>
      </w:r>
      <w:r w:rsidR="00CF487E">
        <w:rPr>
          <w:rFonts w:cs="Arial"/>
          <w:sz w:val="22"/>
          <w:szCs w:val="22"/>
        </w:rPr>
        <w:t xml:space="preserve">poptávkového </w:t>
      </w:r>
      <w:r w:rsidR="00661EDA" w:rsidRPr="005338F0">
        <w:rPr>
          <w:rFonts w:cs="Arial"/>
          <w:sz w:val="22"/>
          <w:szCs w:val="22"/>
        </w:rPr>
        <w:t>řízení</w:t>
      </w:r>
      <w:r w:rsidR="00C16025">
        <w:rPr>
          <w:rFonts w:cs="Arial"/>
          <w:sz w:val="22"/>
          <w:szCs w:val="22"/>
        </w:rPr>
        <w:t xml:space="preserve"> </w:t>
      </w:r>
      <w:proofErr w:type="gramStart"/>
      <w:r w:rsidR="00C16025">
        <w:rPr>
          <w:rFonts w:cs="Arial"/>
          <w:sz w:val="22"/>
          <w:szCs w:val="22"/>
        </w:rPr>
        <w:t>č.j.</w:t>
      </w:r>
      <w:proofErr w:type="gramEnd"/>
      <w:r w:rsidR="00CF487E">
        <w:rPr>
          <w:rFonts w:cs="Arial"/>
          <w:sz w:val="22"/>
          <w:szCs w:val="22"/>
        </w:rPr>
        <w:t>: POH/35036/2020</w:t>
      </w:r>
      <w:r w:rsidR="00661EDA" w:rsidRPr="005338F0">
        <w:rPr>
          <w:rFonts w:cs="Arial"/>
          <w:sz w:val="22"/>
          <w:szCs w:val="22"/>
        </w:rPr>
        <w:t xml:space="preserve"> vypsaného objednatelem a přijaté nabídky </w:t>
      </w:r>
      <w:r w:rsidR="00F25697">
        <w:rPr>
          <w:rFonts w:cs="Arial"/>
          <w:sz w:val="22"/>
          <w:szCs w:val="22"/>
        </w:rPr>
        <w:t>zhotovitele</w:t>
      </w:r>
      <w:r w:rsidR="00661EDA" w:rsidRPr="005338F0">
        <w:rPr>
          <w:rFonts w:cs="Arial"/>
          <w:sz w:val="22"/>
          <w:szCs w:val="22"/>
        </w:rPr>
        <w:t xml:space="preserve"> k výběrovému řízení</w:t>
      </w:r>
      <w:r w:rsidR="00C16025">
        <w:rPr>
          <w:rFonts w:cs="Arial"/>
          <w:sz w:val="22"/>
          <w:szCs w:val="22"/>
        </w:rPr>
        <w:t xml:space="preserve"> ze dne</w:t>
      </w:r>
      <w:r w:rsidR="00CF487E">
        <w:rPr>
          <w:rFonts w:cs="Arial"/>
          <w:sz w:val="22"/>
          <w:szCs w:val="22"/>
        </w:rPr>
        <w:t xml:space="preserve"> </w:t>
      </w:r>
      <w:proofErr w:type="gramStart"/>
      <w:r w:rsidR="00CF487E">
        <w:rPr>
          <w:rFonts w:cs="Arial"/>
          <w:sz w:val="22"/>
          <w:szCs w:val="22"/>
        </w:rPr>
        <w:t>14.08.2020</w:t>
      </w:r>
      <w:proofErr w:type="gramEnd"/>
      <w:r w:rsidR="00CF487E">
        <w:rPr>
          <w:rFonts w:cs="Arial"/>
          <w:sz w:val="22"/>
          <w:szCs w:val="22"/>
        </w:rPr>
        <w:t>, která je nedílnou součástí nabídky jako příloha č. 1</w:t>
      </w:r>
      <w:r w:rsidR="00D42100">
        <w:rPr>
          <w:rFonts w:cs="Arial"/>
          <w:sz w:val="22"/>
          <w:szCs w:val="22"/>
        </w:rPr>
        <w:t>.</w:t>
      </w:r>
    </w:p>
    <w:p w:rsidR="00883DBA" w:rsidRDefault="00661EDA" w:rsidP="00184888">
      <w:pPr>
        <w:pStyle w:val="Zkladntext"/>
        <w:widowControl/>
        <w:ind w:left="426"/>
        <w:jc w:val="both"/>
        <w:rPr>
          <w:rFonts w:cs="Arial"/>
          <w:i/>
          <w:color w:val="auto"/>
          <w:sz w:val="22"/>
          <w:szCs w:val="22"/>
          <w:u w:val="single"/>
        </w:rPr>
      </w:pPr>
      <w:r w:rsidRPr="005338F0">
        <w:rPr>
          <w:rFonts w:cs="Arial"/>
          <w:b/>
          <w:color w:val="auto"/>
          <w:sz w:val="22"/>
          <w:szCs w:val="22"/>
        </w:rPr>
        <w:t xml:space="preserve"> </w:t>
      </w:r>
      <w:r w:rsidR="00883DBA" w:rsidRPr="004D610C">
        <w:rPr>
          <w:rFonts w:cs="Arial"/>
          <w:i/>
          <w:color w:val="auto"/>
          <w:sz w:val="22"/>
          <w:szCs w:val="22"/>
          <w:u w:val="single"/>
        </w:rPr>
        <w:t>Stručný popis stavby:</w:t>
      </w:r>
    </w:p>
    <w:p w:rsidR="00883DBA" w:rsidRDefault="00883DBA" w:rsidP="00CB4292">
      <w:pPr>
        <w:spacing w:after="240"/>
        <w:ind w:left="426" w:right="2"/>
        <w:jc w:val="both"/>
        <w:rPr>
          <w:rFonts w:ascii="Arial" w:hAnsi="Arial" w:cs="Arial"/>
          <w:sz w:val="22"/>
          <w:szCs w:val="22"/>
        </w:rPr>
      </w:pPr>
      <w:r w:rsidRPr="00D807D4">
        <w:rPr>
          <w:rFonts w:ascii="Arial" w:hAnsi="Arial" w:cs="Arial"/>
          <w:sz w:val="22"/>
          <w:szCs w:val="22"/>
        </w:rPr>
        <w:t xml:space="preserve">Jedná se o </w:t>
      </w:r>
      <w:r w:rsidR="00CB4292">
        <w:rPr>
          <w:rFonts w:ascii="Arial" w:hAnsi="Arial" w:cs="Arial"/>
          <w:sz w:val="22"/>
          <w:szCs w:val="22"/>
        </w:rPr>
        <w:t xml:space="preserve">opravu kondenzačního plynového kotle </w:t>
      </w:r>
      <w:proofErr w:type="spellStart"/>
      <w:r w:rsidR="00CB4292">
        <w:rPr>
          <w:rFonts w:ascii="Arial" w:hAnsi="Arial" w:cs="Arial"/>
          <w:sz w:val="22"/>
          <w:szCs w:val="22"/>
        </w:rPr>
        <w:t>Buderus</w:t>
      </w:r>
      <w:proofErr w:type="spellEnd"/>
      <w:r w:rsidR="00CB4292">
        <w:rPr>
          <w:rFonts w:ascii="Arial" w:hAnsi="Arial" w:cs="Arial"/>
          <w:sz w:val="22"/>
          <w:szCs w:val="22"/>
        </w:rPr>
        <w:t xml:space="preserve"> výměnným způsobem, tzn. demontáž stávajícího kotle včetně odvodu spalin a regulátoru kotle HW4201. Dodávka a montáž nového kotle </w:t>
      </w:r>
      <w:proofErr w:type="spellStart"/>
      <w:r w:rsidR="00CB4292">
        <w:rPr>
          <w:rFonts w:ascii="Arial" w:hAnsi="Arial" w:cs="Arial"/>
          <w:sz w:val="22"/>
          <w:szCs w:val="22"/>
        </w:rPr>
        <w:t>Buderus</w:t>
      </w:r>
      <w:proofErr w:type="spellEnd"/>
      <w:r w:rsidR="00CB4292">
        <w:rPr>
          <w:rFonts w:ascii="Arial" w:hAnsi="Arial" w:cs="Arial"/>
          <w:sz w:val="22"/>
          <w:szCs w:val="22"/>
        </w:rPr>
        <w:t xml:space="preserve"> GB192-50iW bez integrovaného ohřevu TV, včetně nové regulační jednotky </w:t>
      </w:r>
      <w:proofErr w:type="spellStart"/>
      <w:r w:rsidR="00CB4292">
        <w:rPr>
          <w:rFonts w:ascii="Arial" w:hAnsi="Arial" w:cs="Arial"/>
          <w:sz w:val="22"/>
          <w:szCs w:val="22"/>
        </w:rPr>
        <w:t>Logamatic</w:t>
      </w:r>
      <w:proofErr w:type="spellEnd"/>
      <w:r w:rsidR="00CB4292">
        <w:rPr>
          <w:rFonts w:ascii="Arial" w:hAnsi="Arial" w:cs="Arial"/>
          <w:sz w:val="22"/>
          <w:szCs w:val="22"/>
        </w:rPr>
        <w:t xml:space="preserve"> RC310. Dodávka a montáž nového odvodu spalin cca 4 m.  Seřízení, odzkoušení (otopná zkouška, výchozí revize plynového spotřebiče), uvedení do provozu.</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B85804" w:rsidRPr="00B85804" w:rsidRDefault="00B85804" w:rsidP="00B85804">
      <w:pPr>
        <w:pStyle w:val="Odstavecseseznamem"/>
        <w:numPr>
          <w:ilvl w:val="0"/>
          <w:numId w:val="1"/>
        </w:numPr>
        <w:ind w:left="426" w:hanging="426"/>
        <w:rPr>
          <w:rFonts w:ascii="Arial" w:hAnsi="Arial" w:cs="Arial"/>
          <w:snapToGrid w:val="0"/>
          <w:color w:val="auto"/>
          <w:sz w:val="22"/>
          <w:szCs w:val="22"/>
        </w:rPr>
      </w:pPr>
      <w:r w:rsidRPr="00B85804">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EE4466"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997C7F" w:rsidRPr="0021538B" w:rsidRDefault="00997C7F" w:rsidP="00997C7F">
      <w:pPr>
        <w:pStyle w:val="Odstavecseseznamem"/>
        <w:numPr>
          <w:ilvl w:val="0"/>
          <w:numId w:val="41"/>
        </w:numPr>
        <w:spacing w:after="240"/>
        <w:ind w:left="425" w:hanging="357"/>
        <w:contextualSpacing w:val="0"/>
        <w:jc w:val="both"/>
        <w:rPr>
          <w:rFonts w:cs="Arial"/>
          <w:sz w:val="22"/>
          <w:szCs w:val="22"/>
        </w:rPr>
      </w:pPr>
      <w:r w:rsidRPr="0021538B">
        <w:rPr>
          <w:rFonts w:ascii="Arial" w:hAnsi="Arial" w:cs="Arial"/>
          <w:color w:val="auto"/>
          <w:sz w:val="22"/>
          <w:szCs w:val="22"/>
        </w:rPr>
        <w:t>Smluvní strany se dohodly na následujících lhůtách a podmínkách pro realizaci díla.</w:t>
      </w:r>
    </w:p>
    <w:p w:rsidR="003E5BAF" w:rsidRDefault="00FC51E1" w:rsidP="003E5BAF">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3E5BAF">
        <w:rPr>
          <w:rFonts w:ascii="Arial" w:hAnsi="Arial" w:cs="Arial"/>
          <w:sz w:val="22"/>
          <w:szCs w:val="22"/>
        </w:rPr>
        <w:t>nabytím účinnosti SOD uveřejněním v registru smluv</w:t>
      </w:r>
    </w:p>
    <w:p w:rsidR="00FE1CDE" w:rsidRPr="00756019" w:rsidRDefault="00F328A6"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010D25">
        <w:rPr>
          <w:rFonts w:ascii="Arial" w:hAnsi="Arial" w:cs="Arial"/>
          <w:b/>
          <w:sz w:val="22"/>
          <w:szCs w:val="22"/>
        </w:rPr>
        <w:t>12</w:t>
      </w:r>
      <w:r w:rsidR="00F328A6">
        <w:rPr>
          <w:rFonts w:ascii="Arial" w:hAnsi="Arial" w:cs="Arial"/>
          <w:b/>
          <w:sz w:val="22"/>
          <w:szCs w:val="22"/>
        </w:rPr>
        <w:t>.</w:t>
      </w:r>
      <w:r w:rsidR="00CF487E">
        <w:rPr>
          <w:rFonts w:ascii="Arial" w:hAnsi="Arial" w:cs="Arial"/>
          <w:b/>
          <w:sz w:val="22"/>
          <w:szCs w:val="22"/>
        </w:rPr>
        <w:t>10</w:t>
      </w:r>
      <w:r w:rsidR="00F328A6">
        <w:rPr>
          <w:rFonts w:ascii="Arial" w:hAnsi="Arial" w:cs="Arial"/>
          <w:b/>
          <w:sz w:val="22"/>
          <w:szCs w:val="22"/>
        </w:rPr>
        <w:t>.20</w:t>
      </w:r>
      <w:r w:rsidR="000E4864">
        <w:rPr>
          <w:rFonts w:ascii="Arial" w:hAnsi="Arial" w:cs="Arial"/>
          <w:b/>
          <w:sz w:val="22"/>
          <w:szCs w:val="22"/>
        </w:rPr>
        <w:t>20</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lastRenderedPageBreak/>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F487E">
        <w:rPr>
          <w:rFonts w:ascii="Arial" w:hAnsi="Arial" w:cs="Arial"/>
          <w:b/>
          <w:sz w:val="22"/>
          <w:szCs w:val="22"/>
        </w:rPr>
        <w:t>98 636,-</w:t>
      </w:r>
      <w:r w:rsidRPr="00D74A50">
        <w:rPr>
          <w:rFonts w:ascii="Arial" w:hAnsi="Arial" w:cs="Arial"/>
          <w:sz w:val="22"/>
          <w:szCs w:val="22"/>
        </w:rPr>
        <w:t xml:space="preserve">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8F0960" w:rsidRPr="008F0960" w:rsidRDefault="008F0960" w:rsidP="008F0960">
      <w:pPr>
        <w:numPr>
          <w:ilvl w:val="3"/>
          <w:numId w:val="32"/>
        </w:numPr>
        <w:spacing w:after="160"/>
        <w:ind w:left="360"/>
        <w:jc w:val="both"/>
        <w:textAlignment w:val="auto"/>
        <w:rPr>
          <w:rFonts w:ascii="Arial" w:hAnsi="Arial" w:cs="Arial"/>
          <w:sz w:val="22"/>
          <w:szCs w:val="22"/>
        </w:rPr>
      </w:pPr>
      <w:r w:rsidRPr="008F0960">
        <w:rPr>
          <w:rFonts w:ascii="Arial" w:hAnsi="Arial" w:cs="Arial"/>
          <w:sz w:val="22"/>
          <w:szCs w:val="22"/>
        </w:rPr>
        <w:t>Objednatel neposkytne zhotoviteli zálohu.</w:t>
      </w:r>
    </w:p>
    <w:p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 xml:space="preserve">Cena díla bude hrazena po dokončení, předání a převzetí díla bez vad a nedodělků. Fakturu je zhotovitel povinen prokazatelně doručit objednateli nejpozději do 7 pracovních dnů ode dne uskutečnění plnění </w:t>
      </w:r>
      <w:r w:rsidRPr="008F0960">
        <w:rPr>
          <w:rFonts w:ascii="Arial" w:hAnsi="Arial"/>
          <w:sz w:val="22"/>
          <w:szCs w:val="22"/>
        </w:rPr>
        <w:t xml:space="preserve">včetně potvrzeného </w:t>
      </w:r>
      <w:r w:rsidRPr="008F0960">
        <w:rPr>
          <w:rFonts w:ascii="Arial" w:hAnsi="Arial" w:cs="Arial"/>
          <w:sz w:val="22"/>
          <w:szCs w:val="22"/>
        </w:rPr>
        <w:t>soupisu provedených prací.</w:t>
      </w:r>
    </w:p>
    <w:p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Datem uskutečnění zdanitelného plnění bude den předání a převzetí díla bez vad a nedodělků, uvedený na předávacím a přejímacím protokolu, pokud nebude dohodnuto jinak. Protokol bude nedílnou součástí faktury.</w:t>
      </w:r>
    </w:p>
    <w:p w:rsid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8F0960" w:rsidRPr="008F0960" w:rsidRDefault="008F0960" w:rsidP="008F0960">
      <w:pPr>
        <w:spacing w:after="160"/>
        <w:ind w:left="357"/>
        <w:contextualSpacing/>
        <w:jc w:val="both"/>
        <w:textAlignment w:val="auto"/>
        <w:rPr>
          <w:rFonts w:ascii="Arial" w:hAnsi="Arial" w:cs="Arial"/>
          <w:sz w:val="22"/>
          <w:szCs w:val="22"/>
        </w:rPr>
      </w:pPr>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F0960" w:rsidRPr="008F0960" w:rsidRDefault="008F0960" w:rsidP="008F0960">
      <w:pPr>
        <w:spacing w:after="160"/>
        <w:ind w:left="357"/>
        <w:contextualSpacing/>
        <w:jc w:val="both"/>
        <w:textAlignment w:val="auto"/>
        <w:rPr>
          <w:rFonts w:ascii="Arial" w:hAnsi="Arial" w:cs="Arial"/>
          <w:sz w:val="22"/>
          <w:szCs w:val="22"/>
        </w:rPr>
      </w:pPr>
      <w:r w:rsidRPr="008F0960">
        <w:rPr>
          <w:rFonts w:ascii="Arial" w:hAnsi="Arial" w:cs="Arial"/>
          <w:sz w:val="22"/>
          <w:szCs w:val="22"/>
        </w:rPr>
        <w:t xml:space="preserve">Předat faktury lze i elektronicky na e-mail adresu: </w:t>
      </w:r>
      <w:hyperlink r:id="rId11" w:history="1">
        <w:r w:rsidRPr="008F0960">
          <w:rPr>
            <w:rFonts w:ascii="Arial" w:hAnsi="Arial" w:cs="Arial"/>
            <w:color w:val="0000FF" w:themeColor="hyperlink"/>
            <w:sz w:val="22"/>
            <w:szCs w:val="22"/>
            <w:u w:val="single"/>
          </w:rPr>
          <w:t>faktury-zcv@poh.cz</w:t>
        </w:r>
      </w:hyperlink>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 xml:space="preserve">Pokud zhotovitel prací nedodrží správný postup fakturace, zejména ustanovení zákona č. 235/2004 Sb. o DPH v platném znění, v důsledku čehož dojde u objednatele k chybnému </w:t>
      </w:r>
      <w:r w:rsidRPr="008F0960">
        <w:rPr>
          <w:rFonts w:ascii="Arial" w:hAnsi="Arial" w:cs="Arial"/>
          <w:sz w:val="22"/>
          <w:szCs w:val="22"/>
        </w:rPr>
        <w:lastRenderedPageBreak/>
        <w:t>vypořádání DPH, zavazuje se zhotovitel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997C7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58168C">
        <w:t>,</w:t>
      </w:r>
      <w:r w:rsidR="00997C7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997C7F">
        <w:t>05</w:t>
      </w:r>
      <w:r w:rsidR="0058168C">
        <w:t xml:space="preserve"> </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312227">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302DD8"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302DD8" w:rsidRPr="00302DD8" w:rsidRDefault="00302DD8" w:rsidP="00997C7F">
      <w:pPr>
        <w:pStyle w:val="Odstavecseseznamem"/>
        <w:ind w:left="360"/>
        <w:rPr>
          <w:rFonts w:ascii="Arial" w:hAnsi="Arial" w:cs="Arial"/>
          <w:b/>
          <w:color w:val="auto"/>
          <w:sz w:val="22"/>
          <w:szCs w:val="22"/>
        </w:rPr>
      </w:pPr>
      <w:r w:rsidRPr="00302DD8">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w:t>
      </w:r>
      <w:proofErr w:type="gramStart"/>
      <w:r w:rsidRPr="00302DD8">
        <w:rPr>
          <w:rFonts w:ascii="Arial" w:hAnsi="Arial" w:cs="Arial"/>
          <w:color w:val="auto"/>
          <w:sz w:val="22"/>
          <w:szCs w:val="22"/>
        </w:rPr>
        <w:t>zákonných)  zhotovitele</w:t>
      </w:r>
      <w:proofErr w:type="gramEnd"/>
      <w:r w:rsidRPr="00302DD8">
        <w:rPr>
          <w:rFonts w:ascii="Arial" w:hAnsi="Arial" w:cs="Arial"/>
          <w:color w:val="auto"/>
          <w:sz w:val="22"/>
          <w:szCs w:val="22"/>
        </w:rPr>
        <w:t>, uložena objednateli sankce ze strany správních či jiných orgánů, zavazuje se zhotovitel zaplatit objednateli  tuto smluvní pokutu v plné výši</w:t>
      </w:r>
      <w:r w:rsidRPr="00302DD8">
        <w:rPr>
          <w:rFonts w:ascii="Arial" w:hAnsi="Arial" w:cs="Arial"/>
          <w:b/>
          <w:color w:val="auto"/>
          <w:sz w:val="22"/>
          <w:szCs w:val="22"/>
        </w:rPr>
        <w:t>.</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lastRenderedPageBreak/>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w:t>
      </w:r>
      <w:r w:rsidRPr="00386410">
        <w:rPr>
          <w:rFonts w:ascii="Arial" w:hAnsi="Arial" w:cs="Arial"/>
          <w:sz w:val="22"/>
          <w:szCs w:val="22"/>
        </w:rPr>
        <w:lastRenderedPageBreak/>
        <w:t>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B85804">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58168C"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proofErr w:type="gram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w:t>
      </w:r>
      <w:proofErr w:type="gramEnd"/>
      <w:r w:rsidR="00C85BA5" w:rsidRPr="00C85BA5">
        <w:rPr>
          <w:rFonts w:ascii="Arial" w:hAnsi="Arial" w:cs="Arial"/>
          <w:color w:val="000000"/>
          <w:sz w:val="22"/>
          <w:szCs w:val="22"/>
        </w:rPr>
        <w:t xml:space="preserve"> </w:t>
      </w:r>
      <w:r w:rsidR="00D21589">
        <w:rPr>
          <w:rFonts w:ascii="Helv" w:hAnsi="Helv" w:cs="Helv"/>
          <w:color w:val="000000"/>
        </w:rPr>
        <w:t xml:space="preserve">(viz </w:t>
      </w:r>
      <w:hyperlink r:id="rId12" w:history="1">
        <w:r w:rsidR="00D21589">
          <w:rPr>
            <w:rFonts w:ascii="Helv" w:hAnsi="Helv" w:cs="Helv"/>
            <w:color w:val="0000FF"/>
            <w:u w:val="single"/>
          </w:rPr>
          <w:t>http://www.poh.cz/protikorupcni-a-compliance-program/d-1346/p1=1458</w:t>
        </w:r>
      </w:hyperlink>
      <w:r w:rsidR="00D21589">
        <w:rPr>
          <w:rFonts w:ascii="Helv" w:hAnsi="Helv" w:cs="Helv"/>
          <w:color w:val="000000"/>
        </w:rPr>
        <w:t>)</w:t>
      </w:r>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6552" w:rsidRDefault="00576552" w:rsidP="00576552">
      <w:pPr>
        <w:pStyle w:val="Zkladntext"/>
        <w:spacing w:before="120" w:after="240"/>
        <w:jc w:val="center"/>
        <w:rPr>
          <w:rFonts w:cs="Arial"/>
          <w:b/>
          <w:sz w:val="22"/>
          <w:szCs w:val="22"/>
          <w:u w:val="single"/>
        </w:rPr>
      </w:pPr>
      <w:r>
        <w:rPr>
          <w:rFonts w:cs="Arial"/>
          <w:b/>
          <w:sz w:val="22"/>
          <w:szCs w:val="22"/>
          <w:u w:val="single"/>
        </w:rPr>
        <w:t>Čl. X. OCHRANA A ZPRACOVÁNÍ OSOBNÍCH ÚDAJŮ</w:t>
      </w:r>
    </w:p>
    <w:p w:rsidR="008646BF" w:rsidRPr="00997C7F" w:rsidRDefault="00576552" w:rsidP="00997C7F">
      <w:pPr>
        <w:pStyle w:val="Zkladntext"/>
        <w:widowControl/>
        <w:numPr>
          <w:ilvl w:val="3"/>
          <w:numId w:val="45"/>
        </w:numPr>
        <w:spacing w:before="120" w:after="240"/>
        <w:ind w:left="426" w:hanging="426"/>
        <w:jc w:val="both"/>
        <w:textAlignment w:val="auto"/>
        <w:rPr>
          <w:rFonts w:cs="Arial"/>
          <w:sz w:val="22"/>
          <w:szCs w:val="22"/>
        </w:rPr>
      </w:pPr>
      <w:r w:rsidRPr="008646BF">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8646BF">
          <w:rPr>
            <w:rFonts w:ascii="Helv" w:hAnsi="Helv" w:cs="Helv"/>
            <w:color w:val="0000FF"/>
            <w:sz w:val="20"/>
          </w:rPr>
          <w:t>http://www.poh.cz/informace-o-zpracovani-osobnich-udaju/d-1369/p1=1459</w:t>
        </w:r>
      </w:hyperlink>
    </w:p>
    <w:p w:rsidR="00997C7F" w:rsidRDefault="00997C7F" w:rsidP="00997C7F">
      <w:pPr>
        <w:pStyle w:val="Zkladntext"/>
        <w:widowControl/>
        <w:spacing w:before="120" w:after="240"/>
        <w:ind w:left="426"/>
        <w:jc w:val="center"/>
        <w:rPr>
          <w:rFonts w:cs="Arial"/>
          <w:b/>
          <w:sz w:val="22"/>
          <w:szCs w:val="22"/>
          <w:u w:val="single"/>
        </w:rPr>
      </w:pPr>
      <w:r w:rsidRPr="003F51B0">
        <w:rPr>
          <w:rFonts w:cs="Arial"/>
          <w:b/>
          <w:sz w:val="22"/>
          <w:szCs w:val="22"/>
          <w:u w:val="single"/>
        </w:rPr>
        <w:t>Čl. XI. OSTATNÍ USTANOVENÍ</w:t>
      </w:r>
    </w:p>
    <w:p w:rsidR="00997C7F" w:rsidRPr="003F51B0" w:rsidRDefault="00997C7F" w:rsidP="00997C7F">
      <w:pPr>
        <w:pStyle w:val="Odstavecseseznamem"/>
        <w:numPr>
          <w:ilvl w:val="0"/>
          <w:numId w:val="46"/>
        </w:numPr>
        <w:ind w:left="426" w:hanging="426"/>
        <w:jc w:val="both"/>
        <w:rPr>
          <w:rFonts w:ascii="Arial" w:hAnsi="Arial" w:cs="Arial"/>
          <w:color w:val="000000"/>
          <w:sz w:val="22"/>
          <w:szCs w:val="22"/>
        </w:rPr>
      </w:pPr>
      <w:r w:rsidRPr="003F51B0">
        <w:t xml:space="preserve"> </w:t>
      </w:r>
      <w:r w:rsidRPr="003F51B0">
        <w:rPr>
          <w:rFonts w:ascii="Arial" w:hAnsi="Arial" w:cs="Arial"/>
          <w:color w:val="000000"/>
          <w:sz w:val="22"/>
          <w:szCs w:val="22"/>
        </w:rPr>
        <w:t>Zhotovitel provede dílo samostatně, na svůj náklad a na své nebezpečí. Bez zbytečných odkladů oznámí zjištění překážek, které znemožňují provedení díla.</w:t>
      </w:r>
    </w:p>
    <w:p w:rsidR="00997C7F" w:rsidRDefault="00997C7F" w:rsidP="00997C7F">
      <w:pPr>
        <w:pStyle w:val="Zkladntext"/>
        <w:widowControl/>
        <w:numPr>
          <w:ilvl w:val="0"/>
          <w:numId w:val="46"/>
        </w:numPr>
        <w:tabs>
          <w:tab w:val="left" w:pos="0"/>
        </w:tabs>
        <w:spacing w:before="120" w:after="240"/>
        <w:ind w:left="426" w:hanging="426"/>
        <w:jc w:val="both"/>
        <w:rPr>
          <w:rFonts w:cs="Arial"/>
          <w:sz w:val="22"/>
          <w:szCs w:val="22"/>
        </w:rPr>
      </w:pPr>
      <w:r>
        <w:rPr>
          <w:rFonts w:cs="Arial"/>
          <w:sz w:val="22"/>
          <w:szCs w:val="22"/>
        </w:rPr>
        <w:t>Zhotovitel provede dohodnutou činnost na své nebezpečí a zavazuje se řídit podmínkami všech předpisů bezpečnosti a ochrany zdraví při práci (BOZP), požární ochrany (PO), zákoníku práce (vše v platném znění) a to jak obecně platnými, tak souvisejícími s prováděnou činností v prostorách objednatele. Je odpovědný za škody vzniklé v důsledku nedodržování těchto předpisů.</w:t>
      </w:r>
    </w:p>
    <w:p w:rsidR="00997C7F" w:rsidRPr="00997C7F" w:rsidRDefault="00997C7F" w:rsidP="00997C7F">
      <w:pPr>
        <w:pStyle w:val="Zkladntext"/>
        <w:widowControl/>
        <w:numPr>
          <w:ilvl w:val="0"/>
          <w:numId w:val="46"/>
        </w:numPr>
        <w:tabs>
          <w:tab w:val="left" w:pos="0"/>
        </w:tabs>
        <w:spacing w:before="120" w:after="240"/>
        <w:ind w:left="426" w:hanging="426"/>
        <w:jc w:val="both"/>
        <w:textAlignment w:val="auto"/>
        <w:rPr>
          <w:rFonts w:cs="Arial"/>
          <w:sz w:val="22"/>
          <w:szCs w:val="22"/>
        </w:rPr>
      </w:pPr>
      <w:r w:rsidRPr="00997C7F">
        <w:rPr>
          <w:rFonts w:cs="Arial"/>
          <w:sz w:val="22"/>
          <w:szCs w:val="22"/>
        </w:rPr>
        <w:t xml:space="preserve">Zhotovitel při provádění dohodnuté činnosti se zavazuje dodržovat hygienické a ekologické předpisy na předaném pracovišti - staveništi objednatele a bude provádět opatření proti úniku nebezpečných látek závadných vodám, zvláště ropných látek ze strojů a zařízení. Je odpovědný za správné uložení těchto látek dle příslušných předpisů. Dojde-li přesto k úniku nebezpečných látek, je zhotovitel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w:t>
      </w:r>
      <w:r w:rsidRPr="00997C7F">
        <w:rPr>
          <w:rFonts w:cs="Arial"/>
          <w:sz w:val="22"/>
          <w:szCs w:val="22"/>
        </w:rPr>
        <w:lastRenderedPageBreak/>
        <w:t xml:space="preserve">Nepřetržitá služba pro příjem hlášení havárií je zajišťována u Povodí Ohře </w:t>
      </w:r>
      <w:proofErr w:type="spellStart"/>
      <w:proofErr w:type="gramStart"/>
      <w:r w:rsidRPr="00997C7F">
        <w:rPr>
          <w:rFonts w:cs="Arial"/>
          <w:sz w:val="22"/>
          <w:szCs w:val="22"/>
        </w:rPr>
        <w:t>s.p</w:t>
      </w:r>
      <w:proofErr w:type="spellEnd"/>
      <w:r w:rsidRPr="00997C7F">
        <w:rPr>
          <w:rFonts w:cs="Arial"/>
          <w:sz w:val="22"/>
          <w:szCs w:val="22"/>
        </w:rPr>
        <w:t>.</w:t>
      </w:r>
      <w:proofErr w:type="gramEnd"/>
      <w:r w:rsidRPr="00997C7F">
        <w:rPr>
          <w:rFonts w:cs="Arial"/>
          <w:sz w:val="22"/>
          <w:szCs w:val="22"/>
        </w:rPr>
        <w:t>, na odboru VH-dispečinku, tel. 474 636 306.</w:t>
      </w:r>
    </w:p>
    <w:p w:rsidR="00661EDA" w:rsidRPr="008646BF" w:rsidRDefault="00661EDA" w:rsidP="00997C7F">
      <w:pPr>
        <w:pStyle w:val="Zkladntext"/>
        <w:widowControl/>
        <w:spacing w:before="120" w:after="240"/>
        <w:jc w:val="center"/>
        <w:textAlignment w:val="auto"/>
        <w:rPr>
          <w:rFonts w:cs="Arial"/>
          <w:sz w:val="22"/>
          <w:szCs w:val="22"/>
        </w:rPr>
      </w:pPr>
      <w:r w:rsidRPr="008646BF">
        <w:rPr>
          <w:rFonts w:cs="Arial"/>
          <w:b/>
          <w:sz w:val="22"/>
          <w:szCs w:val="22"/>
          <w:u w:val="single"/>
        </w:rPr>
        <w:t>Čl. X</w:t>
      </w:r>
      <w:r w:rsidR="00576552" w:rsidRPr="008646BF">
        <w:rPr>
          <w:rFonts w:cs="Arial"/>
          <w:b/>
          <w:sz w:val="22"/>
          <w:szCs w:val="22"/>
          <w:u w:val="single"/>
        </w:rPr>
        <w:t>I</w:t>
      </w:r>
      <w:r w:rsidR="00635D91">
        <w:rPr>
          <w:rFonts w:cs="Arial"/>
          <w:b/>
          <w:sz w:val="22"/>
          <w:szCs w:val="22"/>
          <w:u w:val="single"/>
        </w:rPr>
        <w:t>I</w:t>
      </w:r>
      <w:r w:rsidRPr="008646BF">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AF4E2F"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AF4E2F">
        <w:rPr>
          <w:rFonts w:ascii="Arial" w:hAnsi="Arial" w:cs="Arial"/>
          <w:bCs/>
          <w:iCs/>
          <w:color w:val="000000"/>
          <w:sz w:val="22"/>
          <w:szCs w:val="22"/>
        </w:rPr>
        <w:t xml:space="preserve"> </w:t>
      </w:r>
      <w:r w:rsidR="00AF4E2F" w:rsidRPr="00AF4E2F">
        <w:rPr>
          <w:rFonts w:ascii="Arial" w:hAnsi="Arial" w:cs="Arial"/>
          <w:bCs/>
          <w:iCs/>
          <w:color w:val="000000"/>
          <w:sz w:val="22"/>
          <w:szCs w:val="22"/>
        </w:rPr>
        <w:t>Plnění předmětu této smlouvy před účinností této smlouvy se považuje za plnění podle této smlouvy a práva a povinnosti z něj vzniklé se řídí touto smlouvou.</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Default="00010D25" w:rsidP="00010D25">
      <w:pPr>
        <w:tabs>
          <w:tab w:val="left" w:pos="0"/>
          <w:tab w:val="left" w:pos="360"/>
        </w:tabs>
        <w:overflowPunct/>
        <w:jc w:val="both"/>
        <w:textAlignment w:val="auto"/>
        <w:rPr>
          <w:rFonts w:ascii="Arial" w:hAnsi="Arial" w:cs="Arial"/>
          <w:b/>
          <w:color w:val="000000"/>
          <w:sz w:val="22"/>
          <w:szCs w:val="22"/>
        </w:rPr>
      </w:pPr>
    </w:p>
    <w:p w:rsidR="00010D25" w:rsidRPr="00010D25" w:rsidRDefault="00010D25" w:rsidP="00010D25">
      <w:pPr>
        <w:tabs>
          <w:tab w:val="left" w:pos="0"/>
          <w:tab w:val="left" w:pos="360"/>
        </w:tabs>
        <w:overflowPunct/>
        <w:jc w:val="both"/>
        <w:textAlignment w:val="auto"/>
        <w:rPr>
          <w:rFonts w:ascii="Arial" w:hAnsi="Arial" w:cs="Arial"/>
          <w:b/>
          <w:color w:val="000000"/>
          <w:sz w:val="22"/>
          <w:szCs w:val="22"/>
        </w:rPr>
      </w:pP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lastRenderedPageBreak/>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010D25" w:rsidRDefault="00010D25"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33197B">
        <w:rPr>
          <w:rFonts w:ascii="Arial" w:hAnsi="Arial" w:cs="Arial"/>
          <w:sz w:val="22"/>
          <w:szCs w:val="22"/>
        </w:rPr>
        <w:t xml:space="preserve"> 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CF487E" w:rsidRDefault="00CF487E" w:rsidP="000E4864">
      <w:pPr>
        <w:rPr>
          <w:rFonts w:ascii="Arial" w:hAnsi="Arial" w:cs="Arial"/>
          <w:sz w:val="22"/>
          <w:szCs w:val="22"/>
        </w:rPr>
      </w:pPr>
      <w:bookmarkStart w:id="0" w:name="_GoBack"/>
      <w:bookmarkEnd w:id="0"/>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pPr>
    </w:p>
    <w:p w:rsidR="00010D25" w:rsidRDefault="00010D25" w:rsidP="000E4864">
      <w:pPr>
        <w:rPr>
          <w:rFonts w:ascii="Arial" w:hAnsi="Arial" w:cs="Arial"/>
          <w:sz w:val="22"/>
          <w:szCs w:val="22"/>
        </w:rPr>
        <w:sectPr w:rsidR="00010D25" w:rsidSect="00B051A1">
          <w:headerReference w:type="default" r:id="rId14"/>
          <w:pgSz w:w="11906" w:h="16838"/>
          <w:pgMar w:top="1134" w:right="1134" w:bottom="1134" w:left="1134" w:header="709" w:footer="709" w:gutter="0"/>
          <w:cols w:space="708"/>
        </w:sectPr>
      </w:pPr>
    </w:p>
    <w:p w:rsidR="00010D25" w:rsidRPr="00827E3E" w:rsidRDefault="00010D25" w:rsidP="00010D25">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010D25" w:rsidRDefault="00010D25" w:rsidP="00010D25">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Pr>
          <w:rFonts w:ascii="Arial" w:hAnsi="Arial" w:cs="Arial"/>
          <w:b/>
          <w:kern w:val="1"/>
          <w:sz w:val="26"/>
          <w:szCs w:val="26"/>
          <w:lang w:eastAsia="ar-SA"/>
        </w:rPr>
        <w:t>917</w:t>
      </w:r>
      <w:r w:rsidRPr="00EB4277">
        <w:rPr>
          <w:rFonts w:ascii="Arial" w:hAnsi="Arial" w:cs="Arial"/>
          <w:b/>
          <w:kern w:val="1"/>
          <w:sz w:val="26"/>
          <w:szCs w:val="26"/>
          <w:lang w:eastAsia="ar-SA"/>
        </w:rPr>
        <w:t>/20</w:t>
      </w:r>
      <w:r>
        <w:rPr>
          <w:rFonts w:ascii="Arial" w:hAnsi="Arial" w:cs="Arial"/>
          <w:b/>
          <w:kern w:val="1"/>
          <w:sz w:val="26"/>
          <w:szCs w:val="26"/>
          <w:lang w:eastAsia="ar-SA"/>
        </w:rPr>
        <w:t>20</w:t>
      </w:r>
      <w:r w:rsidRPr="00EB4277">
        <w:rPr>
          <w:rFonts w:ascii="Arial" w:hAnsi="Arial" w:cs="Arial"/>
          <w:b/>
          <w:kern w:val="1"/>
          <w:sz w:val="26"/>
          <w:szCs w:val="26"/>
          <w:lang w:eastAsia="ar-SA"/>
        </w:rPr>
        <w:t xml:space="preserve">  – </w:t>
      </w:r>
      <w:r>
        <w:rPr>
          <w:rFonts w:ascii="Arial" w:hAnsi="Arial" w:cs="Arial"/>
          <w:b/>
          <w:kern w:val="1"/>
          <w:sz w:val="26"/>
          <w:szCs w:val="26"/>
          <w:lang w:eastAsia="ar-SA"/>
        </w:rPr>
        <w:t>cenová nabídka</w:t>
      </w:r>
    </w:p>
    <w:p w:rsidR="00010D25" w:rsidRDefault="00010D25" w:rsidP="00010D25">
      <w:pPr>
        <w:widowControl w:val="0"/>
        <w:suppressAutoHyphens/>
        <w:overflowPunct/>
        <w:autoSpaceDE/>
        <w:autoSpaceDN/>
        <w:adjustRightInd/>
        <w:jc w:val="center"/>
        <w:textAlignment w:val="auto"/>
        <w:rPr>
          <w:rFonts w:ascii="Arial" w:hAnsi="Arial" w:cs="Arial"/>
          <w:b/>
          <w:kern w:val="1"/>
          <w:sz w:val="26"/>
          <w:szCs w:val="26"/>
          <w:lang w:eastAsia="ar-SA"/>
        </w:rPr>
      </w:pPr>
    </w:p>
    <w:p w:rsidR="00010D25" w:rsidRDefault="00010D25" w:rsidP="00010D25">
      <w:pPr>
        <w:jc w:val="center"/>
        <w:rPr>
          <w:rFonts w:ascii="Arial" w:hAnsi="Arial" w:cs="Arial"/>
          <w:sz w:val="22"/>
          <w:szCs w:val="22"/>
        </w:rPr>
      </w:pPr>
      <w:r>
        <w:rPr>
          <w:rFonts w:ascii="Arial" w:hAnsi="Arial" w:cs="Arial"/>
          <w:noProof/>
          <w:sz w:val="22"/>
          <w:szCs w:val="22"/>
        </w:rPr>
        <w:drawing>
          <wp:inline distT="0" distB="0" distL="0" distR="0">
            <wp:extent cx="5665581" cy="8220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 .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65581" cy="8220575"/>
                    </a:xfrm>
                    <a:prstGeom prst="rect">
                      <a:avLst/>
                    </a:prstGeom>
                  </pic:spPr>
                </pic:pic>
              </a:graphicData>
            </a:graphic>
          </wp:inline>
        </w:drawing>
      </w:r>
    </w:p>
    <w:sectPr w:rsidR="00010D25" w:rsidSect="00B051A1">
      <w:footerReference w:type="default" r:id="rId16"/>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69" w:rsidRDefault="00D73469">
      <w:r>
        <w:separator/>
      </w:r>
    </w:p>
  </w:endnote>
  <w:endnote w:type="continuationSeparator" w:id="0">
    <w:p w:rsidR="00D73469" w:rsidRDefault="00D7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8360C4" w:rsidRPr="008360C4">
          <w:rPr>
            <w:rFonts w:ascii="Arial" w:eastAsiaTheme="majorEastAsia" w:hAnsi="Arial" w:cstheme="majorBidi"/>
            <w:noProof/>
            <w:sz w:val="20"/>
            <w:szCs w:val="28"/>
          </w:rPr>
          <w:t>8</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25" w:rsidRPr="007F486B" w:rsidRDefault="00010D25">
    <w:pPr>
      <w:pStyle w:val="Zpat"/>
      <w:jc w:val="right"/>
      <w:rPr>
        <w:rFonts w:ascii="Arial" w:eastAsiaTheme="majorEastAsia" w:hAnsi="Arial" w:cstheme="majorBidi"/>
        <w:sz w:val="20"/>
        <w:szCs w:val="28"/>
      </w:rPr>
    </w:pPr>
  </w:p>
  <w:p w:rsidR="00010D25" w:rsidRPr="0068009D" w:rsidRDefault="00010D25"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69" w:rsidRDefault="00D73469">
      <w:r>
        <w:separator/>
      </w:r>
    </w:p>
  </w:footnote>
  <w:footnote w:type="continuationSeparator" w:id="0">
    <w:p w:rsidR="00D73469" w:rsidRDefault="00D73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EAE60DEA"/>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900"/>
        </w:tabs>
        <w:ind w:left="3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4E735DD3"/>
    <w:multiLevelType w:val="hybridMultilevel"/>
    <w:tmpl w:val="627E1096"/>
    <w:lvl w:ilvl="0" w:tplc="ECD414E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626503DE"/>
    <w:multiLevelType w:val="hybridMultilevel"/>
    <w:tmpl w:val="9AFE95DE"/>
    <w:lvl w:ilvl="0" w:tplc="DB3C1546">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3"/>
  </w:num>
  <w:num w:numId="4">
    <w:abstractNumId w:val="30"/>
  </w:num>
  <w:num w:numId="5">
    <w:abstractNumId w:val="31"/>
  </w:num>
  <w:num w:numId="6">
    <w:abstractNumId w:val="21"/>
  </w:num>
  <w:num w:numId="7">
    <w:abstractNumId w:val="22"/>
  </w:num>
  <w:num w:numId="8">
    <w:abstractNumId w:val="26"/>
  </w:num>
  <w:num w:numId="9">
    <w:abstractNumId w:val="12"/>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7"/>
  </w:num>
  <w:num w:numId="17">
    <w:abstractNumId w:val="34"/>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num>
  <w:num w:numId="40">
    <w:abstractNumId w:val="23"/>
  </w:num>
  <w:num w:numId="41">
    <w:abstractNumId w:val="28"/>
  </w:num>
  <w:num w:numId="42">
    <w:abstractNumId w:val="8"/>
  </w:num>
  <w:num w:numId="43">
    <w:abstractNumId w:val="4"/>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0D25"/>
    <w:rsid w:val="0001739A"/>
    <w:rsid w:val="0002005A"/>
    <w:rsid w:val="000270DF"/>
    <w:rsid w:val="00027761"/>
    <w:rsid w:val="00032AD0"/>
    <w:rsid w:val="000456A7"/>
    <w:rsid w:val="00051F75"/>
    <w:rsid w:val="00053346"/>
    <w:rsid w:val="0005646F"/>
    <w:rsid w:val="000903EA"/>
    <w:rsid w:val="00091338"/>
    <w:rsid w:val="000914C6"/>
    <w:rsid w:val="000927E7"/>
    <w:rsid w:val="00093AD2"/>
    <w:rsid w:val="000A10CD"/>
    <w:rsid w:val="000A6BD5"/>
    <w:rsid w:val="000B0E7E"/>
    <w:rsid w:val="000B1EB9"/>
    <w:rsid w:val="000B2E4B"/>
    <w:rsid w:val="000C0B96"/>
    <w:rsid w:val="000D080F"/>
    <w:rsid w:val="000E4864"/>
    <w:rsid w:val="000E61A3"/>
    <w:rsid w:val="000F7037"/>
    <w:rsid w:val="00104D42"/>
    <w:rsid w:val="001059B7"/>
    <w:rsid w:val="0011076F"/>
    <w:rsid w:val="0011390C"/>
    <w:rsid w:val="00114CFD"/>
    <w:rsid w:val="00123974"/>
    <w:rsid w:val="00140C3A"/>
    <w:rsid w:val="00145445"/>
    <w:rsid w:val="00150913"/>
    <w:rsid w:val="00151C33"/>
    <w:rsid w:val="001556E2"/>
    <w:rsid w:val="00184888"/>
    <w:rsid w:val="00191A3B"/>
    <w:rsid w:val="001C04BD"/>
    <w:rsid w:val="001D3524"/>
    <w:rsid w:val="001D6A35"/>
    <w:rsid w:val="001D6BE7"/>
    <w:rsid w:val="001F7612"/>
    <w:rsid w:val="0020184F"/>
    <w:rsid w:val="002039CD"/>
    <w:rsid w:val="002044E5"/>
    <w:rsid w:val="002113D7"/>
    <w:rsid w:val="002157FE"/>
    <w:rsid w:val="00241CC6"/>
    <w:rsid w:val="002430D8"/>
    <w:rsid w:val="00255B29"/>
    <w:rsid w:val="00266BE7"/>
    <w:rsid w:val="00271C67"/>
    <w:rsid w:val="00280051"/>
    <w:rsid w:val="002841E7"/>
    <w:rsid w:val="00287DE7"/>
    <w:rsid w:val="00294428"/>
    <w:rsid w:val="002A43BA"/>
    <w:rsid w:val="002A59FE"/>
    <w:rsid w:val="002B32CB"/>
    <w:rsid w:val="002B4360"/>
    <w:rsid w:val="002C50E0"/>
    <w:rsid w:val="002D1039"/>
    <w:rsid w:val="002D299B"/>
    <w:rsid w:val="002E73A1"/>
    <w:rsid w:val="002F6A7D"/>
    <w:rsid w:val="00302394"/>
    <w:rsid w:val="00302DD8"/>
    <w:rsid w:val="00312227"/>
    <w:rsid w:val="00312AFD"/>
    <w:rsid w:val="00312BF9"/>
    <w:rsid w:val="00316474"/>
    <w:rsid w:val="00321D5C"/>
    <w:rsid w:val="0032245B"/>
    <w:rsid w:val="00327DB4"/>
    <w:rsid w:val="0033197B"/>
    <w:rsid w:val="00343E31"/>
    <w:rsid w:val="00346C0D"/>
    <w:rsid w:val="00353A3F"/>
    <w:rsid w:val="003541EC"/>
    <w:rsid w:val="0035651C"/>
    <w:rsid w:val="003755DC"/>
    <w:rsid w:val="00386410"/>
    <w:rsid w:val="003A15B7"/>
    <w:rsid w:val="003A7BC6"/>
    <w:rsid w:val="003B2A08"/>
    <w:rsid w:val="003C0CAD"/>
    <w:rsid w:val="003C301A"/>
    <w:rsid w:val="003D38EF"/>
    <w:rsid w:val="003E5BAF"/>
    <w:rsid w:val="003F1C8E"/>
    <w:rsid w:val="0040604C"/>
    <w:rsid w:val="00410CB9"/>
    <w:rsid w:val="004167CE"/>
    <w:rsid w:val="004237EB"/>
    <w:rsid w:val="00423DE0"/>
    <w:rsid w:val="004258CF"/>
    <w:rsid w:val="00431AB2"/>
    <w:rsid w:val="004335FB"/>
    <w:rsid w:val="00437893"/>
    <w:rsid w:val="00440BDC"/>
    <w:rsid w:val="00441A52"/>
    <w:rsid w:val="00443206"/>
    <w:rsid w:val="004433D8"/>
    <w:rsid w:val="00443C5D"/>
    <w:rsid w:val="00450296"/>
    <w:rsid w:val="00450F16"/>
    <w:rsid w:val="0045109B"/>
    <w:rsid w:val="004736F3"/>
    <w:rsid w:val="00480209"/>
    <w:rsid w:val="00486B7F"/>
    <w:rsid w:val="004971DC"/>
    <w:rsid w:val="004A2984"/>
    <w:rsid w:val="004D36BC"/>
    <w:rsid w:val="004E7D23"/>
    <w:rsid w:val="004F1EDB"/>
    <w:rsid w:val="00510AC7"/>
    <w:rsid w:val="00512F40"/>
    <w:rsid w:val="0051317C"/>
    <w:rsid w:val="00516E1F"/>
    <w:rsid w:val="00520647"/>
    <w:rsid w:val="005247CA"/>
    <w:rsid w:val="005302CD"/>
    <w:rsid w:val="005323F9"/>
    <w:rsid w:val="005338F0"/>
    <w:rsid w:val="00547B4B"/>
    <w:rsid w:val="00563146"/>
    <w:rsid w:val="005668D0"/>
    <w:rsid w:val="00576552"/>
    <w:rsid w:val="0058168C"/>
    <w:rsid w:val="00595DCE"/>
    <w:rsid w:val="005B1728"/>
    <w:rsid w:val="005B2F97"/>
    <w:rsid w:val="005B4233"/>
    <w:rsid w:val="005B53AA"/>
    <w:rsid w:val="005C10DB"/>
    <w:rsid w:val="005C1C2D"/>
    <w:rsid w:val="005C2FD1"/>
    <w:rsid w:val="005C6983"/>
    <w:rsid w:val="005E3866"/>
    <w:rsid w:val="005F217B"/>
    <w:rsid w:val="005F34D9"/>
    <w:rsid w:val="00602394"/>
    <w:rsid w:val="0060531F"/>
    <w:rsid w:val="00611812"/>
    <w:rsid w:val="00635D91"/>
    <w:rsid w:val="00661EDA"/>
    <w:rsid w:val="0067189F"/>
    <w:rsid w:val="006727B3"/>
    <w:rsid w:val="0068009D"/>
    <w:rsid w:val="00687E88"/>
    <w:rsid w:val="006A302C"/>
    <w:rsid w:val="006B4040"/>
    <w:rsid w:val="006C0EF7"/>
    <w:rsid w:val="006C64E2"/>
    <w:rsid w:val="006D4CF2"/>
    <w:rsid w:val="006E4CC3"/>
    <w:rsid w:val="006E5F9A"/>
    <w:rsid w:val="006F74DC"/>
    <w:rsid w:val="006F7A8F"/>
    <w:rsid w:val="00703861"/>
    <w:rsid w:val="007111BD"/>
    <w:rsid w:val="00714263"/>
    <w:rsid w:val="00734FF3"/>
    <w:rsid w:val="007455E1"/>
    <w:rsid w:val="0074616E"/>
    <w:rsid w:val="00756019"/>
    <w:rsid w:val="00771122"/>
    <w:rsid w:val="00790434"/>
    <w:rsid w:val="007A75A7"/>
    <w:rsid w:val="007D5107"/>
    <w:rsid w:val="007F14CA"/>
    <w:rsid w:val="007F1936"/>
    <w:rsid w:val="007F486B"/>
    <w:rsid w:val="007F5319"/>
    <w:rsid w:val="007F60BA"/>
    <w:rsid w:val="007F7071"/>
    <w:rsid w:val="00810F3F"/>
    <w:rsid w:val="00811B43"/>
    <w:rsid w:val="008156E1"/>
    <w:rsid w:val="00817C0B"/>
    <w:rsid w:val="00824E46"/>
    <w:rsid w:val="00830AC2"/>
    <w:rsid w:val="008347C2"/>
    <w:rsid w:val="008360C4"/>
    <w:rsid w:val="0084398F"/>
    <w:rsid w:val="00844FF1"/>
    <w:rsid w:val="008517A2"/>
    <w:rsid w:val="00855A6C"/>
    <w:rsid w:val="00856705"/>
    <w:rsid w:val="00856EF8"/>
    <w:rsid w:val="00860849"/>
    <w:rsid w:val="0086126A"/>
    <w:rsid w:val="00863475"/>
    <w:rsid w:val="008646BF"/>
    <w:rsid w:val="00867535"/>
    <w:rsid w:val="00872CA3"/>
    <w:rsid w:val="00883D67"/>
    <w:rsid w:val="00883DBA"/>
    <w:rsid w:val="0088678E"/>
    <w:rsid w:val="008950BE"/>
    <w:rsid w:val="008A107C"/>
    <w:rsid w:val="008B05B4"/>
    <w:rsid w:val="008B59E9"/>
    <w:rsid w:val="008B60D8"/>
    <w:rsid w:val="008B6A76"/>
    <w:rsid w:val="008B75A6"/>
    <w:rsid w:val="008D07D7"/>
    <w:rsid w:val="008D36CC"/>
    <w:rsid w:val="008F0960"/>
    <w:rsid w:val="008F5DBB"/>
    <w:rsid w:val="008F6D2E"/>
    <w:rsid w:val="00905EAD"/>
    <w:rsid w:val="00911726"/>
    <w:rsid w:val="0091481A"/>
    <w:rsid w:val="00914A84"/>
    <w:rsid w:val="009177F7"/>
    <w:rsid w:val="00917F5B"/>
    <w:rsid w:val="00921CCC"/>
    <w:rsid w:val="00922D59"/>
    <w:rsid w:val="009231A4"/>
    <w:rsid w:val="0092548D"/>
    <w:rsid w:val="00930D2E"/>
    <w:rsid w:val="00931EB6"/>
    <w:rsid w:val="00937EF3"/>
    <w:rsid w:val="00941195"/>
    <w:rsid w:val="00947371"/>
    <w:rsid w:val="00947CB1"/>
    <w:rsid w:val="009505E5"/>
    <w:rsid w:val="00950948"/>
    <w:rsid w:val="0095255A"/>
    <w:rsid w:val="0095748D"/>
    <w:rsid w:val="00960A5B"/>
    <w:rsid w:val="0096148E"/>
    <w:rsid w:val="00963F3F"/>
    <w:rsid w:val="0098025D"/>
    <w:rsid w:val="009843E0"/>
    <w:rsid w:val="00984678"/>
    <w:rsid w:val="00985B9D"/>
    <w:rsid w:val="00991B86"/>
    <w:rsid w:val="00995E3E"/>
    <w:rsid w:val="00996588"/>
    <w:rsid w:val="00997C7F"/>
    <w:rsid w:val="009A120B"/>
    <w:rsid w:val="009A39F9"/>
    <w:rsid w:val="009A6F49"/>
    <w:rsid w:val="009A73CF"/>
    <w:rsid w:val="009B05CD"/>
    <w:rsid w:val="009D2E1E"/>
    <w:rsid w:val="009D5612"/>
    <w:rsid w:val="009F46E9"/>
    <w:rsid w:val="009F5C41"/>
    <w:rsid w:val="00A10E83"/>
    <w:rsid w:val="00A1328C"/>
    <w:rsid w:val="00A231E1"/>
    <w:rsid w:val="00A43B3A"/>
    <w:rsid w:val="00A71E04"/>
    <w:rsid w:val="00A72B4B"/>
    <w:rsid w:val="00A80EB8"/>
    <w:rsid w:val="00A8568B"/>
    <w:rsid w:val="00A903B8"/>
    <w:rsid w:val="00A9214F"/>
    <w:rsid w:val="00A930F6"/>
    <w:rsid w:val="00AA0137"/>
    <w:rsid w:val="00AA34D6"/>
    <w:rsid w:val="00AB1358"/>
    <w:rsid w:val="00AB3ADF"/>
    <w:rsid w:val="00AB507D"/>
    <w:rsid w:val="00AD1BFF"/>
    <w:rsid w:val="00AD1CF0"/>
    <w:rsid w:val="00AD4C10"/>
    <w:rsid w:val="00AE6E47"/>
    <w:rsid w:val="00AF4E2F"/>
    <w:rsid w:val="00B015A5"/>
    <w:rsid w:val="00B051A1"/>
    <w:rsid w:val="00B10B2F"/>
    <w:rsid w:val="00B20CF7"/>
    <w:rsid w:val="00B23784"/>
    <w:rsid w:val="00B24021"/>
    <w:rsid w:val="00B40642"/>
    <w:rsid w:val="00B43B3C"/>
    <w:rsid w:val="00B607DF"/>
    <w:rsid w:val="00B619E9"/>
    <w:rsid w:val="00B63BF5"/>
    <w:rsid w:val="00B640F3"/>
    <w:rsid w:val="00B76C65"/>
    <w:rsid w:val="00B83EB6"/>
    <w:rsid w:val="00B85804"/>
    <w:rsid w:val="00B90F61"/>
    <w:rsid w:val="00B92AF5"/>
    <w:rsid w:val="00BA00D6"/>
    <w:rsid w:val="00BA6C30"/>
    <w:rsid w:val="00BB77F0"/>
    <w:rsid w:val="00BC6B58"/>
    <w:rsid w:val="00BC7531"/>
    <w:rsid w:val="00BD0D06"/>
    <w:rsid w:val="00BD5E01"/>
    <w:rsid w:val="00BF3D9B"/>
    <w:rsid w:val="00BF4CCC"/>
    <w:rsid w:val="00C16025"/>
    <w:rsid w:val="00C20C4F"/>
    <w:rsid w:val="00C516BF"/>
    <w:rsid w:val="00C53AB1"/>
    <w:rsid w:val="00C56345"/>
    <w:rsid w:val="00C60709"/>
    <w:rsid w:val="00C66556"/>
    <w:rsid w:val="00C85BA5"/>
    <w:rsid w:val="00C9156E"/>
    <w:rsid w:val="00C96F6D"/>
    <w:rsid w:val="00CB4292"/>
    <w:rsid w:val="00CB7B50"/>
    <w:rsid w:val="00CD42F0"/>
    <w:rsid w:val="00CE0AAC"/>
    <w:rsid w:val="00CF487E"/>
    <w:rsid w:val="00D055EE"/>
    <w:rsid w:val="00D21589"/>
    <w:rsid w:val="00D276F7"/>
    <w:rsid w:val="00D41B2F"/>
    <w:rsid w:val="00D42100"/>
    <w:rsid w:val="00D533AF"/>
    <w:rsid w:val="00D73469"/>
    <w:rsid w:val="00D7581A"/>
    <w:rsid w:val="00D75EBF"/>
    <w:rsid w:val="00D85DC2"/>
    <w:rsid w:val="00D87104"/>
    <w:rsid w:val="00D90AD2"/>
    <w:rsid w:val="00D94469"/>
    <w:rsid w:val="00D968F8"/>
    <w:rsid w:val="00DA1280"/>
    <w:rsid w:val="00DC10D8"/>
    <w:rsid w:val="00DD0E1B"/>
    <w:rsid w:val="00DD77CC"/>
    <w:rsid w:val="00DE2E32"/>
    <w:rsid w:val="00DE3DEC"/>
    <w:rsid w:val="00DE5B97"/>
    <w:rsid w:val="00DE675A"/>
    <w:rsid w:val="00DF41F7"/>
    <w:rsid w:val="00E10428"/>
    <w:rsid w:val="00E132E9"/>
    <w:rsid w:val="00E15728"/>
    <w:rsid w:val="00E327CE"/>
    <w:rsid w:val="00E610AD"/>
    <w:rsid w:val="00E705B8"/>
    <w:rsid w:val="00E83DA6"/>
    <w:rsid w:val="00E8418F"/>
    <w:rsid w:val="00E8734A"/>
    <w:rsid w:val="00E90C35"/>
    <w:rsid w:val="00E97587"/>
    <w:rsid w:val="00EB418C"/>
    <w:rsid w:val="00EB6A5C"/>
    <w:rsid w:val="00ED1285"/>
    <w:rsid w:val="00ED1664"/>
    <w:rsid w:val="00ED2006"/>
    <w:rsid w:val="00ED33E2"/>
    <w:rsid w:val="00EE43D6"/>
    <w:rsid w:val="00EE4466"/>
    <w:rsid w:val="00EF1E4B"/>
    <w:rsid w:val="00EF4213"/>
    <w:rsid w:val="00EF744B"/>
    <w:rsid w:val="00F14075"/>
    <w:rsid w:val="00F14630"/>
    <w:rsid w:val="00F22DC0"/>
    <w:rsid w:val="00F25381"/>
    <w:rsid w:val="00F25697"/>
    <w:rsid w:val="00F328A6"/>
    <w:rsid w:val="00F352E0"/>
    <w:rsid w:val="00F3570B"/>
    <w:rsid w:val="00F503E9"/>
    <w:rsid w:val="00F52D0A"/>
    <w:rsid w:val="00F54D46"/>
    <w:rsid w:val="00F5552E"/>
    <w:rsid w:val="00F67B02"/>
    <w:rsid w:val="00F70F94"/>
    <w:rsid w:val="00F72329"/>
    <w:rsid w:val="00F73E42"/>
    <w:rsid w:val="00F90ABF"/>
    <w:rsid w:val="00F94ACC"/>
    <w:rsid w:val="00FA775D"/>
    <w:rsid w:val="00FB285F"/>
    <w:rsid w:val="00FC43D3"/>
    <w:rsid w:val="00FC51E1"/>
    <w:rsid w:val="00FC7DB7"/>
    <w:rsid w:val="00FE1CDE"/>
    <w:rsid w:val="00FE1ED0"/>
    <w:rsid w:val="00FF6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77380889">
      <w:bodyDiv w:val="1"/>
      <w:marLeft w:val="0"/>
      <w:marRight w:val="0"/>
      <w:marTop w:val="0"/>
      <w:marBottom w:val="0"/>
      <w:divBdr>
        <w:top w:val="none" w:sz="0" w:space="0" w:color="auto"/>
        <w:left w:val="none" w:sz="0" w:space="0" w:color="auto"/>
        <w:bottom w:val="none" w:sz="0" w:space="0" w:color="auto"/>
        <w:right w:val="none" w:sz="0" w:space="0" w:color="auto"/>
      </w:divBdr>
    </w:div>
    <w:div w:id="500434468">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00596819">
      <w:bodyDiv w:val="1"/>
      <w:marLeft w:val="0"/>
      <w:marRight w:val="0"/>
      <w:marTop w:val="0"/>
      <w:marBottom w:val="0"/>
      <w:divBdr>
        <w:top w:val="none" w:sz="0" w:space="0" w:color="auto"/>
        <w:left w:val="none" w:sz="0" w:space="0" w:color="auto"/>
        <w:bottom w:val="none" w:sz="0" w:space="0" w:color="auto"/>
        <w:right w:val="none" w:sz="0" w:space="0" w:color="auto"/>
      </w:divBdr>
    </w:div>
    <w:div w:id="1510178420">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3685495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AAD9-94C6-4BF7-B6BD-0A8F77AC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24</TotalTime>
  <Pages>9</Pages>
  <Words>2838</Words>
  <Characters>16748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3</cp:revision>
  <cp:lastPrinted>2017-07-21T07:47:00Z</cp:lastPrinted>
  <dcterms:created xsi:type="dcterms:W3CDTF">2020-09-10T08:59:00Z</dcterms:created>
  <dcterms:modified xsi:type="dcterms:W3CDTF">2020-09-10T10:21:00Z</dcterms:modified>
</cp:coreProperties>
</file>