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0E2" w:rsidRPr="009415F6" w:rsidRDefault="008F40E2" w:rsidP="008F40E2">
      <w:pPr>
        <w:spacing w:before="120" w:after="120" w:line="240" w:lineRule="auto"/>
        <w:jc w:val="center"/>
        <w:rPr>
          <w:b/>
          <w:sz w:val="40"/>
          <w:szCs w:val="40"/>
        </w:rPr>
      </w:pPr>
      <w:r w:rsidRPr="009415F6">
        <w:rPr>
          <w:b/>
          <w:sz w:val="40"/>
          <w:szCs w:val="40"/>
        </w:rPr>
        <w:t>Příloha č. 1</w:t>
      </w:r>
      <w:r w:rsidR="007E7F50">
        <w:rPr>
          <w:b/>
          <w:sz w:val="40"/>
          <w:szCs w:val="40"/>
        </w:rPr>
        <w:t>4</w:t>
      </w:r>
    </w:p>
    <w:p w:rsidR="008F40E2" w:rsidRPr="009415F6" w:rsidRDefault="008F40E2" w:rsidP="008F40E2">
      <w:pPr>
        <w:spacing w:before="120" w:after="120" w:line="240" w:lineRule="auto"/>
        <w:jc w:val="center"/>
        <w:rPr>
          <w:b/>
          <w:sz w:val="40"/>
          <w:szCs w:val="40"/>
        </w:rPr>
      </w:pPr>
      <w:r w:rsidRPr="009415F6">
        <w:rPr>
          <w:b/>
          <w:sz w:val="40"/>
          <w:szCs w:val="40"/>
        </w:rPr>
        <w:t>Pravidla prodeje Losů okamžitých loterií</w:t>
      </w:r>
    </w:p>
    <w:p w:rsidR="008F40E2" w:rsidRPr="009415F6" w:rsidRDefault="008F40E2" w:rsidP="008F40E2">
      <w:pPr>
        <w:spacing w:before="120" w:after="120" w:line="240" w:lineRule="auto"/>
        <w:rPr>
          <w:b/>
          <w:sz w:val="24"/>
          <w:szCs w:val="24"/>
        </w:rPr>
      </w:pPr>
    </w:p>
    <w:p w:rsidR="008F40E2" w:rsidRPr="00864FDB" w:rsidRDefault="008F40E2" w:rsidP="00334D7C">
      <w:pPr>
        <w:pStyle w:val="Odstavecseseznamem"/>
        <w:numPr>
          <w:ilvl w:val="0"/>
          <w:numId w:val="9"/>
        </w:numPr>
        <w:spacing w:before="120" w:after="120" w:line="240" w:lineRule="auto"/>
        <w:contextualSpacing w:val="0"/>
        <w:jc w:val="center"/>
        <w:rPr>
          <w:b/>
          <w:sz w:val="24"/>
          <w:szCs w:val="24"/>
          <w:highlight w:val="black"/>
        </w:rPr>
      </w:pPr>
      <w:r w:rsidRPr="00864FDB">
        <w:rPr>
          <w:b/>
          <w:sz w:val="24"/>
          <w:szCs w:val="24"/>
          <w:highlight w:val="black"/>
        </w:rPr>
        <w:t>Úvod</w:t>
      </w:r>
    </w:p>
    <w:p w:rsidR="008F40E2" w:rsidRPr="00864FDB" w:rsidRDefault="008F40E2" w:rsidP="00334D7C">
      <w:pPr>
        <w:pStyle w:val="Odstavecseseznamem"/>
        <w:numPr>
          <w:ilvl w:val="0"/>
          <w:numId w:val="12"/>
        </w:numPr>
        <w:spacing w:before="120" w:after="120" w:line="240" w:lineRule="auto"/>
        <w:jc w:val="both"/>
        <w:rPr>
          <w:sz w:val="24"/>
          <w:szCs w:val="24"/>
          <w:highlight w:val="black"/>
        </w:rPr>
      </w:pPr>
      <w:r w:rsidRPr="00864FDB">
        <w:rPr>
          <w:sz w:val="24"/>
          <w:szCs w:val="24"/>
          <w:highlight w:val="black"/>
        </w:rPr>
        <w:t xml:space="preserve">Zástupce je povinen za podmínek stanovených touto přílohou č. </w:t>
      </w:r>
      <w:r w:rsidR="00A01858" w:rsidRPr="00864FDB">
        <w:rPr>
          <w:sz w:val="24"/>
          <w:szCs w:val="24"/>
          <w:highlight w:val="black"/>
        </w:rPr>
        <w:t>14</w:t>
      </w:r>
      <w:r w:rsidRPr="00864FDB">
        <w:rPr>
          <w:sz w:val="24"/>
          <w:szCs w:val="24"/>
          <w:highlight w:val="black"/>
        </w:rPr>
        <w:t xml:space="preserve"> Smlouvy provádět v Partnerovi prodej Losů okamžitých loterií</w:t>
      </w:r>
      <w:r w:rsidR="00C94C78" w:rsidRPr="00864FDB">
        <w:rPr>
          <w:sz w:val="24"/>
          <w:szCs w:val="24"/>
          <w:highlight w:val="black"/>
        </w:rPr>
        <w:t xml:space="preserve"> </w:t>
      </w:r>
      <w:r w:rsidR="00C94C78" w:rsidRPr="00864FDB">
        <w:rPr>
          <w:highlight w:val="black"/>
        </w:rPr>
        <w:t xml:space="preserve">společnosti </w:t>
      </w:r>
      <w:r w:rsidRPr="00864FDB">
        <w:rPr>
          <w:bCs/>
          <w:sz w:val="24"/>
          <w:szCs w:val="24"/>
          <w:highlight w:val="black"/>
        </w:rPr>
        <w:t>TIPSPORT</w:t>
      </w:r>
      <w:r w:rsidR="004B1370" w:rsidRPr="00864FDB">
        <w:rPr>
          <w:bCs/>
          <w:sz w:val="24"/>
          <w:szCs w:val="24"/>
          <w:highlight w:val="black"/>
        </w:rPr>
        <w:t>.net</w:t>
      </w:r>
      <w:r w:rsidRPr="00864FDB">
        <w:rPr>
          <w:bCs/>
          <w:sz w:val="24"/>
          <w:szCs w:val="24"/>
          <w:highlight w:val="black"/>
        </w:rPr>
        <w:t xml:space="preserve"> a.s.</w:t>
      </w:r>
      <w:r w:rsidR="006044AA" w:rsidRPr="00864FDB">
        <w:rPr>
          <w:sz w:val="24"/>
          <w:szCs w:val="24"/>
          <w:highlight w:val="black"/>
        </w:rPr>
        <w:t xml:space="preserve"> </w:t>
      </w:r>
      <w:r w:rsidRPr="00864FDB">
        <w:rPr>
          <w:sz w:val="24"/>
          <w:szCs w:val="24"/>
          <w:highlight w:val="black"/>
        </w:rPr>
        <w:t>(dále samostatně jen „společnost Tipsport</w:t>
      </w:r>
      <w:r w:rsidR="009415F6" w:rsidRPr="00864FDB">
        <w:rPr>
          <w:sz w:val="24"/>
          <w:szCs w:val="24"/>
          <w:highlight w:val="black"/>
        </w:rPr>
        <w:t>,</w:t>
      </w:r>
      <w:r w:rsidRPr="00864FDB">
        <w:rPr>
          <w:sz w:val="24"/>
          <w:szCs w:val="24"/>
          <w:highlight w:val="black"/>
        </w:rPr>
        <w:t>“</w:t>
      </w:r>
      <w:r w:rsidR="00FF496B" w:rsidRPr="00864FDB">
        <w:rPr>
          <w:sz w:val="24"/>
          <w:szCs w:val="24"/>
          <w:highlight w:val="black"/>
        </w:rPr>
        <w:t xml:space="preserve"> nebo </w:t>
      </w:r>
      <w:r w:rsidRPr="00864FDB">
        <w:rPr>
          <w:sz w:val="24"/>
          <w:szCs w:val="24"/>
          <w:highlight w:val="black"/>
        </w:rPr>
        <w:t xml:space="preserve">též „Provozovatel“), uvedených v aktuálním seznamu Losů okamžitých loterií </w:t>
      </w:r>
      <w:r w:rsidR="00C94C78" w:rsidRPr="00864FDB">
        <w:rPr>
          <w:highlight w:val="black"/>
        </w:rPr>
        <w:t xml:space="preserve">společnosti </w:t>
      </w:r>
      <w:r w:rsidRPr="00864FDB">
        <w:rPr>
          <w:sz w:val="24"/>
          <w:szCs w:val="24"/>
          <w:highlight w:val="black"/>
        </w:rPr>
        <w:t>Tipsport</w:t>
      </w:r>
      <w:r w:rsidR="00831B30" w:rsidRPr="00864FDB">
        <w:rPr>
          <w:sz w:val="24"/>
          <w:szCs w:val="24"/>
          <w:highlight w:val="black"/>
        </w:rPr>
        <w:t xml:space="preserve">, </w:t>
      </w:r>
      <w:r w:rsidRPr="00864FDB">
        <w:rPr>
          <w:sz w:val="24"/>
          <w:szCs w:val="24"/>
          <w:highlight w:val="black"/>
        </w:rPr>
        <w:t xml:space="preserve">předaných Zástupci ČP a zajišťovat výplatu výher do stanovené výše. Na základě žádosti ČP Zástupce zajistí prodej dalších emisí Losů neuvedených v seznamu Losů okamžitých loterií </w:t>
      </w:r>
      <w:r w:rsidR="00C94C78" w:rsidRPr="00864FDB">
        <w:rPr>
          <w:highlight w:val="black"/>
        </w:rPr>
        <w:t xml:space="preserve">společnosti </w:t>
      </w:r>
      <w:r w:rsidRPr="00864FDB">
        <w:rPr>
          <w:sz w:val="24"/>
          <w:szCs w:val="24"/>
          <w:highlight w:val="black"/>
        </w:rPr>
        <w:t xml:space="preserve">Tipsport. Aktuální seznam Losů okamžitých loterií </w:t>
      </w:r>
      <w:r w:rsidR="00C94C78" w:rsidRPr="00864FDB">
        <w:rPr>
          <w:highlight w:val="black"/>
        </w:rPr>
        <w:t xml:space="preserve">společnosti </w:t>
      </w:r>
      <w:r w:rsidRPr="00864FDB">
        <w:rPr>
          <w:sz w:val="24"/>
          <w:szCs w:val="24"/>
          <w:highlight w:val="black"/>
        </w:rPr>
        <w:t>Tipsport</w:t>
      </w:r>
      <w:r w:rsidR="004B1370" w:rsidRPr="00864FDB">
        <w:rPr>
          <w:sz w:val="24"/>
          <w:szCs w:val="24"/>
          <w:highlight w:val="black"/>
        </w:rPr>
        <w:t xml:space="preserve"> </w:t>
      </w:r>
      <w:r w:rsidRPr="00864FDB">
        <w:rPr>
          <w:sz w:val="24"/>
          <w:szCs w:val="24"/>
          <w:highlight w:val="black"/>
        </w:rPr>
        <w:t>předá ČP Zástupci před zahájením prodeje Losů okamžitých loterií, resp. v případě jeho změny, před nabytím účinností této změny.</w:t>
      </w:r>
    </w:p>
    <w:p w:rsidR="008F40E2" w:rsidRPr="00864FDB" w:rsidRDefault="008F40E2" w:rsidP="008F40E2">
      <w:pPr>
        <w:pStyle w:val="Odstavecseseznamem"/>
        <w:spacing w:before="120" w:after="120" w:line="240" w:lineRule="auto"/>
        <w:jc w:val="both"/>
        <w:rPr>
          <w:sz w:val="24"/>
          <w:szCs w:val="24"/>
          <w:highlight w:val="black"/>
        </w:rPr>
      </w:pPr>
    </w:p>
    <w:p w:rsidR="008F40E2" w:rsidRPr="00864FDB" w:rsidRDefault="008F40E2" w:rsidP="00334D7C">
      <w:pPr>
        <w:pStyle w:val="Odstavecseseznamem"/>
        <w:numPr>
          <w:ilvl w:val="0"/>
          <w:numId w:val="11"/>
        </w:numPr>
        <w:spacing w:before="120" w:after="120" w:line="240" w:lineRule="auto"/>
        <w:jc w:val="both"/>
        <w:rPr>
          <w:sz w:val="24"/>
          <w:szCs w:val="24"/>
          <w:highlight w:val="black"/>
        </w:rPr>
      </w:pPr>
      <w:r w:rsidRPr="00864FDB">
        <w:rPr>
          <w:sz w:val="24"/>
          <w:szCs w:val="24"/>
          <w:highlight w:val="black"/>
        </w:rPr>
        <w:t xml:space="preserve">Prodej Losů a výplatu výher Zástupce provádí na základě plné moci obsažené v příloze č. 1 Smlouvy jménem a na účet </w:t>
      </w:r>
      <w:r w:rsidR="00C94C78" w:rsidRPr="00864FDB">
        <w:rPr>
          <w:highlight w:val="black"/>
        </w:rPr>
        <w:t xml:space="preserve">společnosti </w:t>
      </w:r>
      <w:r w:rsidRPr="00864FDB">
        <w:rPr>
          <w:sz w:val="24"/>
          <w:szCs w:val="24"/>
          <w:highlight w:val="black"/>
        </w:rPr>
        <w:t xml:space="preserve"> Tipsport (v případě Los</w:t>
      </w:r>
      <w:r w:rsidR="00FD7930" w:rsidRPr="00864FDB">
        <w:rPr>
          <w:sz w:val="24"/>
          <w:szCs w:val="24"/>
          <w:highlight w:val="black"/>
        </w:rPr>
        <w:t>ů vydaných společnost</w:t>
      </w:r>
      <w:r w:rsidR="00FF496B" w:rsidRPr="00864FDB">
        <w:rPr>
          <w:sz w:val="24"/>
          <w:szCs w:val="24"/>
          <w:highlight w:val="black"/>
        </w:rPr>
        <w:t>i</w:t>
      </w:r>
      <w:r w:rsidR="00FD7930" w:rsidRPr="00864FDB">
        <w:rPr>
          <w:sz w:val="24"/>
          <w:szCs w:val="24"/>
          <w:highlight w:val="black"/>
        </w:rPr>
        <w:t xml:space="preserve"> Tipsport)</w:t>
      </w:r>
      <w:r w:rsidRPr="00864FDB">
        <w:rPr>
          <w:sz w:val="24"/>
          <w:szCs w:val="24"/>
          <w:highlight w:val="black"/>
        </w:rPr>
        <w:t xml:space="preserve">. </w:t>
      </w:r>
    </w:p>
    <w:p w:rsidR="008F40E2" w:rsidRPr="00864FDB" w:rsidRDefault="008F40E2" w:rsidP="008F40E2">
      <w:pPr>
        <w:pStyle w:val="Odstavecseseznamem"/>
        <w:spacing w:before="120" w:after="120" w:line="240" w:lineRule="auto"/>
        <w:jc w:val="both"/>
        <w:rPr>
          <w:sz w:val="24"/>
          <w:szCs w:val="24"/>
          <w:highlight w:val="black"/>
        </w:rPr>
      </w:pPr>
    </w:p>
    <w:p w:rsidR="008F40E2" w:rsidRPr="00864FDB" w:rsidRDefault="008F40E2" w:rsidP="00334D7C">
      <w:pPr>
        <w:pStyle w:val="Odstavecseseznamem"/>
        <w:numPr>
          <w:ilvl w:val="0"/>
          <w:numId w:val="9"/>
        </w:numPr>
        <w:spacing w:before="120" w:after="120" w:line="240" w:lineRule="auto"/>
        <w:contextualSpacing w:val="0"/>
        <w:jc w:val="center"/>
        <w:rPr>
          <w:b/>
          <w:sz w:val="24"/>
          <w:szCs w:val="24"/>
          <w:highlight w:val="black"/>
        </w:rPr>
      </w:pPr>
      <w:r w:rsidRPr="00864FDB">
        <w:rPr>
          <w:b/>
          <w:sz w:val="24"/>
          <w:szCs w:val="24"/>
          <w:highlight w:val="black"/>
        </w:rPr>
        <w:t>Výklad pojmů</w:t>
      </w:r>
    </w:p>
    <w:p w:rsidR="008F40E2" w:rsidRPr="00864FDB" w:rsidRDefault="008F40E2" w:rsidP="00334D7C">
      <w:pPr>
        <w:pStyle w:val="Odstavecseseznamem"/>
        <w:numPr>
          <w:ilvl w:val="0"/>
          <w:numId w:val="16"/>
        </w:numPr>
        <w:spacing w:before="120" w:after="120" w:line="240" w:lineRule="auto"/>
        <w:jc w:val="both"/>
        <w:rPr>
          <w:sz w:val="24"/>
          <w:szCs w:val="24"/>
          <w:highlight w:val="black"/>
        </w:rPr>
      </w:pPr>
      <w:r w:rsidRPr="00864FDB">
        <w:rPr>
          <w:sz w:val="24"/>
          <w:szCs w:val="24"/>
          <w:highlight w:val="black"/>
        </w:rPr>
        <w:t>Prodej Losů - Prodejem Losů se pro účely této přílohy rozumí uzavírání sázek (příjem vkladů od Sázejících) na Hry okamžitých loterií a ověřování („Validace“) a výplata výher v souladu s příslušným Herním plánem pro provozování Hry okamžité loterie.</w:t>
      </w:r>
    </w:p>
    <w:p w:rsidR="008F40E2" w:rsidRPr="00864FDB" w:rsidRDefault="008F40E2" w:rsidP="00334D7C">
      <w:pPr>
        <w:pStyle w:val="Odstavecseseznamem"/>
        <w:numPr>
          <w:ilvl w:val="0"/>
          <w:numId w:val="16"/>
        </w:numPr>
        <w:spacing w:before="120" w:after="120" w:line="240" w:lineRule="auto"/>
        <w:jc w:val="both"/>
        <w:rPr>
          <w:sz w:val="24"/>
          <w:szCs w:val="24"/>
          <w:highlight w:val="black"/>
        </w:rPr>
      </w:pPr>
      <w:r w:rsidRPr="00864FDB">
        <w:rPr>
          <w:sz w:val="24"/>
          <w:szCs w:val="24"/>
          <w:highlight w:val="black"/>
        </w:rPr>
        <w:t xml:space="preserve">Hra okamžité loterie - Hra okamžité loterie znamená okamžitou loterii provozovanou </w:t>
      </w:r>
      <w:r w:rsidR="001D2072" w:rsidRPr="00864FDB">
        <w:rPr>
          <w:highlight w:val="black"/>
        </w:rPr>
        <w:t xml:space="preserve">společností </w:t>
      </w:r>
      <w:r w:rsidRPr="00864FDB">
        <w:rPr>
          <w:sz w:val="24"/>
          <w:szCs w:val="24"/>
          <w:highlight w:val="black"/>
        </w:rPr>
        <w:t>Tipsport</w:t>
      </w:r>
      <w:r w:rsidR="006044AA" w:rsidRPr="00864FDB">
        <w:rPr>
          <w:sz w:val="24"/>
          <w:szCs w:val="24"/>
          <w:highlight w:val="black"/>
        </w:rPr>
        <w:t xml:space="preserve"> </w:t>
      </w:r>
      <w:r w:rsidRPr="00864FDB">
        <w:rPr>
          <w:sz w:val="24"/>
          <w:szCs w:val="24"/>
          <w:highlight w:val="black"/>
        </w:rPr>
        <w:t xml:space="preserve">dle ustanovení § 2 písm. d) loterního zákona, a to na základě povolení Ministerstva financí České republiky a v souladu s příslušným Herním plánem. Informace o zahájení a ukončení jednotlivých okamžitých loteriích a další informace potřebné pro Zástupce jsou zveřejňovány </w:t>
      </w:r>
      <w:r w:rsidR="007B4CF7" w:rsidRPr="00864FDB">
        <w:rPr>
          <w:sz w:val="24"/>
          <w:szCs w:val="24"/>
          <w:highlight w:val="black"/>
        </w:rPr>
        <w:t>v pravidelném sdělení pro pošty Partner</w:t>
      </w:r>
      <w:r w:rsidRPr="00864FDB">
        <w:rPr>
          <w:sz w:val="24"/>
          <w:szCs w:val="24"/>
          <w:highlight w:val="black"/>
        </w:rPr>
        <w:t>.</w:t>
      </w:r>
    </w:p>
    <w:p w:rsidR="008F40E2" w:rsidRPr="00864FDB" w:rsidRDefault="008F40E2" w:rsidP="00334D7C">
      <w:pPr>
        <w:pStyle w:val="Odstavecseseznamem"/>
        <w:numPr>
          <w:ilvl w:val="0"/>
          <w:numId w:val="16"/>
        </w:numPr>
        <w:spacing w:before="120" w:after="120" w:line="240" w:lineRule="auto"/>
        <w:jc w:val="both"/>
        <w:rPr>
          <w:sz w:val="24"/>
          <w:szCs w:val="24"/>
          <w:highlight w:val="black"/>
        </w:rPr>
      </w:pPr>
      <w:r w:rsidRPr="00864FDB">
        <w:rPr>
          <w:sz w:val="24"/>
          <w:szCs w:val="24"/>
          <w:highlight w:val="black"/>
        </w:rPr>
        <w:t xml:space="preserve">Herní plán - Herní plán znamená herní plán, který stanoví konkrétní podmínky provozování jednotlivých Her okamžitých loterií provozovaných </w:t>
      </w:r>
      <w:r w:rsidR="001D2072" w:rsidRPr="00864FDB">
        <w:rPr>
          <w:highlight w:val="black"/>
        </w:rPr>
        <w:t>společnost</w:t>
      </w:r>
      <w:r w:rsidR="00FF496B" w:rsidRPr="00864FDB">
        <w:rPr>
          <w:highlight w:val="black"/>
        </w:rPr>
        <w:t>i</w:t>
      </w:r>
      <w:r w:rsidR="001D2072" w:rsidRPr="00864FDB">
        <w:rPr>
          <w:highlight w:val="black"/>
        </w:rPr>
        <w:t xml:space="preserve"> </w:t>
      </w:r>
      <w:r w:rsidRPr="00864FDB">
        <w:rPr>
          <w:sz w:val="24"/>
          <w:szCs w:val="24"/>
          <w:highlight w:val="black"/>
        </w:rPr>
        <w:t>Tipsport, schválený Ministerstvem financí České republiky. Herní plány jsou závazné pro všechny účastníky hry okamžité loterie, včetně Zástupce.</w:t>
      </w:r>
    </w:p>
    <w:p w:rsidR="008F40E2" w:rsidRPr="00864FDB" w:rsidRDefault="008F40E2" w:rsidP="00334D7C">
      <w:pPr>
        <w:pStyle w:val="Odstavecseseznamem"/>
        <w:numPr>
          <w:ilvl w:val="0"/>
          <w:numId w:val="16"/>
        </w:numPr>
        <w:spacing w:before="120" w:after="120" w:line="240" w:lineRule="auto"/>
        <w:jc w:val="both"/>
        <w:rPr>
          <w:sz w:val="24"/>
          <w:szCs w:val="24"/>
          <w:highlight w:val="black"/>
        </w:rPr>
      </w:pPr>
      <w:r w:rsidRPr="00864FDB">
        <w:rPr>
          <w:sz w:val="24"/>
          <w:szCs w:val="24"/>
          <w:highlight w:val="black"/>
        </w:rPr>
        <w:t>Sázející - Sázející znamená fyzickou osobu, která dovršila osmnáct let věku, je sv</w:t>
      </w:r>
      <w:bookmarkStart w:id="0" w:name="_GoBack"/>
      <w:bookmarkEnd w:id="0"/>
      <w:r w:rsidRPr="00864FDB">
        <w:rPr>
          <w:sz w:val="24"/>
          <w:szCs w:val="24"/>
          <w:highlight w:val="black"/>
        </w:rPr>
        <w:t>éprávná, a která v souladu s Herním plánem dobrovolně uhradí Vklad prostřednictvím Zástupce předem, přičemž o uzavřené sázce bude Sázejícímu předán Los.</w:t>
      </w:r>
    </w:p>
    <w:p w:rsidR="008F40E2" w:rsidRPr="00864FDB" w:rsidRDefault="008F40E2" w:rsidP="00334D7C">
      <w:pPr>
        <w:pStyle w:val="Odstavecseseznamem"/>
        <w:numPr>
          <w:ilvl w:val="0"/>
          <w:numId w:val="16"/>
        </w:numPr>
        <w:spacing w:before="120" w:after="120" w:line="240" w:lineRule="auto"/>
        <w:jc w:val="both"/>
        <w:rPr>
          <w:sz w:val="24"/>
          <w:szCs w:val="24"/>
          <w:highlight w:val="black"/>
        </w:rPr>
      </w:pPr>
      <w:r w:rsidRPr="00864FDB">
        <w:rPr>
          <w:sz w:val="24"/>
          <w:szCs w:val="24"/>
          <w:highlight w:val="black"/>
        </w:rPr>
        <w:t xml:space="preserve">Los - Los znamená doklad o účasti ve Hře okamžité loterie vydaný </w:t>
      </w:r>
      <w:r w:rsidR="001D2072" w:rsidRPr="00864FDB">
        <w:rPr>
          <w:highlight w:val="black"/>
        </w:rPr>
        <w:t>společnost</w:t>
      </w:r>
      <w:r w:rsidR="00FF496B" w:rsidRPr="00864FDB">
        <w:rPr>
          <w:highlight w:val="black"/>
        </w:rPr>
        <w:t>i</w:t>
      </w:r>
      <w:r w:rsidR="001D2072" w:rsidRPr="00864FDB">
        <w:rPr>
          <w:highlight w:val="black"/>
        </w:rPr>
        <w:t xml:space="preserve"> </w:t>
      </w:r>
      <w:r w:rsidRPr="00864FDB">
        <w:rPr>
          <w:sz w:val="24"/>
          <w:szCs w:val="24"/>
          <w:highlight w:val="black"/>
        </w:rPr>
        <w:t>Tipsport a zároveň doklad o zaplacení Vkladu do Hry okamžité loterie, který je Sázejícímu předán prostřednictvím Zástupce. Za Los se považuje pouze takový doklad, který byl řádným způsobem předán do prodeje.</w:t>
      </w:r>
    </w:p>
    <w:p w:rsidR="008F40E2" w:rsidRPr="00864FDB" w:rsidRDefault="008F40E2" w:rsidP="00334D7C">
      <w:pPr>
        <w:pStyle w:val="Odstavecseseznamem"/>
        <w:numPr>
          <w:ilvl w:val="0"/>
          <w:numId w:val="16"/>
        </w:numPr>
        <w:spacing w:before="120" w:after="120" w:line="240" w:lineRule="auto"/>
        <w:jc w:val="both"/>
        <w:rPr>
          <w:sz w:val="24"/>
          <w:szCs w:val="24"/>
          <w:highlight w:val="black"/>
        </w:rPr>
      </w:pPr>
      <w:r w:rsidRPr="00864FDB">
        <w:rPr>
          <w:sz w:val="24"/>
          <w:szCs w:val="24"/>
          <w:highlight w:val="black"/>
        </w:rPr>
        <w:t>Vklad nebo Cena - Vkladem nebo Cenou se pro účely této Smlouvy rozumí peněžní částka, kterou je povinen Zástupce převzít od Sázejícího v souvislosti s uzavřením sázky na Hru okamžité loterie, přičemž výše Vkladu je stanovena v příslušném Herním plánu pro danou Hru okamžité loterie.</w:t>
      </w:r>
    </w:p>
    <w:p w:rsidR="008F40E2" w:rsidRPr="00864FDB" w:rsidRDefault="008F40E2" w:rsidP="00334D7C">
      <w:pPr>
        <w:pStyle w:val="Odstavecseseznamem"/>
        <w:numPr>
          <w:ilvl w:val="0"/>
          <w:numId w:val="16"/>
        </w:numPr>
        <w:spacing w:before="120" w:after="120" w:line="240" w:lineRule="auto"/>
        <w:jc w:val="both"/>
        <w:rPr>
          <w:sz w:val="24"/>
          <w:szCs w:val="24"/>
          <w:highlight w:val="black"/>
        </w:rPr>
      </w:pPr>
      <w:r w:rsidRPr="00864FDB">
        <w:rPr>
          <w:sz w:val="24"/>
          <w:szCs w:val="24"/>
          <w:highlight w:val="black"/>
        </w:rPr>
        <w:t>Výhra - Výhra znamená peněžní částku</w:t>
      </w:r>
      <w:r w:rsidR="00F778CC" w:rsidRPr="00864FDB">
        <w:rPr>
          <w:sz w:val="24"/>
          <w:szCs w:val="24"/>
          <w:highlight w:val="black"/>
        </w:rPr>
        <w:t xml:space="preserve"> nebo věc movitou</w:t>
      </w:r>
      <w:r w:rsidRPr="00864FDB">
        <w:rPr>
          <w:sz w:val="24"/>
          <w:szCs w:val="24"/>
          <w:highlight w:val="black"/>
        </w:rPr>
        <w:t>, ktero</w:t>
      </w:r>
      <w:r w:rsidR="00F778CC" w:rsidRPr="00864FDB">
        <w:rPr>
          <w:sz w:val="24"/>
          <w:szCs w:val="24"/>
          <w:highlight w:val="black"/>
        </w:rPr>
        <w:t xml:space="preserve">u </w:t>
      </w:r>
      <w:r w:rsidR="00831B30" w:rsidRPr="00864FDB">
        <w:rPr>
          <w:sz w:val="24"/>
          <w:szCs w:val="24"/>
          <w:highlight w:val="black"/>
        </w:rPr>
        <w:t xml:space="preserve">Zástupce vyplatí Sázejícímu (výherci) nebo kterou </w:t>
      </w:r>
      <w:r w:rsidR="00F778CC" w:rsidRPr="00864FDB">
        <w:rPr>
          <w:sz w:val="24"/>
          <w:szCs w:val="24"/>
          <w:highlight w:val="black"/>
        </w:rPr>
        <w:t xml:space="preserve">Sázející (výherce) získá od Zástupce </w:t>
      </w:r>
      <w:r w:rsidRPr="00864FDB">
        <w:rPr>
          <w:sz w:val="24"/>
          <w:szCs w:val="24"/>
          <w:highlight w:val="black"/>
        </w:rPr>
        <w:t>při splnění podmínek stanovených příslušným Herním plánem pro danou Hru okamžité loterie, a to po předložení výherního Losu</w:t>
      </w:r>
      <w:r w:rsidR="006044AA" w:rsidRPr="00864FDB">
        <w:rPr>
          <w:sz w:val="24"/>
          <w:szCs w:val="24"/>
          <w:highlight w:val="black"/>
        </w:rPr>
        <w:t>.</w:t>
      </w:r>
      <w:r w:rsidRPr="00864FDB">
        <w:rPr>
          <w:sz w:val="24"/>
          <w:szCs w:val="24"/>
          <w:highlight w:val="black"/>
        </w:rPr>
        <w:t xml:space="preserve"> </w:t>
      </w:r>
    </w:p>
    <w:p w:rsidR="008F40E2" w:rsidRPr="00864FDB" w:rsidRDefault="008F40E2" w:rsidP="00334D7C">
      <w:pPr>
        <w:pStyle w:val="Odstavecseseznamem"/>
        <w:numPr>
          <w:ilvl w:val="0"/>
          <w:numId w:val="16"/>
        </w:numPr>
        <w:spacing w:before="120" w:after="120" w:line="240" w:lineRule="auto"/>
        <w:jc w:val="both"/>
        <w:rPr>
          <w:sz w:val="24"/>
          <w:szCs w:val="24"/>
          <w:highlight w:val="black"/>
        </w:rPr>
      </w:pPr>
      <w:r w:rsidRPr="00864FDB">
        <w:rPr>
          <w:sz w:val="24"/>
          <w:szCs w:val="24"/>
          <w:highlight w:val="black"/>
        </w:rPr>
        <w:lastRenderedPageBreak/>
        <w:t>Manuál - Manuál znamená manuál k prodeji Losů okamžitých loterií vydaný společnost</w:t>
      </w:r>
      <w:r w:rsidR="00FF496B" w:rsidRPr="00864FDB">
        <w:rPr>
          <w:sz w:val="24"/>
          <w:szCs w:val="24"/>
          <w:highlight w:val="black"/>
        </w:rPr>
        <w:t>i</w:t>
      </w:r>
      <w:r w:rsidRPr="00864FDB">
        <w:rPr>
          <w:sz w:val="24"/>
          <w:szCs w:val="24"/>
          <w:highlight w:val="black"/>
        </w:rPr>
        <w:t xml:space="preserve"> Tipsport, který obsahuje zejména základní pravidla pro Prodej Losů, ověřování výplat výher a postup pro Validaci. Aktuální znění Manuálu předá ČP Zástupci před zahájením prodeje Losů okamžitých loterií, resp. v případě jeho změny před nabytím účinností nového znění.</w:t>
      </w:r>
    </w:p>
    <w:p w:rsidR="008F40E2" w:rsidRPr="00864FDB" w:rsidRDefault="008F40E2" w:rsidP="008F40E2">
      <w:pPr>
        <w:pStyle w:val="Odstavecseseznamem"/>
        <w:spacing w:before="120" w:after="120" w:line="240" w:lineRule="auto"/>
        <w:jc w:val="both"/>
        <w:rPr>
          <w:sz w:val="24"/>
          <w:szCs w:val="24"/>
          <w:highlight w:val="black"/>
        </w:rPr>
      </w:pPr>
    </w:p>
    <w:p w:rsidR="008F40E2" w:rsidRPr="00864FDB" w:rsidRDefault="008F40E2" w:rsidP="00334D7C">
      <w:pPr>
        <w:pStyle w:val="Odstavecseseznamem"/>
        <w:numPr>
          <w:ilvl w:val="0"/>
          <w:numId w:val="9"/>
        </w:numPr>
        <w:spacing w:before="120" w:after="120" w:line="240" w:lineRule="auto"/>
        <w:contextualSpacing w:val="0"/>
        <w:jc w:val="center"/>
        <w:rPr>
          <w:b/>
          <w:sz w:val="24"/>
          <w:szCs w:val="24"/>
          <w:highlight w:val="black"/>
        </w:rPr>
      </w:pPr>
      <w:r w:rsidRPr="00864FDB">
        <w:rPr>
          <w:b/>
          <w:sz w:val="24"/>
          <w:szCs w:val="24"/>
          <w:highlight w:val="black"/>
        </w:rPr>
        <w:t>Základní povinnosti zástupce</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 xml:space="preserve">Zástupce je povinen uzavírat jménem a na účet </w:t>
      </w:r>
      <w:r w:rsidR="001D2072" w:rsidRPr="00864FDB">
        <w:rPr>
          <w:highlight w:val="black"/>
        </w:rPr>
        <w:t xml:space="preserve">společnosti </w:t>
      </w:r>
      <w:r w:rsidRPr="00864FDB">
        <w:rPr>
          <w:sz w:val="24"/>
          <w:szCs w:val="24"/>
          <w:highlight w:val="black"/>
        </w:rPr>
        <w:t>Tipsport</w:t>
      </w:r>
      <w:r w:rsidR="006044AA" w:rsidRPr="00864FDB">
        <w:rPr>
          <w:sz w:val="24"/>
          <w:szCs w:val="24"/>
          <w:highlight w:val="black"/>
        </w:rPr>
        <w:t xml:space="preserve"> </w:t>
      </w:r>
      <w:r w:rsidR="00831B30" w:rsidRPr="00864FDB">
        <w:rPr>
          <w:sz w:val="24"/>
          <w:szCs w:val="24"/>
          <w:highlight w:val="black"/>
        </w:rPr>
        <w:t xml:space="preserve">sázky </w:t>
      </w:r>
      <w:r w:rsidRPr="00864FDB">
        <w:rPr>
          <w:sz w:val="24"/>
          <w:szCs w:val="24"/>
          <w:highlight w:val="black"/>
        </w:rPr>
        <w:t xml:space="preserve">se sázejícími na jednotlivé Hry okamžitých loterií dle loterijního zákona a příslušných Herních plánů (prodávat Losy), a to po celou otevírací dobu Partnera vždy minimálně na jedné přepážce. Zástupce realizuje prodej Losů za jejich nominální cenu uvedenou na příslušném typu Losu. </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 xml:space="preserve">Při prodeji Losů Zástupce postupuje v souladu s touto přílohou, technologickou příručkou pro Partnera, Manuálem, jednotlivými Herními plány a se zákonem </w:t>
      </w:r>
      <w:r w:rsidR="007D60C6" w:rsidRPr="00864FDB">
        <w:rPr>
          <w:sz w:val="24"/>
          <w:szCs w:val="24"/>
          <w:highlight w:val="black"/>
        </w:rPr>
        <w:t>č. 186/2016 Sb., o hazardních hrách</w:t>
      </w:r>
      <w:r w:rsidRPr="00864FDB">
        <w:rPr>
          <w:sz w:val="24"/>
          <w:szCs w:val="24"/>
          <w:highlight w:val="black"/>
        </w:rPr>
        <w:t xml:space="preserve">. </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Zástupce je povinen ověřovat a vyplácet výhry z jednotlivých typů Her okamžitých loterií za podmínek stanovených touto přílohou, technologickou příručkou pro Partnera, příslušným Herním plánem a Manuálem.</w:t>
      </w:r>
      <w:r w:rsidRPr="00864FDB" w:rsidDel="003562C6">
        <w:rPr>
          <w:sz w:val="24"/>
          <w:szCs w:val="24"/>
          <w:highlight w:val="black"/>
        </w:rPr>
        <w:t xml:space="preserve"> </w:t>
      </w:r>
      <w:r w:rsidRPr="00864FDB">
        <w:rPr>
          <w:sz w:val="24"/>
          <w:szCs w:val="24"/>
          <w:highlight w:val="black"/>
        </w:rPr>
        <w:t xml:space="preserve">Zástupce je povinen poskytnout zákazníkům na vyžádání k dispozici pro nahlédnutí aktuální Herní plány. </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 xml:space="preserve">Při objednávání a odvodu Losů a vyřizování reklamací je zástupce povinen postupovat v souladu s Technologickou příručkou pro Partnera. </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 xml:space="preserve">Zástupce je povinen označit Partnera příslušnými závěsnými nápisy předanými ČP. </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 xml:space="preserve">Zástupce je povinen zajistit, aby prodej losů a výplata výher okamžitých loterií </w:t>
      </w:r>
      <w:r w:rsidR="00D40C5E" w:rsidRPr="00864FDB">
        <w:rPr>
          <w:sz w:val="24"/>
          <w:szCs w:val="24"/>
          <w:highlight w:val="black"/>
        </w:rPr>
        <w:t xml:space="preserve">nebyla umožněna </w:t>
      </w:r>
      <w:r w:rsidRPr="00864FDB">
        <w:rPr>
          <w:sz w:val="24"/>
          <w:szCs w:val="24"/>
          <w:highlight w:val="black"/>
        </w:rPr>
        <w:t xml:space="preserve">osobám mladším osmnácti let. Při pochybnostech o věku může žádat předložení průkazu totožnosti, případně prodej losu nebo výplatu výhry odmítnout. </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 xml:space="preserve">Zástupce je povinen umístit na vchodových dveřích do Partnera samolepku upozorňující na zákaz sázení osobám mladším osmnácti let předanou Zástupci ČP. </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 xml:space="preserve">Zástupce je povinen chránit Losy před jejich zneužitím, ztrátou nebo poškozením. V případě, že dojde k jakékoliv mimořádné události v průběhu Prodeje Losů, je Zástupce povinen takovou událost neprodleně nahlásit ČP. </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Zástupce zajistí zabezpečení Losů proti ztrátě a poškození od okamžiku jejich převzetí od ČP do okamžiku jejich prodeje nebo vrácení ČP. Nebezpečí škody na převzatých Losech nese Zástupce od převzetí od ČP do okamžiku jejich prodeje či vrácení ČP.</w:t>
      </w:r>
    </w:p>
    <w:p w:rsidR="008F40E2" w:rsidRPr="00864FDB" w:rsidRDefault="008F40E2" w:rsidP="00334D7C">
      <w:pPr>
        <w:pStyle w:val="Odstavecseseznamem"/>
        <w:numPr>
          <w:ilvl w:val="0"/>
          <w:numId w:val="13"/>
        </w:numPr>
        <w:spacing w:before="120" w:after="120" w:line="240" w:lineRule="auto"/>
        <w:jc w:val="both"/>
        <w:rPr>
          <w:sz w:val="24"/>
          <w:szCs w:val="24"/>
          <w:highlight w:val="black"/>
        </w:rPr>
      </w:pPr>
      <w:r w:rsidRPr="00864FDB">
        <w:rPr>
          <w:sz w:val="24"/>
          <w:szCs w:val="24"/>
          <w:highlight w:val="black"/>
        </w:rPr>
        <w:t xml:space="preserve">Zástupce je povinen v souladu </w:t>
      </w:r>
      <w:r w:rsidR="00D40C5E" w:rsidRPr="00864FDB">
        <w:rPr>
          <w:sz w:val="24"/>
          <w:szCs w:val="24"/>
          <w:highlight w:val="black"/>
        </w:rPr>
        <w:t>se zákonem č. 186/2016 Sb., o hazardních hrách</w:t>
      </w:r>
      <w:r w:rsidRPr="00864FDB">
        <w:rPr>
          <w:sz w:val="24"/>
          <w:szCs w:val="24"/>
          <w:highlight w:val="black"/>
        </w:rPr>
        <w:t xml:space="preserve"> umožnit zaměstnancům Ministerstva financí České republiky a ostatním </w:t>
      </w:r>
      <w:r w:rsidR="00FC6C1C" w:rsidRPr="00864FDB">
        <w:rPr>
          <w:sz w:val="24"/>
          <w:szCs w:val="24"/>
          <w:highlight w:val="black"/>
        </w:rPr>
        <w:t xml:space="preserve">dozorovým </w:t>
      </w:r>
      <w:r w:rsidRPr="00864FDB">
        <w:rPr>
          <w:sz w:val="24"/>
          <w:szCs w:val="24"/>
          <w:highlight w:val="black"/>
        </w:rPr>
        <w:t>orgánům realizaci tohoto dozoru, přičemž Zástupce je povinen ČP o každé takové kontrole bezodkladně informovat.</w:t>
      </w:r>
    </w:p>
    <w:p w:rsidR="008F40E2" w:rsidRPr="00864FDB" w:rsidRDefault="008F40E2" w:rsidP="008F40E2">
      <w:pPr>
        <w:pStyle w:val="Odstavecseseznamem"/>
        <w:spacing w:before="120" w:after="120" w:line="240" w:lineRule="auto"/>
        <w:jc w:val="both"/>
        <w:rPr>
          <w:sz w:val="24"/>
          <w:szCs w:val="24"/>
          <w:highlight w:val="black"/>
        </w:rPr>
      </w:pPr>
    </w:p>
    <w:p w:rsidR="008F40E2" w:rsidRPr="00864FDB" w:rsidRDefault="008F40E2" w:rsidP="00334D7C">
      <w:pPr>
        <w:pStyle w:val="Odstavecseseznamem"/>
        <w:numPr>
          <w:ilvl w:val="0"/>
          <w:numId w:val="9"/>
        </w:numPr>
        <w:spacing w:before="120" w:after="120" w:line="240" w:lineRule="auto"/>
        <w:contextualSpacing w:val="0"/>
        <w:jc w:val="center"/>
        <w:rPr>
          <w:b/>
          <w:sz w:val="24"/>
          <w:szCs w:val="24"/>
          <w:highlight w:val="black"/>
        </w:rPr>
      </w:pPr>
      <w:r w:rsidRPr="00864FDB">
        <w:rPr>
          <w:b/>
          <w:sz w:val="24"/>
          <w:szCs w:val="24"/>
          <w:highlight w:val="black"/>
        </w:rPr>
        <w:t>Propagace</w:t>
      </w:r>
    </w:p>
    <w:p w:rsidR="008F40E2" w:rsidRPr="00864FDB" w:rsidRDefault="008F40E2" w:rsidP="00334D7C">
      <w:pPr>
        <w:pStyle w:val="Odstavecseseznamem"/>
        <w:numPr>
          <w:ilvl w:val="0"/>
          <w:numId w:val="14"/>
        </w:numPr>
        <w:spacing w:before="120" w:after="120" w:line="240" w:lineRule="auto"/>
        <w:jc w:val="both"/>
        <w:rPr>
          <w:sz w:val="24"/>
          <w:szCs w:val="24"/>
          <w:highlight w:val="black"/>
        </w:rPr>
      </w:pPr>
      <w:r w:rsidRPr="00864FDB">
        <w:rPr>
          <w:sz w:val="24"/>
          <w:szCs w:val="24"/>
          <w:highlight w:val="black"/>
        </w:rPr>
        <w:t xml:space="preserve">Zástupce je povinen propagovat dle pokynů ČP jednotlivé Hry okamžitých loterií a poskytovat Sázejícím propagační materiály a tiskoviny dodané ČP způsobem a v rozsahu stanoveném pokyny ČP. </w:t>
      </w:r>
    </w:p>
    <w:p w:rsidR="008F40E2" w:rsidRPr="00864FDB" w:rsidRDefault="008F40E2" w:rsidP="00334D7C">
      <w:pPr>
        <w:pStyle w:val="Odstavecseseznamem"/>
        <w:numPr>
          <w:ilvl w:val="0"/>
          <w:numId w:val="14"/>
        </w:numPr>
        <w:spacing w:before="120" w:after="120" w:line="240" w:lineRule="auto"/>
        <w:jc w:val="both"/>
        <w:rPr>
          <w:sz w:val="24"/>
          <w:szCs w:val="24"/>
          <w:highlight w:val="black"/>
        </w:rPr>
      </w:pPr>
      <w:r w:rsidRPr="00864FDB">
        <w:rPr>
          <w:sz w:val="24"/>
          <w:szCs w:val="24"/>
          <w:highlight w:val="black"/>
        </w:rPr>
        <w:t>Zástupce se zavazuje zajišťovat včasné zveřejňování informací o podmínkách Prodeje Losů v Partnerovi, pokud mu tyto informace budou ČP poskytnuty.</w:t>
      </w:r>
    </w:p>
    <w:p w:rsidR="008F40E2" w:rsidRPr="00864FDB" w:rsidRDefault="008F40E2" w:rsidP="00334D7C">
      <w:pPr>
        <w:pStyle w:val="Odstavecseseznamem"/>
        <w:numPr>
          <w:ilvl w:val="0"/>
          <w:numId w:val="14"/>
        </w:numPr>
        <w:spacing w:before="120" w:after="120" w:line="240" w:lineRule="auto"/>
        <w:jc w:val="both"/>
        <w:rPr>
          <w:sz w:val="24"/>
          <w:szCs w:val="24"/>
          <w:highlight w:val="black"/>
        </w:rPr>
      </w:pPr>
      <w:r w:rsidRPr="00864FDB">
        <w:rPr>
          <w:sz w:val="24"/>
          <w:szCs w:val="24"/>
          <w:highlight w:val="black"/>
        </w:rPr>
        <w:t>Při práci s materiály určenými k propagaci a prezentaci Losů okamžitých loterií je Zástupce povinen dodržovat pokyny ČP.</w:t>
      </w:r>
    </w:p>
    <w:p w:rsidR="008F40E2" w:rsidRPr="00864FDB" w:rsidRDefault="008F40E2" w:rsidP="00334D7C">
      <w:pPr>
        <w:pStyle w:val="Odstavecseseznamem"/>
        <w:numPr>
          <w:ilvl w:val="0"/>
          <w:numId w:val="14"/>
        </w:numPr>
        <w:spacing w:before="120" w:after="120" w:line="240" w:lineRule="auto"/>
        <w:jc w:val="both"/>
        <w:rPr>
          <w:sz w:val="24"/>
          <w:szCs w:val="24"/>
          <w:highlight w:val="black"/>
        </w:rPr>
      </w:pPr>
      <w:r w:rsidRPr="00864FDB">
        <w:rPr>
          <w:sz w:val="24"/>
          <w:szCs w:val="24"/>
          <w:highlight w:val="black"/>
        </w:rPr>
        <w:t xml:space="preserve">V případě, že Zástupce obdrží od ČP aktualizované tiskové materiály nebo nové tiskové materiály k umístění do Jednotného informačního systému, je povinen zajistit výměnu či založení </w:t>
      </w:r>
      <w:r w:rsidRPr="00864FDB">
        <w:rPr>
          <w:sz w:val="24"/>
          <w:szCs w:val="24"/>
          <w:highlight w:val="black"/>
        </w:rPr>
        <w:lastRenderedPageBreak/>
        <w:t>materiálů. Zejména musí dbát na to, aby byly založeny aktuální herní plány a další materiály, které je povinen předložit k nahlédnutí na požádání všem zákazníkům. Odnosné tiskové materiály musí být umístěny podle provozních a prostorových podmínek Partnera tak, aby byly zákazníkům volně dostupné.</w:t>
      </w:r>
    </w:p>
    <w:p w:rsidR="008F40E2" w:rsidRPr="00864FDB" w:rsidRDefault="008F40E2" w:rsidP="00334D7C">
      <w:pPr>
        <w:pStyle w:val="Odstavecseseznamem"/>
        <w:numPr>
          <w:ilvl w:val="0"/>
          <w:numId w:val="14"/>
        </w:numPr>
        <w:spacing w:before="120" w:after="120" w:line="240" w:lineRule="auto"/>
        <w:jc w:val="both"/>
        <w:rPr>
          <w:sz w:val="24"/>
          <w:szCs w:val="24"/>
          <w:highlight w:val="black"/>
        </w:rPr>
      </w:pPr>
      <w:r w:rsidRPr="00864FDB">
        <w:rPr>
          <w:sz w:val="24"/>
          <w:szCs w:val="24"/>
          <w:highlight w:val="black"/>
        </w:rPr>
        <w:t>Zástupce je povinen zajistit, že v Partnerovi nebudou vystaveny dokumenty, letáky a jiné propagační předměty s nepřesnými, neaktuálními nebo nepravdivými údaji o činnosti nebo službách provozovatel</w:t>
      </w:r>
      <w:r w:rsidR="00FF496B" w:rsidRPr="00864FDB">
        <w:rPr>
          <w:sz w:val="24"/>
          <w:szCs w:val="24"/>
          <w:highlight w:val="black"/>
        </w:rPr>
        <w:t>e</w:t>
      </w:r>
      <w:r w:rsidRPr="00864FDB">
        <w:rPr>
          <w:sz w:val="24"/>
          <w:szCs w:val="24"/>
          <w:highlight w:val="black"/>
        </w:rPr>
        <w:t>, pokud tyto nepřesné nebo nepravdivé údaje Zástupci neposkytla sama ČP.</w:t>
      </w:r>
    </w:p>
    <w:p w:rsidR="008F40E2" w:rsidRPr="00864FDB" w:rsidRDefault="008F40E2" w:rsidP="00334D7C">
      <w:pPr>
        <w:pStyle w:val="Odstavecseseznamem"/>
        <w:numPr>
          <w:ilvl w:val="0"/>
          <w:numId w:val="14"/>
        </w:numPr>
        <w:spacing w:before="120" w:after="120" w:line="240" w:lineRule="auto"/>
        <w:jc w:val="both"/>
        <w:rPr>
          <w:sz w:val="24"/>
          <w:szCs w:val="24"/>
          <w:highlight w:val="black"/>
        </w:rPr>
      </w:pPr>
      <w:r w:rsidRPr="00864FDB">
        <w:rPr>
          <w:sz w:val="24"/>
          <w:szCs w:val="24"/>
          <w:highlight w:val="black"/>
        </w:rPr>
        <w:t xml:space="preserve">Propagace Losů okamžitých loterií se řídí těmito zásadami: </w:t>
      </w:r>
    </w:p>
    <w:p w:rsidR="008F40E2" w:rsidRPr="00864FDB" w:rsidRDefault="008F40E2" w:rsidP="008F40E2">
      <w:pPr>
        <w:tabs>
          <w:tab w:val="num" w:pos="1276"/>
        </w:tabs>
        <w:spacing w:before="120" w:after="120" w:line="240" w:lineRule="auto"/>
        <w:ind w:left="708"/>
        <w:jc w:val="both"/>
        <w:rPr>
          <w:sz w:val="24"/>
          <w:szCs w:val="24"/>
          <w:highlight w:val="black"/>
        </w:rPr>
      </w:pPr>
      <w:r w:rsidRPr="00864FDB">
        <w:rPr>
          <w:sz w:val="24"/>
          <w:szCs w:val="24"/>
          <w:highlight w:val="black"/>
        </w:rPr>
        <w:t xml:space="preserve">a) makety Losů dodané Zástupci ČP musí být viditelným způsobem umístěny v prodejních pomůckách určených výhradně pro prezentaci Losů daného provozovatele, </w:t>
      </w:r>
    </w:p>
    <w:p w:rsidR="008F40E2" w:rsidRPr="00864FDB" w:rsidRDefault="008F40E2" w:rsidP="008F40E2">
      <w:pPr>
        <w:tabs>
          <w:tab w:val="num" w:pos="1276"/>
        </w:tabs>
        <w:spacing w:before="120" w:after="120" w:line="240" w:lineRule="auto"/>
        <w:ind w:left="708"/>
        <w:jc w:val="both"/>
        <w:rPr>
          <w:sz w:val="24"/>
          <w:szCs w:val="24"/>
          <w:highlight w:val="black"/>
        </w:rPr>
      </w:pPr>
      <w:r w:rsidRPr="00864FDB">
        <w:rPr>
          <w:sz w:val="24"/>
          <w:szCs w:val="24"/>
          <w:highlight w:val="black"/>
        </w:rPr>
        <w:t xml:space="preserve">b) prodejní pomůcky s maketami Losů musí být umístěny na přepážce, tj. v místě, kde je realizován prodej Losů </w:t>
      </w:r>
    </w:p>
    <w:p w:rsidR="008F40E2" w:rsidRPr="00864FDB" w:rsidRDefault="008F40E2" w:rsidP="008F40E2">
      <w:pPr>
        <w:tabs>
          <w:tab w:val="num" w:pos="1276"/>
        </w:tabs>
        <w:spacing w:before="120" w:after="120" w:line="240" w:lineRule="auto"/>
        <w:ind w:left="708"/>
        <w:jc w:val="both"/>
        <w:rPr>
          <w:sz w:val="24"/>
          <w:szCs w:val="24"/>
          <w:highlight w:val="black"/>
        </w:rPr>
      </w:pPr>
      <w:r w:rsidRPr="00864FDB">
        <w:rPr>
          <w:sz w:val="24"/>
          <w:szCs w:val="24"/>
          <w:highlight w:val="black"/>
        </w:rPr>
        <w:t>c) v prodejních pomůckách musí být prezentovány vybrané makety Losů okamžitých loterií, které má mít Zástupce od daného provozovatele právě v prodeji.</w:t>
      </w:r>
    </w:p>
    <w:p w:rsidR="008F40E2" w:rsidRPr="00864FDB" w:rsidRDefault="008F40E2" w:rsidP="00334D7C">
      <w:pPr>
        <w:pStyle w:val="Odstavecseseznamem"/>
        <w:numPr>
          <w:ilvl w:val="0"/>
          <w:numId w:val="14"/>
        </w:numPr>
        <w:spacing w:before="120" w:after="120" w:line="240" w:lineRule="auto"/>
        <w:jc w:val="both"/>
        <w:rPr>
          <w:sz w:val="24"/>
          <w:szCs w:val="24"/>
          <w:highlight w:val="black"/>
        </w:rPr>
      </w:pPr>
      <w:r w:rsidRPr="00864FDB">
        <w:rPr>
          <w:sz w:val="24"/>
          <w:szCs w:val="24"/>
          <w:highlight w:val="black"/>
        </w:rPr>
        <w:t xml:space="preserve">Na přepážce Partnera musí být pro Sázející viditelně umístěn stojánek na Losy určený k prezentaci maket Losů společnosti Tipsport v délce 30 cm pro vertikální nebo horizontální prezentaci.  Zástupce je povinen zajistit, aby ve stojánku byla vždy aktuální nabídka maket Losů, jejichž prodej je v Partnerovi obstaráván. Na přepážce musí být viditelně umístěn vždy pouze jeden stojánek určený k prezentaci maket Losů </w:t>
      </w:r>
      <w:r w:rsidR="009415F6" w:rsidRPr="00864FDB">
        <w:rPr>
          <w:sz w:val="24"/>
          <w:szCs w:val="24"/>
          <w:highlight w:val="black"/>
        </w:rPr>
        <w:t xml:space="preserve">společnosti </w:t>
      </w:r>
      <w:r w:rsidRPr="00864FDB">
        <w:rPr>
          <w:sz w:val="24"/>
          <w:szCs w:val="24"/>
          <w:highlight w:val="black"/>
        </w:rPr>
        <w:t>Tipsport, a to v uvedené délce.</w:t>
      </w:r>
    </w:p>
    <w:p w:rsidR="008F40E2" w:rsidRPr="00864FDB" w:rsidRDefault="008F40E2" w:rsidP="00334D7C">
      <w:pPr>
        <w:pStyle w:val="Odstavecseseznamem"/>
        <w:numPr>
          <w:ilvl w:val="0"/>
          <w:numId w:val="14"/>
        </w:numPr>
        <w:spacing w:before="120" w:after="120" w:line="240" w:lineRule="auto"/>
        <w:jc w:val="both"/>
        <w:rPr>
          <w:sz w:val="24"/>
          <w:szCs w:val="24"/>
          <w:highlight w:val="black"/>
        </w:rPr>
      </w:pPr>
      <w:r w:rsidRPr="00864FDB">
        <w:rPr>
          <w:sz w:val="24"/>
          <w:szCs w:val="24"/>
          <w:highlight w:val="black"/>
        </w:rPr>
        <w:t>Při obstarávání prodeje Losů okamžitých loterií je Zástupce povinen dbát na dobré jméno je</w:t>
      </w:r>
      <w:r w:rsidR="00FF496B" w:rsidRPr="00864FDB">
        <w:rPr>
          <w:sz w:val="24"/>
          <w:szCs w:val="24"/>
          <w:highlight w:val="black"/>
        </w:rPr>
        <w:t>ho</w:t>
      </w:r>
      <w:r w:rsidRPr="00864FDB">
        <w:rPr>
          <w:sz w:val="24"/>
          <w:szCs w:val="24"/>
          <w:highlight w:val="black"/>
        </w:rPr>
        <w:t xml:space="preserve"> provozovatel</w:t>
      </w:r>
      <w:r w:rsidR="00FF496B" w:rsidRPr="00864FDB">
        <w:rPr>
          <w:sz w:val="24"/>
          <w:szCs w:val="24"/>
          <w:highlight w:val="black"/>
        </w:rPr>
        <w:t>e</w:t>
      </w:r>
      <w:r w:rsidRPr="00864FDB">
        <w:rPr>
          <w:sz w:val="24"/>
          <w:szCs w:val="24"/>
          <w:highlight w:val="black"/>
        </w:rPr>
        <w:t>.</w:t>
      </w:r>
    </w:p>
    <w:p w:rsidR="008F40E2" w:rsidRPr="00864FDB" w:rsidRDefault="008F40E2" w:rsidP="008F40E2">
      <w:pPr>
        <w:pStyle w:val="Odstavecseseznamem"/>
        <w:spacing w:before="120" w:after="120" w:line="240" w:lineRule="auto"/>
        <w:jc w:val="both"/>
        <w:rPr>
          <w:sz w:val="24"/>
          <w:szCs w:val="24"/>
          <w:highlight w:val="black"/>
        </w:rPr>
      </w:pPr>
    </w:p>
    <w:p w:rsidR="008F40E2" w:rsidRPr="00864FDB" w:rsidRDefault="008F40E2" w:rsidP="00334D7C">
      <w:pPr>
        <w:pStyle w:val="Odstavecseseznamem"/>
        <w:numPr>
          <w:ilvl w:val="0"/>
          <w:numId w:val="9"/>
        </w:numPr>
        <w:spacing w:before="120" w:after="120" w:line="240" w:lineRule="auto"/>
        <w:contextualSpacing w:val="0"/>
        <w:jc w:val="center"/>
        <w:rPr>
          <w:b/>
          <w:sz w:val="24"/>
          <w:szCs w:val="24"/>
          <w:highlight w:val="black"/>
        </w:rPr>
      </w:pPr>
      <w:r w:rsidRPr="00864FDB">
        <w:rPr>
          <w:b/>
          <w:sz w:val="24"/>
          <w:szCs w:val="24"/>
          <w:highlight w:val="black"/>
        </w:rPr>
        <w:t>Povinnost mlčenlivosti</w:t>
      </w:r>
    </w:p>
    <w:p w:rsidR="008F40E2" w:rsidRPr="00864FDB" w:rsidRDefault="008F40E2" w:rsidP="00334D7C">
      <w:pPr>
        <w:pStyle w:val="Odstavecseseznamem"/>
        <w:numPr>
          <w:ilvl w:val="0"/>
          <w:numId w:val="15"/>
        </w:numPr>
        <w:spacing w:before="120" w:after="120" w:line="240" w:lineRule="auto"/>
        <w:jc w:val="both"/>
        <w:rPr>
          <w:sz w:val="24"/>
          <w:szCs w:val="24"/>
          <w:highlight w:val="black"/>
        </w:rPr>
      </w:pPr>
      <w:r w:rsidRPr="00864FDB">
        <w:rPr>
          <w:sz w:val="24"/>
          <w:szCs w:val="24"/>
          <w:highlight w:val="black"/>
        </w:rPr>
        <w:t xml:space="preserve">Zástupce je povinen zajistit dodržování povinnosti mlčenlivosti o zákaznících a jejich účasti ve hře, včetně výhry či prohry </w:t>
      </w:r>
      <w:r w:rsidR="007D60C6" w:rsidRPr="00864FDB">
        <w:rPr>
          <w:sz w:val="24"/>
          <w:szCs w:val="24"/>
          <w:highlight w:val="black"/>
        </w:rPr>
        <w:t xml:space="preserve">dle § 11 zákona č. 186/2016 Sb., o hazardních hrách, </w:t>
      </w:r>
      <w:r w:rsidRPr="00864FDB">
        <w:rPr>
          <w:sz w:val="24"/>
          <w:szCs w:val="24"/>
          <w:highlight w:val="black"/>
        </w:rPr>
        <w:t>a to zejména u osob podílejících se na poskytování služeb Zástupce, kteří budou v Partnerovi Losy prodávat klientům</w:t>
      </w:r>
      <w:r w:rsidR="00D40C5E" w:rsidRPr="00864FDB">
        <w:rPr>
          <w:sz w:val="24"/>
          <w:szCs w:val="24"/>
          <w:highlight w:val="black"/>
        </w:rPr>
        <w:t>.</w:t>
      </w:r>
    </w:p>
    <w:p w:rsidR="008F40E2" w:rsidRPr="00864FDB" w:rsidRDefault="008F40E2" w:rsidP="00334D7C">
      <w:pPr>
        <w:pStyle w:val="Odstavecseseznamem"/>
        <w:numPr>
          <w:ilvl w:val="0"/>
          <w:numId w:val="15"/>
        </w:numPr>
        <w:spacing w:before="120" w:after="120" w:line="240" w:lineRule="auto"/>
        <w:jc w:val="both"/>
        <w:rPr>
          <w:sz w:val="24"/>
          <w:szCs w:val="24"/>
          <w:highlight w:val="black"/>
        </w:rPr>
      </w:pPr>
      <w:r w:rsidRPr="00864FDB">
        <w:rPr>
          <w:sz w:val="24"/>
          <w:szCs w:val="24"/>
          <w:highlight w:val="black"/>
        </w:rPr>
        <w:t>Zástupce je zejména povinen zachovávat mlčenlivost o veškerých údajích, týkajících se sázkové činnosti a prodeje Losů okamžitých loterií. Zástupce zároveň odpovídá za zachování mlčenlivosti ze strany osob podílejících se na poskytování služeb Zástupce. Povinnost mlčenlivosti se týká zejména vsazených částek, sázejících, výherců, telefonních čísel zákazníků, a výši výher konkrétních výherců. V případě porušení povinnosti mlčenlivosti ze strany Zástupce nebo jakékoliv osoby podílející se na poskytování služeb z jeho strany, Zástupce odpovídá za škodu, která provozovatel</w:t>
      </w:r>
      <w:r w:rsidR="00FF496B" w:rsidRPr="00864FDB">
        <w:rPr>
          <w:sz w:val="24"/>
          <w:szCs w:val="24"/>
          <w:highlight w:val="black"/>
        </w:rPr>
        <w:t>i</w:t>
      </w:r>
      <w:r w:rsidRPr="00864FDB">
        <w:rPr>
          <w:sz w:val="24"/>
          <w:szCs w:val="24"/>
          <w:highlight w:val="black"/>
        </w:rPr>
        <w:t>, ČP nebo sázejícímu v souvislosti s porušením mlčenlivosti vznikla.</w:t>
      </w:r>
    </w:p>
    <w:p w:rsidR="008F40E2" w:rsidRPr="00864FDB" w:rsidRDefault="008F40E2" w:rsidP="00334D7C">
      <w:pPr>
        <w:pStyle w:val="Odstavecseseznamem"/>
        <w:numPr>
          <w:ilvl w:val="0"/>
          <w:numId w:val="15"/>
        </w:numPr>
        <w:spacing w:before="120" w:after="120" w:line="240" w:lineRule="auto"/>
        <w:jc w:val="both"/>
        <w:rPr>
          <w:sz w:val="24"/>
          <w:szCs w:val="24"/>
          <w:highlight w:val="black"/>
        </w:rPr>
      </w:pPr>
      <w:r w:rsidRPr="00864FDB">
        <w:rPr>
          <w:sz w:val="24"/>
          <w:szCs w:val="24"/>
          <w:highlight w:val="black"/>
        </w:rPr>
        <w:t>V případech, kdy Zástupce ověřuje výhru na Los, na který byla dosažena výhra, je povinen zachovávat v maximální možné míře soukromí a anonymitu výherce.</w:t>
      </w:r>
    </w:p>
    <w:p w:rsidR="008F40E2" w:rsidRPr="00864FDB" w:rsidRDefault="008F40E2" w:rsidP="00334D7C">
      <w:pPr>
        <w:pStyle w:val="Odstavecseseznamem"/>
        <w:numPr>
          <w:ilvl w:val="0"/>
          <w:numId w:val="15"/>
        </w:numPr>
        <w:spacing w:before="120" w:after="120" w:line="240" w:lineRule="auto"/>
        <w:jc w:val="both"/>
        <w:rPr>
          <w:sz w:val="24"/>
          <w:szCs w:val="24"/>
          <w:highlight w:val="black"/>
        </w:rPr>
      </w:pPr>
      <w:r w:rsidRPr="00864FDB">
        <w:rPr>
          <w:sz w:val="24"/>
          <w:szCs w:val="24"/>
          <w:highlight w:val="black"/>
        </w:rPr>
        <w:t xml:space="preserve">Zástupce nesmí předat sázejícím ani jiným osobám informace nebo dokumenty týkající se obsahu této Přílohy, </w:t>
      </w:r>
    </w:p>
    <w:p w:rsidR="008F40E2" w:rsidRPr="00864FDB" w:rsidRDefault="008F40E2" w:rsidP="00334D7C">
      <w:pPr>
        <w:pStyle w:val="Odstavecseseznamem"/>
        <w:numPr>
          <w:ilvl w:val="0"/>
          <w:numId w:val="15"/>
        </w:numPr>
        <w:spacing w:before="120" w:after="120" w:line="240" w:lineRule="auto"/>
        <w:jc w:val="both"/>
        <w:rPr>
          <w:sz w:val="24"/>
          <w:szCs w:val="24"/>
          <w:highlight w:val="black"/>
        </w:rPr>
      </w:pPr>
      <w:r w:rsidRPr="00864FDB">
        <w:rPr>
          <w:sz w:val="24"/>
          <w:szCs w:val="24"/>
          <w:highlight w:val="black"/>
        </w:rPr>
        <w:t>Zástupce není oprávněn zveřejnit ani jiným způsobem využít informaci o vysoké výhře, která byla dosažena na Los prodaný na Partnerovi bez předchozího souhlasu ČP.</w:t>
      </w:r>
    </w:p>
    <w:p w:rsidR="00FF496B" w:rsidRPr="00864FDB" w:rsidRDefault="00FF496B">
      <w:pPr>
        <w:spacing w:line="240" w:lineRule="auto"/>
        <w:rPr>
          <w:b/>
          <w:sz w:val="24"/>
          <w:szCs w:val="24"/>
          <w:highlight w:val="black"/>
        </w:rPr>
      </w:pPr>
      <w:r w:rsidRPr="00864FDB">
        <w:rPr>
          <w:b/>
          <w:sz w:val="24"/>
          <w:szCs w:val="24"/>
          <w:highlight w:val="black"/>
        </w:rPr>
        <w:br w:type="page"/>
      </w:r>
    </w:p>
    <w:p w:rsidR="008F40E2" w:rsidRPr="00864FDB" w:rsidRDefault="008F40E2" w:rsidP="00334D7C">
      <w:pPr>
        <w:pStyle w:val="Odstavecseseznamem"/>
        <w:numPr>
          <w:ilvl w:val="0"/>
          <w:numId w:val="9"/>
        </w:numPr>
        <w:spacing w:before="120" w:after="120" w:line="240" w:lineRule="auto"/>
        <w:contextualSpacing w:val="0"/>
        <w:jc w:val="center"/>
        <w:rPr>
          <w:b/>
          <w:sz w:val="24"/>
          <w:szCs w:val="24"/>
          <w:highlight w:val="black"/>
        </w:rPr>
      </w:pPr>
      <w:r w:rsidRPr="00864FDB">
        <w:rPr>
          <w:b/>
          <w:sz w:val="24"/>
          <w:szCs w:val="24"/>
          <w:highlight w:val="black"/>
        </w:rPr>
        <w:lastRenderedPageBreak/>
        <w:t>Provize</w:t>
      </w:r>
    </w:p>
    <w:p w:rsidR="008F40E2" w:rsidRPr="00864FDB" w:rsidRDefault="008F40E2" w:rsidP="00334D7C">
      <w:pPr>
        <w:pStyle w:val="Odstavecseseznamem"/>
        <w:numPr>
          <w:ilvl w:val="0"/>
          <w:numId w:val="17"/>
        </w:numPr>
        <w:spacing w:before="120" w:after="120" w:line="240" w:lineRule="auto"/>
        <w:jc w:val="both"/>
        <w:rPr>
          <w:sz w:val="24"/>
          <w:szCs w:val="24"/>
          <w:highlight w:val="black"/>
        </w:rPr>
      </w:pPr>
      <w:r w:rsidRPr="00864FDB">
        <w:rPr>
          <w:sz w:val="24"/>
          <w:szCs w:val="24"/>
          <w:highlight w:val="black"/>
        </w:rPr>
        <w:t xml:space="preserve">Za prodej Losů okamžitých loterií Zástupci náleží provize sjednaná v příloze č. 2 Smlouvy. </w:t>
      </w:r>
    </w:p>
    <w:p w:rsidR="008F40E2" w:rsidRPr="00864FDB" w:rsidRDefault="008F40E2" w:rsidP="00A01858">
      <w:pPr>
        <w:pStyle w:val="Odstavecseseznamem"/>
        <w:spacing w:before="120" w:after="120" w:line="240" w:lineRule="auto"/>
        <w:contextualSpacing w:val="0"/>
        <w:rPr>
          <w:b/>
          <w:sz w:val="24"/>
          <w:szCs w:val="24"/>
          <w:highlight w:val="black"/>
        </w:rPr>
      </w:pPr>
    </w:p>
    <w:p w:rsidR="008F40E2" w:rsidRPr="00864FDB" w:rsidRDefault="008F40E2" w:rsidP="00334D7C">
      <w:pPr>
        <w:pStyle w:val="Odstavecseseznamem"/>
        <w:numPr>
          <w:ilvl w:val="0"/>
          <w:numId w:val="9"/>
        </w:numPr>
        <w:spacing w:before="120" w:after="120" w:line="240" w:lineRule="auto"/>
        <w:contextualSpacing w:val="0"/>
        <w:jc w:val="center"/>
        <w:rPr>
          <w:b/>
          <w:sz w:val="24"/>
          <w:szCs w:val="24"/>
          <w:highlight w:val="black"/>
        </w:rPr>
      </w:pPr>
      <w:r w:rsidRPr="00864FDB">
        <w:rPr>
          <w:b/>
          <w:sz w:val="24"/>
          <w:szCs w:val="24"/>
          <w:highlight w:val="black"/>
        </w:rPr>
        <w:t xml:space="preserve">Změny přílohy č. </w:t>
      </w:r>
      <w:r w:rsidR="00A01858" w:rsidRPr="00864FDB">
        <w:rPr>
          <w:b/>
          <w:sz w:val="24"/>
          <w:szCs w:val="24"/>
          <w:highlight w:val="black"/>
        </w:rPr>
        <w:t>14</w:t>
      </w:r>
    </w:p>
    <w:p w:rsidR="008F40E2" w:rsidRPr="00864FDB" w:rsidRDefault="008F40E2" w:rsidP="00334D7C">
      <w:pPr>
        <w:numPr>
          <w:ilvl w:val="0"/>
          <w:numId w:val="10"/>
        </w:numPr>
        <w:spacing w:before="120" w:after="120" w:line="240" w:lineRule="auto"/>
        <w:jc w:val="both"/>
        <w:rPr>
          <w:sz w:val="24"/>
          <w:szCs w:val="24"/>
          <w:highlight w:val="black"/>
        </w:rPr>
      </w:pPr>
      <w:r w:rsidRPr="00864FDB">
        <w:rPr>
          <w:sz w:val="24"/>
          <w:szCs w:val="24"/>
          <w:highlight w:val="black"/>
        </w:rPr>
        <w:t xml:space="preserve">ČP je oprávněna kdykoliv rozhodnout o ukončení poskytování služeb podle této Přílohy. </w:t>
      </w:r>
    </w:p>
    <w:p w:rsidR="008F40E2" w:rsidRPr="00864FDB" w:rsidRDefault="008F40E2" w:rsidP="00334D7C">
      <w:pPr>
        <w:numPr>
          <w:ilvl w:val="0"/>
          <w:numId w:val="10"/>
        </w:numPr>
        <w:spacing w:before="120" w:after="120" w:line="240" w:lineRule="auto"/>
        <w:jc w:val="both"/>
        <w:rPr>
          <w:sz w:val="24"/>
          <w:szCs w:val="24"/>
          <w:highlight w:val="black"/>
        </w:rPr>
      </w:pPr>
      <w:r w:rsidRPr="00864FDB">
        <w:rPr>
          <w:sz w:val="24"/>
          <w:szCs w:val="24"/>
          <w:highlight w:val="black"/>
        </w:rPr>
        <w:t xml:space="preserve">Změna této přílohy je možná pouze na základě písemného dodatku podepsaného oběma smluvními stranami. </w:t>
      </w:r>
    </w:p>
    <w:p w:rsidR="005F4376" w:rsidRPr="00864FDB" w:rsidRDefault="005F4376" w:rsidP="005F4376">
      <w:pPr>
        <w:spacing w:before="120" w:after="120" w:line="240" w:lineRule="auto"/>
        <w:ind w:left="720"/>
        <w:jc w:val="both"/>
        <w:rPr>
          <w:sz w:val="24"/>
          <w:szCs w:val="24"/>
        </w:rPr>
      </w:pPr>
    </w:p>
    <w:p w:rsidR="005F4376" w:rsidRPr="008610AA" w:rsidRDefault="005F4376" w:rsidP="00FD7930">
      <w:pPr>
        <w:pStyle w:val="cpodstavecslovan1"/>
        <w:ind w:left="720"/>
        <w:rPr>
          <w:b/>
        </w:rPr>
      </w:pPr>
      <w:r w:rsidRPr="008610AA">
        <w:rPr>
          <w:b/>
        </w:rPr>
        <w:tab/>
      </w:r>
    </w:p>
    <w:p w:rsidR="008F40E2" w:rsidRPr="009415F6" w:rsidRDefault="008F40E2" w:rsidP="008F40E2">
      <w:pPr>
        <w:tabs>
          <w:tab w:val="num" w:pos="1276"/>
        </w:tabs>
        <w:spacing w:before="120" w:after="120" w:line="240" w:lineRule="auto"/>
        <w:jc w:val="both"/>
        <w:rPr>
          <w:sz w:val="24"/>
          <w:szCs w:val="24"/>
        </w:rPr>
      </w:pPr>
    </w:p>
    <w:p w:rsidR="008F40E2" w:rsidRPr="009415F6" w:rsidRDefault="008F40E2" w:rsidP="008F40E2">
      <w:pPr>
        <w:spacing w:before="120" w:after="120" w:line="240" w:lineRule="auto"/>
        <w:jc w:val="both"/>
        <w:rPr>
          <w:b/>
          <w:sz w:val="32"/>
          <w:szCs w:val="32"/>
        </w:rPr>
      </w:pPr>
    </w:p>
    <w:p w:rsidR="008F40E2" w:rsidRPr="009415F6" w:rsidRDefault="008F40E2" w:rsidP="008F40E2">
      <w:pPr>
        <w:spacing w:before="120" w:after="120" w:line="240" w:lineRule="auto"/>
        <w:jc w:val="both"/>
        <w:rPr>
          <w:b/>
          <w:sz w:val="32"/>
          <w:szCs w:val="32"/>
        </w:rPr>
      </w:pPr>
    </w:p>
    <w:p w:rsidR="008F40E2" w:rsidRPr="009415F6" w:rsidRDefault="008F40E2" w:rsidP="008F40E2">
      <w:pPr>
        <w:spacing w:before="120" w:after="120" w:line="240" w:lineRule="auto"/>
        <w:jc w:val="both"/>
        <w:rPr>
          <w:b/>
          <w:sz w:val="32"/>
          <w:szCs w:val="32"/>
        </w:rPr>
      </w:pPr>
    </w:p>
    <w:p w:rsidR="008F40E2" w:rsidRPr="009415F6" w:rsidRDefault="008F40E2" w:rsidP="008F40E2">
      <w:pPr>
        <w:spacing w:before="120" w:after="120" w:line="240" w:lineRule="auto"/>
        <w:jc w:val="both"/>
        <w:rPr>
          <w:b/>
          <w:sz w:val="32"/>
          <w:szCs w:val="32"/>
        </w:rPr>
      </w:pPr>
    </w:p>
    <w:p w:rsidR="008F40E2" w:rsidRPr="009415F6" w:rsidRDefault="008F40E2" w:rsidP="008F40E2">
      <w:pPr>
        <w:tabs>
          <w:tab w:val="num" w:pos="1276"/>
        </w:tabs>
        <w:spacing w:before="120" w:after="120" w:line="240" w:lineRule="auto"/>
        <w:jc w:val="both"/>
        <w:rPr>
          <w:sz w:val="24"/>
          <w:szCs w:val="24"/>
        </w:rPr>
      </w:pPr>
    </w:p>
    <w:p w:rsidR="008F40E2" w:rsidRPr="009415F6" w:rsidRDefault="008F40E2" w:rsidP="008F40E2">
      <w:pPr>
        <w:ind w:left="360" w:right="-2"/>
        <w:jc w:val="both"/>
      </w:pPr>
    </w:p>
    <w:p w:rsidR="008F40E2" w:rsidRPr="009415F6" w:rsidRDefault="008F40E2" w:rsidP="008F40E2">
      <w:pPr>
        <w:rPr>
          <w:b/>
          <w:sz w:val="24"/>
          <w:szCs w:val="24"/>
        </w:rPr>
      </w:pPr>
    </w:p>
    <w:p w:rsidR="00F569DB" w:rsidRPr="009415F6" w:rsidRDefault="00F569DB" w:rsidP="008F40E2"/>
    <w:sectPr w:rsidR="00F569DB" w:rsidRPr="009415F6" w:rsidSect="00945A37">
      <w:headerReference w:type="default" r:id="rId8"/>
      <w:footerReference w:type="default" r:id="rId9"/>
      <w:pgSz w:w="11906" w:h="16838" w:code="9"/>
      <w:pgMar w:top="2155" w:right="851" w:bottom="1531"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3D3D" w:rsidRDefault="00333D3D" w:rsidP="00E26E3A">
      <w:pPr>
        <w:spacing w:line="240" w:lineRule="auto"/>
      </w:pPr>
      <w:r>
        <w:separator/>
      </w:r>
    </w:p>
  </w:endnote>
  <w:endnote w:type="continuationSeparator" w:id="0">
    <w:p w:rsidR="00333D3D" w:rsidRDefault="00333D3D" w:rsidP="00E26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1A25" w:rsidRDefault="00CF1CB2" w:rsidP="004A6877">
    <w:pPr>
      <w:pStyle w:val="Zpat"/>
      <w:pBdr>
        <w:top w:val="single" w:sz="8" w:space="4" w:color="auto"/>
        <w:bottom w:val="single" w:sz="2" w:space="4" w:color="auto"/>
      </w:pBdr>
    </w:pPr>
    <w:r w:rsidRPr="00CF1CB2">
      <w:t>Česká pošta, s.p., se sídlem Politických vězňů 909/4, 225 99 Praha 1, IČ: 471 14 983</w:t>
    </w:r>
    <w:r w:rsidR="00A43E53">
      <w:tab/>
    </w:r>
    <w:r w:rsidR="004A6877">
      <w:t xml:space="preserve">Strana </w:t>
    </w:r>
    <w:r w:rsidR="00113C9F">
      <w:fldChar w:fldCharType="begin"/>
    </w:r>
    <w:r w:rsidR="0040570E">
      <w:instrText xml:space="preserve"> PAGE  \* Arabic  \* MERGEFORMAT </w:instrText>
    </w:r>
    <w:r w:rsidR="00113C9F">
      <w:fldChar w:fldCharType="separate"/>
    </w:r>
    <w:r w:rsidR="00864FDB">
      <w:rPr>
        <w:noProof/>
      </w:rPr>
      <w:t>4</w:t>
    </w:r>
    <w:r w:rsidR="00113C9F">
      <w:rPr>
        <w:noProof/>
      </w:rPr>
      <w:fldChar w:fldCharType="end"/>
    </w:r>
    <w:r w:rsidR="004A6877">
      <w:t>/</w:t>
    </w:r>
    <w:r w:rsidR="00113C9F">
      <w:fldChar w:fldCharType="begin"/>
    </w:r>
    <w:r w:rsidR="00CE4DF9">
      <w:instrText xml:space="preserve"> NUMPAGES  \* Arabic  \* MERGEFORMAT </w:instrText>
    </w:r>
    <w:r w:rsidR="00113C9F">
      <w:fldChar w:fldCharType="separate"/>
    </w:r>
    <w:r w:rsidR="00864FDB">
      <w:rPr>
        <w:noProof/>
      </w:rPr>
      <w:t>4</w:t>
    </w:r>
    <w:r w:rsidR="00113C9F">
      <w:rPr>
        <w:noProof/>
      </w:rPr>
      <w:fldChar w:fldCharType="end"/>
    </w:r>
  </w:p>
  <w:p w:rsidR="004A6877" w:rsidRPr="00D61A25" w:rsidRDefault="00831788" w:rsidP="004A6877">
    <w:pPr>
      <w:pStyle w:val="Zpat"/>
      <w:spacing w:before="80"/>
    </w:pPr>
    <w:r w:rsidRPr="00F82EBF">
      <w:rPr>
        <w:sz w:val="12"/>
        <w:szCs w:val="12"/>
      </w:rPr>
      <w:t>Zapsaný v Obchodním rejstříku u Městského soudu v Praze, spisová značka A7565</w:t>
    </w:r>
    <w:r w:rsidR="00F82EBF">
      <w:tab/>
    </w:r>
    <w:r>
      <w:tab/>
    </w:r>
    <w:r w:rsidRPr="00F82EBF">
      <w:rPr>
        <w:sz w:val="12"/>
        <w:szCs w:val="12"/>
      </w:rPr>
      <w:t>www.ceskaposta.cz</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3D3D" w:rsidRDefault="00333D3D" w:rsidP="00E26E3A">
      <w:pPr>
        <w:spacing w:line="240" w:lineRule="auto"/>
      </w:pPr>
      <w:r>
        <w:separator/>
      </w:r>
    </w:p>
  </w:footnote>
  <w:footnote w:type="continuationSeparator" w:id="0">
    <w:p w:rsidR="00333D3D" w:rsidRDefault="00333D3D" w:rsidP="00E26E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D4F" w:rsidRPr="002D61D4" w:rsidRDefault="006C4689" w:rsidP="007E7F50">
    <w:pPr>
      <w:pStyle w:val="Zhlav"/>
      <w:tabs>
        <w:tab w:val="clear" w:pos="4513"/>
        <w:tab w:val="clear" w:pos="9026"/>
        <w:tab w:val="center" w:pos="1707"/>
        <w:tab w:val="left" w:pos="3525"/>
      </w:tabs>
      <w:spacing w:before="120" w:after="60"/>
      <w:ind w:left="1701"/>
      <w:rPr>
        <w:color w:val="002776"/>
        <w:lang w:val="cs-CZ"/>
      </w:rPr>
    </w:pPr>
    <w:r>
      <w:rPr>
        <w:noProof/>
        <w:lang w:val="cs-CZ" w:eastAsia="cs-CZ"/>
      </w:rPr>
      <w:drawing>
        <wp:anchor distT="0" distB="0" distL="114300" distR="114300" simplePos="0" relativeHeight="251656704" behindDoc="1" locked="0" layoutInCell="1" allowOverlap="1" wp14:anchorId="2E6A601F" wp14:editId="41F65A3B">
          <wp:simplePos x="0" y="0"/>
          <wp:positionH relativeFrom="page">
            <wp:posOffset>1536065</wp:posOffset>
          </wp:positionH>
          <wp:positionV relativeFrom="page">
            <wp:posOffset>433705</wp:posOffset>
          </wp:positionV>
          <wp:extent cx="71755" cy="467995"/>
          <wp:effectExtent l="0" t="0" r="4445" b="8255"/>
          <wp:wrapNone/>
          <wp:docPr id="3" name="Picture 5" descr="Cara svis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ra svisla"/>
                  <pic:cNvPicPr>
                    <a:picLocks noChangeAspect="1" noChangeArrowheads="1"/>
                  </pic:cNvPicPr>
                </pic:nvPicPr>
                <pic:blipFill>
                  <a:blip r:embed="rId1">
                    <a:extLst>
                      <a:ext uri="{28A0092B-C50C-407E-A947-70E740481C1C}">
                        <a14:useLocalDpi xmlns:a14="http://schemas.microsoft.com/office/drawing/2010/main" val="0"/>
                      </a:ext>
                    </a:extLst>
                  </a:blip>
                  <a:srcRect l="-275000" r="-275000"/>
                  <a:stretch>
                    <a:fillRect/>
                  </a:stretch>
                </pic:blipFill>
                <pic:spPr bwMode="auto">
                  <a:xfrm>
                    <a:off x="0" y="0"/>
                    <a:ext cx="71755" cy="4679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cs-CZ" w:eastAsia="cs-CZ"/>
      </w:rPr>
      <w:drawing>
        <wp:anchor distT="0" distB="0" distL="114300" distR="114300" simplePos="0" relativeHeight="251657728" behindDoc="1" locked="0" layoutInCell="1" allowOverlap="1" wp14:anchorId="22F06287" wp14:editId="7B008764">
          <wp:simplePos x="0" y="0"/>
          <wp:positionH relativeFrom="column">
            <wp:posOffset>0</wp:posOffset>
          </wp:positionH>
          <wp:positionV relativeFrom="page">
            <wp:posOffset>1080135</wp:posOffset>
          </wp:positionV>
          <wp:extent cx="6294120" cy="149225"/>
          <wp:effectExtent l="0" t="0" r="0" b="3175"/>
          <wp:wrapNone/>
          <wp:docPr id="2" name="Picture 8" descr="Ca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a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94120" cy="149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cs-CZ" w:eastAsia="cs-CZ"/>
      </w:rPr>
      <w:drawing>
        <wp:anchor distT="0" distB="0" distL="114300" distR="114300" simplePos="0" relativeHeight="251658752" behindDoc="1" locked="0" layoutInCell="1" allowOverlap="1" wp14:anchorId="5E5709ED" wp14:editId="4C24BA04">
          <wp:simplePos x="0" y="0"/>
          <wp:positionH relativeFrom="page">
            <wp:posOffset>721360</wp:posOffset>
          </wp:positionH>
          <wp:positionV relativeFrom="page">
            <wp:posOffset>431800</wp:posOffset>
          </wp:positionV>
          <wp:extent cx="612140" cy="470535"/>
          <wp:effectExtent l="0" t="0" r="0" b="5715"/>
          <wp:wrapNone/>
          <wp:docPr id="1" name="Picture 1" descr="LogoC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P2.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2140" cy="470535"/>
                  </a:xfrm>
                  <a:prstGeom prst="rect">
                    <a:avLst/>
                  </a:prstGeom>
                  <a:noFill/>
                  <a:ln>
                    <a:noFill/>
                  </a:ln>
                </pic:spPr>
              </pic:pic>
            </a:graphicData>
          </a:graphic>
          <wp14:sizeRelH relativeFrom="page">
            <wp14:pctWidth>0</wp14:pctWidth>
          </wp14:sizeRelH>
          <wp14:sizeRelV relativeFrom="page">
            <wp14:pctHeight>0</wp14:pctHeight>
          </wp14:sizeRelV>
        </wp:anchor>
      </w:drawing>
    </w:r>
    <w:r w:rsidR="001D08B4">
      <w:rPr>
        <w:noProof/>
        <w:lang w:eastAsia="cs-CZ"/>
      </w:rPr>
      <w:tab/>
    </w:r>
    <w:r w:rsidR="002D61D4">
      <w:rPr>
        <w:color w:val="002776"/>
      </w:rPr>
      <w:t xml:space="preserve">Příloha č. </w:t>
    </w:r>
    <w:r w:rsidR="007E7F50">
      <w:rPr>
        <w:color w:val="002776"/>
        <w:lang w:val="cs-CZ"/>
      </w:rPr>
      <w:t>14</w:t>
    </w:r>
    <w:r w:rsidR="007E7F50">
      <w:rPr>
        <w:color w:val="002776"/>
        <w:lang w:val="cs-CZ"/>
      </w:rPr>
      <w:tab/>
    </w:r>
  </w:p>
  <w:p w:rsidR="001F741B" w:rsidRPr="00BF67D4" w:rsidRDefault="00867000" w:rsidP="00D61A25">
    <w:pPr>
      <w:pStyle w:val="Zhlav"/>
      <w:tabs>
        <w:tab w:val="left" w:pos="1701"/>
      </w:tabs>
      <w:ind w:left="1701"/>
      <w:rPr>
        <w:b/>
        <w:color w:val="002776"/>
        <w:lang w:val="cs-CZ"/>
      </w:rPr>
    </w:pPr>
    <w:r>
      <w:rPr>
        <w:b/>
        <w:color w:val="002776"/>
        <w:lang w:val="cs-CZ"/>
      </w:rPr>
      <w:t>Pravid</w:t>
    </w:r>
    <w:r w:rsidR="008F40E2">
      <w:rPr>
        <w:b/>
        <w:color w:val="002776"/>
        <w:lang w:val="cs-CZ"/>
      </w:rPr>
      <w:t>la prodeje Losů okamžitých loterií</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B0C0CE2"/>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3AE4814"/>
    <w:multiLevelType w:val="hybridMultilevel"/>
    <w:tmpl w:val="9CDC4F3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E242710"/>
    <w:multiLevelType w:val="singleLevel"/>
    <w:tmpl w:val="B0D80086"/>
    <w:lvl w:ilvl="0">
      <w:start w:val="1"/>
      <w:numFmt w:val="decimal"/>
      <w:pStyle w:val="Seznam"/>
      <w:lvlText w:val="%1."/>
      <w:lvlJc w:val="left"/>
      <w:pPr>
        <w:tabs>
          <w:tab w:val="num" w:pos="360"/>
        </w:tabs>
        <w:ind w:left="227" w:hanging="227"/>
      </w:pPr>
    </w:lvl>
  </w:abstractNum>
  <w:abstractNum w:abstractNumId="3" w15:restartNumberingAfterBreak="0">
    <w:nsid w:val="141D581C"/>
    <w:multiLevelType w:val="multilevel"/>
    <w:tmpl w:val="ED567A68"/>
    <w:styleLink w:val="cpNumbering"/>
    <w:lvl w:ilvl="0">
      <w:start w:val="1"/>
      <w:numFmt w:val="decimal"/>
      <w:pStyle w:val="cpListNumber"/>
      <w:lvlText w:val="%1."/>
      <w:lvlJc w:val="left"/>
      <w:pPr>
        <w:tabs>
          <w:tab w:val="num" w:pos="454"/>
        </w:tabs>
        <w:ind w:left="454" w:hanging="454"/>
      </w:pPr>
      <w:rPr>
        <w:rFonts w:hint="default"/>
        <w:color w:val="ECB31B"/>
      </w:rPr>
    </w:lvl>
    <w:lvl w:ilvl="1">
      <w:start w:val="1"/>
      <w:numFmt w:val="decimal"/>
      <w:pStyle w:val="cpListNumber2"/>
      <w:lvlText w:val="%1.%2."/>
      <w:lvlJc w:val="left"/>
      <w:pPr>
        <w:tabs>
          <w:tab w:val="num" w:pos="1134"/>
        </w:tabs>
        <w:ind w:left="1134" w:hanging="680"/>
      </w:pPr>
      <w:rPr>
        <w:rFonts w:hint="default"/>
        <w:color w:val="ECB31B"/>
      </w:rPr>
    </w:lvl>
    <w:lvl w:ilvl="2">
      <w:start w:val="1"/>
      <w:numFmt w:val="decimal"/>
      <w:pStyle w:val="cpListNumber3"/>
      <w:lvlText w:val="%1.%2.%3."/>
      <w:lvlJc w:val="left"/>
      <w:pPr>
        <w:tabs>
          <w:tab w:val="num" w:pos="2041"/>
        </w:tabs>
        <w:ind w:left="2041" w:hanging="907"/>
      </w:pPr>
      <w:rPr>
        <w:rFonts w:hint="default"/>
        <w:color w:val="ECB31B"/>
      </w:rPr>
    </w:lvl>
    <w:lvl w:ilvl="3">
      <w:start w:val="1"/>
      <w:numFmt w:val="decimal"/>
      <w:pStyle w:val="cpListNumber4"/>
      <w:lvlText w:val="%1.%2.%3.%4."/>
      <w:lvlJc w:val="left"/>
      <w:pPr>
        <w:tabs>
          <w:tab w:val="num" w:pos="3175"/>
        </w:tabs>
        <w:ind w:left="3175" w:hanging="1134"/>
      </w:pPr>
      <w:rPr>
        <w:rFonts w:hint="default"/>
        <w:color w:val="ECB31B"/>
      </w:rPr>
    </w:lvl>
    <w:lvl w:ilvl="4">
      <w:start w:val="1"/>
      <w:numFmt w:val="decimal"/>
      <w:pStyle w:val="cpListNumber5"/>
      <w:lvlText w:val="%1.%2.%3.%4.%5."/>
      <w:lvlJc w:val="left"/>
      <w:pPr>
        <w:tabs>
          <w:tab w:val="num" w:pos="4536"/>
        </w:tabs>
        <w:ind w:left="4536" w:hanging="1361"/>
      </w:pPr>
      <w:rPr>
        <w:rFonts w:hint="default"/>
        <w:color w:val="ECB31B"/>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63B1BC9"/>
    <w:multiLevelType w:val="hybridMultilevel"/>
    <w:tmpl w:val="9CDC4F3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47480A"/>
    <w:multiLevelType w:val="multilevel"/>
    <w:tmpl w:val="1B46A2CC"/>
    <w:styleLink w:val="NumHeading"/>
    <w:lvl w:ilvl="0">
      <w:start w:val="1"/>
      <w:numFmt w:val="decimal"/>
      <w:pStyle w:val="Nadpis1"/>
      <w:lvlText w:val="%1."/>
      <w:lvlJc w:val="left"/>
      <w:pPr>
        <w:tabs>
          <w:tab w:val="num" w:pos="397"/>
        </w:tabs>
        <w:ind w:left="397" w:hanging="397"/>
      </w:pPr>
      <w:rPr>
        <w:rFonts w:hint="default"/>
      </w:rPr>
    </w:lvl>
    <w:lvl w:ilvl="1">
      <w:start w:val="1"/>
      <w:numFmt w:val="decimal"/>
      <w:pStyle w:val="Nadpis2"/>
      <w:lvlText w:val="%1.%2."/>
      <w:lvlJc w:val="left"/>
      <w:pPr>
        <w:tabs>
          <w:tab w:val="num" w:pos="794"/>
        </w:tabs>
        <w:ind w:left="794" w:hanging="510"/>
      </w:pPr>
      <w:rPr>
        <w:rFonts w:hint="default"/>
      </w:rPr>
    </w:lvl>
    <w:lvl w:ilvl="2">
      <w:start w:val="1"/>
      <w:numFmt w:val="decimal"/>
      <w:pStyle w:val="Nadpis3"/>
      <w:lvlText w:val="%1.%2.%3."/>
      <w:lvlJc w:val="left"/>
      <w:pPr>
        <w:tabs>
          <w:tab w:val="num" w:pos="1191"/>
        </w:tabs>
        <w:ind w:left="1191" w:hanging="624"/>
      </w:pPr>
      <w:rPr>
        <w:rFonts w:ascii="Arial" w:hAnsi="Arial" w:hint="default"/>
      </w:rPr>
    </w:lvl>
    <w:lvl w:ilvl="3">
      <w:start w:val="1"/>
      <w:numFmt w:val="decimal"/>
      <w:pStyle w:val="Nadpis4"/>
      <w:lvlText w:val="%1.%2.%3.%4."/>
      <w:lvlJc w:val="left"/>
      <w:pPr>
        <w:tabs>
          <w:tab w:val="num" w:pos="1588"/>
        </w:tabs>
        <w:ind w:left="1588" w:hanging="737"/>
      </w:pPr>
      <w:rPr>
        <w:rFonts w:ascii="Arial" w:hAnsi="Arial" w:hint="default"/>
      </w:rPr>
    </w:lvl>
    <w:lvl w:ilvl="4">
      <w:start w:val="1"/>
      <w:numFmt w:val="decimal"/>
      <w:pStyle w:val="Nadpis5"/>
      <w:lvlText w:val="%1.%2.%3.%4.%5."/>
      <w:lvlJc w:val="left"/>
      <w:pPr>
        <w:tabs>
          <w:tab w:val="num" w:pos="1985"/>
        </w:tabs>
        <w:ind w:left="1985" w:hanging="851"/>
      </w:pPr>
      <w:rPr>
        <w:rFonts w:hint="default"/>
      </w:rPr>
    </w:lvl>
    <w:lvl w:ilvl="5">
      <w:start w:val="1"/>
      <w:numFmt w:val="lowerRoman"/>
      <w:lvlText w:val="(%6)"/>
      <w:lvlJc w:val="left"/>
      <w:pPr>
        <w:ind w:left="8337" w:hanging="397"/>
      </w:pPr>
      <w:rPr>
        <w:rFonts w:hint="default"/>
      </w:rPr>
    </w:lvl>
    <w:lvl w:ilvl="6">
      <w:start w:val="1"/>
      <w:numFmt w:val="decimal"/>
      <w:lvlText w:val="%7."/>
      <w:lvlJc w:val="left"/>
      <w:pPr>
        <w:ind w:left="8734" w:hanging="397"/>
      </w:pPr>
      <w:rPr>
        <w:rFonts w:hint="default"/>
      </w:rPr>
    </w:lvl>
    <w:lvl w:ilvl="7">
      <w:start w:val="1"/>
      <w:numFmt w:val="lowerLetter"/>
      <w:lvlText w:val="%8."/>
      <w:lvlJc w:val="left"/>
      <w:pPr>
        <w:ind w:left="9131" w:hanging="397"/>
      </w:pPr>
      <w:rPr>
        <w:rFonts w:hint="default"/>
      </w:rPr>
    </w:lvl>
    <w:lvl w:ilvl="8">
      <w:start w:val="1"/>
      <w:numFmt w:val="lowerRoman"/>
      <w:lvlText w:val="%9."/>
      <w:lvlJc w:val="left"/>
      <w:pPr>
        <w:ind w:left="9528" w:hanging="397"/>
      </w:pPr>
      <w:rPr>
        <w:rFonts w:hint="default"/>
      </w:rPr>
    </w:lvl>
  </w:abstractNum>
  <w:abstractNum w:abstractNumId="6" w15:restartNumberingAfterBreak="0">
    <w:nsid w:val="1E747901"/>
    <w:multiLevelType w:val="hybridMultilevel"/>
    <w:tmpl w:val="5A6ECAFA"/>
    <w:lvl w:ilvl="0" w:tplc="4FCA54BC">
      <w:start w:val="1"/>
      <w:numFmt w:val="upperRoman"/>
      <w:pStyle w:val="P-HEAD-ODST"/>
      <w:lvlText w:val="%1."/>
      <w:lvlJc w:val="right"/>
      <w:pPr>
        <w:tabs>
          <w:tab w:val="num" w:pos="720"/>
        </w:tabs>
        <w:ind w:left="720" w:hanging="180"/>
      </w:pPr>
      <w:rPr>
        <w:rFonts w:cs="Times New Roman"/>
      </w:rPr>
    </w:lvl>
    <w:lvl w:ilvl="1" w:tplc="5E72B600">
      <w:start w:val="1"/>
      <w:numFmt w:val="decimal"/>
      <w:lvlText w:val="%2."/>
      <w:lvlJc w:val="left"/>
      <w:pPr>
        <w:tabs>
          <w:tab w:val="num" w:pos="1440"/>
        </w:tabs>
        <w:ind w:left="1440" w:hanging="360"/>
      </w:pPr>
      <w:rPr>
        <w:rFonts w:ascii="Tahoma" w:hAnsi="Tahoma" w:cs="Times New Roman" w:hint="default"/>
      </w:rPr>
    </w:lvl>
    <w:lvl w:ilvl="2" w:tplc="0405001B">
      <w:start w:val="1"/>
      <w:numFmt w:val="lowerRoman"/>
      <w:lvlText w:val="%3."/>
      <w:lvlJc w:val="right"/>
      <w:pPr>
        <w:tabs>
          <w:tab w:val="num" w:pos="2160"/>
        </w:tabs>
        <w:ind w:left="2160" w:hanging="180"/>
      </w:pPr>
      <w:rPr>
        <w:rFonts w:cs="Times New Roman"/>
      </w:rPr>
    </w:lvl>
    <w:lvl w:ilvl="3" w:tplc="550896AC">
      <w:start w:val="1"/>
      <w:numFmt w:val="lowerLetter"/>
      <w:lvlText w:val="%4)"/>
      <w:lvlJc w:val="left"/>
      <w:pPr>
        <w:tabs>
          <w:tab w:val="num" w:pos="2880"/>
        </w:tabs>
        <w:ind w:left="2880" w:hanging="360"/>
      </w:pPr>
      <w:rPr>
        <w:rFonts w:cs="Times New Roman" w:hint="default"/>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0307A46"/>
    <w:multiLevelType w:val="hybridMultilevel"/>
    <w:tmpl w:val="9CDC4F3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F965B73"/>
    <w:multiLevelType w:val="hybridMultilevel"/>
    <w:tmpl w:val="612C727C"/>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EBD1BEB"/>
    <w:multiLevelType w:val="multilevel"/>
    <w:tmpl w:val="CF2A0CAC"/>
    <w:lvl w:ilvl="0">
      <w:start w:val="2"/>
      <w:numFmt w:val="decimal"/>
      <w:lvlText w:val="%1."/>
      <w:lvlJc w:val="left"/>
      <w:pPr>
        <w:ind w:left="720" w:hanging="360"/>
      </w:pPr>
      <w:rPr>
        <w:rFonts w:hint="default"/>
      </w:rPr>
    </w:lvl>
    <w:lvl w:ilvl="1">
      <w:start w:val="1"/>
      <w:numFmt w:val="decimal"/>
      <w:isLgl/>
      <w:lvlText w:val="%1.%2"/>
      <w:lvlJc w:val="left"/>
      <w:pPr>
        <w:ind w:left="1635" w:hanging="1275"/>
      </w:pPr>
      <w:rPr>
        <w:rFonts w:hint="default"/>
      </w:rPr>
    </w:lvl>
    <w:lvl w:ilvl="2">
      <w:start w:val="1"/>
      <w:numFmt w:val="decimal"/>
      <w:isLgl/>
      <w:lvlText w:val="%1.%2.%3"/>
      <w:lvlJc w:val="left"/>
      <w:pPr>
        <w:ind w:left="1635" w:hanging="1275"/>
      </w:pPr>
      <w:rPr>
        <w:rFonts w:hint="default"/>
      </w:rPr>
    </w:lvl>
    <w:lvl w:ilvl="3">
      <w:start w:val="1"/>
      <w:numFmt w:val="decimal"/>
      <w:isLgl/>
      <w:lvlText w:val="%1.%2.%3.%4"/>
      <w:lvlJc w:val="left"/>
      <w:pPr>
        <w:ind w:left="1635" w:hanging="1275"/>
      </w:pPr>
      <w:rPr>
        <w:rFonts w:hint="default"/>
      </w:rPr>
    </w:lvl>
    <w:lvl w:ilvl="4">
      <w:start w:val="1"/>
      <w:numFmt w:val="decimal"/>
      <w:isLgl/>
      <w:lvlText w:val="%1.%2.%3.%4.%5"/>
      <w:lvlJc w:val="left"/>
      <w:pPr>
        <w:ind w:left="1635" w:hanging="1275"/>
      </w:pPr>
      <w:rPr>
        <w:rFonts w:hint="default"/>
      </w:rPr>
    </w:lvl>
    <w:lvl w:ilvl="5">
      <w:start w:val="1"/>
      <w:numFmt w:val="decimal"/>
      <w:isLgl/>
      <w:lvlText w:val="%1.%2.%3.%4.%5.%6"/>
      <w:lvlJc w:val="left"/>
      <w:pPr>
        <w:ind w:left="1635" w:hanging="1275"/>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487D1F68"/>
    <w:multiLevelType w:val="multilevel"/>
    <w:tmpl w:val="38AC85C4"/>
    <w:styleLink w:val="cpBulleting"/>
    <w:lvl w:ilvl="0">
      <w:start w:val="1"/>
      <w:numFmt w:val="bullet"/>
      <w:pStyle w:val="cpListBullet"/>
      <w:lvlText w:val=""/>
      <w:lvlJc w:val="left"/>
      <w:pPr>
        <w:tabs>
          <w:tab w:val="num" w:pos="454"/>
        </w:tabs>
        <w:ind w:left="454" w:hanging="454"/>
      </w:pPr>
      <w:rPr>
        <w:rFonts w:ascii="Symbol" w:hAnsi="Symbol"/>
        <w:color w:val="FDC82F"/>
        <w:u w:color="FFFFFF"/>
      </w:rPr>
    </w:lvl>
    <w:lvl w:ilvl="1">
      <w:start w:val="1"/>
      <w:numFmt w:val="bullet"/>
      <w:pStyle w:val="cpListBullet2"/>
      <w:lvlText w:val=""/>
      <w:lvlJc w:val="left"/>
      <w:pPr>
        <w:tabs>
          <w:tab w:val="num" w:pos="907"/>
        </w:tabs>
        <w:ind w:left="907" w:hanging="453"/>
      </w:pPr>
      <w:rPr>
        <w:rFonts w:ascii="Symbol" w:hAnsi="Symbol"/>
        <w:color w:val="FDC82F"/>
      </w:rPr>
    </w:lvl>
    <w:lvl w:ilvl="2">
      <w:start w:val="1"/>
      <w:numFmt w:val="bullet"/>
      <w:pStyle w:val="cpListBullet3"/>
      <w:lvlText w:val=""/>
      <w:lvlJc w:val="left"/>
      <w:pPr>
        <w:tabs>
          <w:tab w:val="num" w:pos="1361"/>
        </w:tabs>
        <w:ind w:left="1361" w:hanging="454"/>
      </w:pPr>
      <w:rPr>
        <w:rFonts w:ascii="Symbol" w:hAnsi="Symbol" w:hint="default"/>
        <w:color w:val="FDC82F"/>
      </w:rPr>
    </w:lvl>
    <w:lvl w:ilvl="3">
      <w:start w:val="1"/>
      <w:numFmt w:val="bullet"/>
      <w:pStyle w:val="cpListBullet4"/>
      <w:lvlText w:val=""/>
      <w:lvlJc w:val="left"/>
      <w:pPr>
        <w:tabs>
          <w:tab w:val="num" w:pos="1814"/>
        </w:tabs>
        <w:ind w:left="1814" w:hanging="453"/>
      </w:pPr>
      <w:rPr>
        <w:rFonts w:ascii="Symbol" w:hAnsi="Symbol" w:hint="default"/>
        <w:color w:val="FDC82F"/>
      </w:rPr>
    </w:lvl>
    <w:lvl w:ilvl="4">
      <w:start w:val="1"/>
      <w:numFmt w:val="bullet"/>
      <w:pStyle w:val="cpListBullet5"/>
      <w:lvlText w:val=""/>
      <w:lvlJc w:val="left"/>
      <w:pPr>
        <w:tabs>
          <w:tab w:val="num" w:pos="2268"/>
        </w:tabs>
        <w:ind w:left="2268" w:hanging="454"/>
      </w:pPr>
      <w:rPr>
        <w:rFonts w:ascii="Symbol" w:hAnsi="Symbol" w:hint="default"/>
        <w:color w:val="FDC82F"/>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A162A62"/>
    <w:multiLevelType w:val="hybridMultilevel"/>
    <w:tmpl w:val="9CDC4F3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A226552"/>
    <w:multiLevelType w:val="hybridMultilevel"/>
    <w:tmpl w:val="86B07F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70472053"/>
    <w:multiLevelType w:val="hybridMultilevel"/>
    <w:tmpl w:val="9CDC4F3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7CEC3A3A"/>
    <w:multiLevelType w:val="hybridMultilevel"/>
    <w:tmpl w:val="9CDC4F3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FF536D2"/>
    <w:multiLevelType w:val="multilevel"/>
    <w:tmpl w:val="1B46A2CC"/>
    <w:numStyleLink w:val="NumHeading"/>
  </w:abstractNum>
  <w:num w:numId="1">
    <w:abstractNumId w:val="5"/>
  </w:num>
  <w:num w:numId="2">
    <w:abstractNumId w:val="0"/>
  </w:num>
  <w:num w:numId="3">
    <w:abstractNumId w:val="11"/>
  </w:num>
  <w:num w:numId="4">
    <w:abstractNumId w:val="3"/>
  </w:num>
  <w:num w:numId="5">
    <w:abstractNumId w:val="16"/>
  </w:num>
  <w:num w:numId="6">
    <w:abstractNumId w:val="10"/>
  </w:num>
  <w:num w:numId="7">
    <w:abstractNumId w:val="6"/>
  </w:num>
  <w:num w:numId="8">
    <w:abstractNumId w:val="2"/>
  </w:num>
  <w:num w:numId="9">
    <w:abstractNumId w:val="13"/>
  </w:num>
  <w:num w:numId="10">
    <w:abstractNumId w:val="8"/>
  </w:num>
  <w:num w:numId="11">
    <w:abstractNumId w:val="9"/>
  </w:num>
  <w:num w:numId="12">
    <w:abstractNumId w:val="4"/>
  </w:num>
  <w:num w:numId="13">
    <w:abstractNumId w:val="12"/>
  </w:num>
  <w:num w:numId="14">
    <w:abstractNumId w:val="14"/>
  </w:num>
  <w:num w:numId="15">
    <w:abstractNumId w:val="7"/>
  </w:num>
  <w:num w:numId="16">
    <w:abstractNumId w:val="15"/>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B21"/>
    <w:rsid w:val="00000695"/>
    <w:rsid w:val="000034AF"/>
    <w:rsid w:val="00015FD1"/>
    <w:rsid w:val="0002014B"/>
    <w:rsid w:val="000235B1"/>
    <w:rsid w:val="000249AF"/>
    <w:rsid w:val="000342D9"/>
    <w:rsid w:val="00040E78"/>
    <w:rsid w:val="000450C8"/>
    <w:rsid w:val="00046655"/>
    <w:rsid w:val="0005768F"/>
    <w:rsid w:val="000627CD"/>
    <w:rsid w:val="00067E9D"/>
    <w:rsid w:val="000703B6"/>
    <w:rsid w:val="000714AD"/>
    <w:rsid w:val="000723F4"/>
    <w:rsid w:val="00073A89"/>
    <w:rsid w:val="00085008"/>
    <w:rsid w:val="00085195"/>
    <w:rsid w:val="000929B6"/>
    <w:rsid w:val="00093824"/>
    <w:rsid w:val="00093FD7"/>
    <w:rsid w:val="00096033"/>
    <w:rsid w:val="000A0541"/>
    <w:rsid w:val="000B0498"/>
    <w:rsid w:val="000B33B8"/>
    <w:rsid w:val="000B6BD3"/>
    <w:rsid w:val="000C008D"/>
    <w:rsid w:val="000C2130"/>
    <w:rsid w:val="000C7110"/>
    <w:rsid w:val="000D0F5B"/>
    <w:rsid w:val="000D426F"/>
    <w:rsid w:val="000D6740"/>
    <w:rsid w:val="000E044E"/>
    <w:rsid w:val="000F5DA9"/>
    <w:rsid w:val="00102163"/>
    <w:rsid w:val="00113956"/>
    <w:rsid w:val="00113C9F"/>
    <w:rsid w:val="00135EB8"/>
    <w:rsid w:val="00144268"/>
    <w:rsid w:val="00145CB5"/>
    <w:rsid w:val="00156124"/>
    <w:rsid w:val="00160A8C"/>
    <w:rsid w:val="00166B5C"/>
    <w:rsid w:val="00171DE6"/>
    <w:rsid w:val="00181F28"/>
    <w:rsid w:val="001846C1"/>
    <w:rsid w:val="00190879"/>
    <w:rsid w:val="00193DF2"/>
    <w:rsid w:val="001B3F6C"/>
    <w:rsid w:val="001D08B4"/>
    <w:rsid w:val="001D2072"/>
    <w:rsid w:val="001D5F44"/>
    <w:rsid w:val="001E250B"/>
    <w:rsid w:val="001F4EAD"/>
    <w:rsid w:val="001F741B"/>
    <w:rsid w:val="00211595"/>
    <w:rsid w:val="00212034"/>
    <w:rsid w:val="00214B04"/>
    <w:rsid w:val="0022161F"/>
    <w:rsid w:val="002239FA"/>
    <w:rsid w:val="00233DB3"/>
    <w:rsid w:val="00242ABC"/>
    <w:rsid w:val="00254604"/>
    <w:rsid w:val="00271EEE"/>
    <w:rsid w:val="00280271"/>
    <w:rsid w:val="002836C4"/>
    <w:rsid w:val="00284F44"/>
    <w:rsid w:val="002864E3"/>
    <w:rsid w:val="002A2053"/>
    <w:rsid w:val="002B3C75"/>
    <w:rsid w:val="002B474E"/>
    <w:rsid w:val="002B7B70"/>
    <w:rsid w:val="002C6A2A"/>
    <w:rsid w:val="002C70AF"/>
    <w:rsid w:val="002C74FD"/>
    <w:rsid w:val="002D61D4"/>
    <w:rsid w:val="002F5E86"/>
    <w:rsid w:val="00300601"/>
    <w:rsid w:val="003053E5"/>
    <w:rsid w:val="00305F11"/>
    <w:rsid w:val="00306AF3"/>
    <w:rsid w:val="0032736C"/>
    <w:rsid w:val="0032761C"/>
    <w:rsid w:val="0033201C"/>
    <w:rsid w:val="00333A09"/>
    <w:rsid w:val="00333D3D"/>
    <w:rsid w:val="00334D7C"/>
    <w:rsid w:val="0035756B"/>
    <w:rsid w:val="00360657"/>
    <w:rsid w:val="00365AB2"/>
    <w:rsid w:val="00367394"/>
    <w:rsid w:val="00382A34"/>
    <w:rsid w:val="00383214"/>
    <w:rsid w:val="00391423"/>
    <w:rsid w:val="00391602"/>
    <w:rsid w:val="003920D7"/>
    <w:rsid w:val="003B1846"/>
    <w:rsid w:val="003B5702"/>
    <w:rsid w:val="003C44B9"/>
    <w:rsid w:val="003C75ED"/>
    <w:rsid w:val="003E519E"/>
    <w:rsid w:val="003E7523"/>
    <w:rsid w:val="003E7892"/>
    <w:rsid w:val="00404761"/>
    <w:rsid w:val="0040570E"/>
    <w:rsid w:val="0040611A"/>
    <w:rsid w:val="00407D66"/>
    <w:rsid w:val="00412EB6"/>
    <w:rsid w:val="004253DA"/>
    <w:rsid w:val="00425B2F"/>
    <w:rsid w:val="00425F5F"/>
    <w:rsid w:val="00431598"/>
    <w:rsid w:val="0044344F"/>
    <w:rsid w:val="00445A9E"/>
    <w:rsid w:val="004515F0"/>
    <w:rsid w:val="0046701C"/>
    <w:rsid w:val="004701DB"/>
    <w:rsid w:val="00473186"/>
    <w:rsid w:val="004A378D"/>
    <w:rsid w:val="004A56A7"/>
    <w:rsid w:val="004A6877"/>
    <w:rsid w:val="004A7D57"/>
    <w:rsid w:val="004B1370"/>
    <w:rsid w:val="004C7405"/>
    <w:rsid w:val="004D1280"/>
    <w:rsid w:val="004D36DC"/>
    <w:rsid w:val="004D7697"/>
    <w:rsid w:val="004E1AFF"/>
    <w:rsid w:val="004E308A"/>
    <w:rsid w:val="004E6BA4"/>
    <w:rsid w:val="004E7A3A"/>
    <w:rsid w:val="004F01E8"/>
    <w:rsid w:val="004F226B"/>
    <w:rsid w:val="004F2FF8"/>
    <w:rsid w:val="00500F8E"/>
    <w:rsid w:val="00507645"/>
    <w:rsid w:val="00522D99"/>
    <w:rsid w:val="0052696A"/>
    <w:rsid w:val="00527E2E"/>
    <w:rsid w:val="00533B91"/>
    <w:rsid w:val="00535334"/>
    <w:rsid w:val="00536783"/>
    <w:rsid w:val="0054094C"/>
    <w:rsid w:val="00541AC5"/>
    <w:rsid w:val="005426B5"/>
    <w:rsid w:val="00560355"/>
    <w:rsid w:val="0057521C"/>
    <w:rsid w:val="00576884"/>
    <w:rsid w:val="00581C40"/>
    <w:rsid w:val="005978E7"/>
    <w:rsid w:val="005B1137"/>
    <w:rsid w:val="005B1149"/>
    <w:rsid w:val="005B69D1"/>
    <w:rsid w:val="005D3B75"/>
    <w:rsid w:val="005D418C"/>
    <w:rsid w:val="005D4E0E"/>
    <w:rsid w:val="005F05A2"/>
    <w:rsid w:val="005F0E29"/>
    <w:rsid w:val="005F4376"/>
    <w:rsid w:val="005F75CD"/>
    <w:rsid w:val="00600F38"/>
    <w:rsid w:val="006044AA"/>
    <w:rsid w:val="00606B3C"/>
    <w:rsid w:val="00607FDD"/>
    <w:rsid w:val="006121FA"/>
    <w:rsid w:val="00613A99"/>
    <w:rsid w:val="0061542C"/>
    <w:rsid w:val="00633670"/>
    <w:rsid w:val="00644385"/>
    <w:rsid w:val="006454CF"/>
    <w:rsid w:val="0064599B"/>
    <w:rsid w:val="006627E4"/>
    <w:rsid w:val="00670C9A"/>
    <w:rsid w:val="00670CE4"/>
    <w:rsid w:val="00694A35"/>
    <w:rsid w:val="006B5416"/>
    <w:rsid w:val="006C22E9"/>
    <w:rsid w:val="006C4689"/>
    <w:rsid w:val="006E1C82"/>
    <w:rsid w:val="006E2546"/>
    <w:rsid w:val="006E29CE"/>
    <w:rsid w:val="006E5096"/>
    <w:rsid w:val="006F0F52"/>
    <w:rsid w:val="006F1B96"/>
    <w:rsid w:val="006F66D0"/>
    <w:rsid w:val="00700EDF"/>
    <w:rsid w:val="00702A3C"/>
    <w:rsid w:val="00703F4F"/>
    <w:rsid w:val="00766638"/>
    <w:rsid w:val="00766A20"/>
    <w:rsid w:val="007670D1"/>
    <w:rsid w:val="007758B8"/>
    <w:rsid w:val="00777BF3"/>
    <w:rsid w:val="007836DF"/>
    <w:rsid w:val="00783EFA"/>
    <w:rsid w:val="00783FF0"/>
    <w:rsid w:val="00786B01"/>
    <w:rsid w:val="00792C97"/>
    <w:rsid w:val="007A01B3"/>
    <w:rsid w:val="007B38FB"/>
    <w:rsid w:val="007B4CF7"/>
    <w:rsid w:val="007B4DB6"/>
    <w:rsid w:val="007C2B92"/>
    <w:rsid w:val="007C3210"/>
    <w:rsid w:val="007C579C"/>
    <w:rsid w:val="007D1709"/>
    <w:rsid w:val="007D2B51"/>
    <w:rsid w:val="007D60C6"/>
    <w:rsid w:val="007E2233"/>
    <w:rsid w:val="007E2CA8"/>
    <w:rsid w:val="007E3C77"/>
    <w:rsid w:val="007E7F50"/>
    <w:rsid w:val="007F400A"/>
    <w:rsid w:val="00802D86"/>
    <w:rsid w:val="0080724F"/>
    <w:rsid w:val="00807A2E"/>
    <w:rsid w:val="00813726"/>
    <w:rsid w:val="00816231"/>
    <w:rsid w:val="00816CE0"/>
    <w:rsid w:val="008204B2"/>
    <w:rsid w:val="0082305E"/>
    <w:rsid w:val="00831788"/>
    <w:rsid w:val="00831B30"/>
    <w:rsid w:val="00834BAC"/>
    <w:rsid w:val="00840043"/>
    <w:rsid w:val="00850043"/>
    <w:rsid w:val="008517E0"/>
    <w:rsid w:val="00864FDB"/>
    <w:rsid w:val="00867000"/>
    <w:rsid w:val="00867AA4"/>
    <w:rsid w:val="00872C46"/>
    <w:rsid w:val="00875514"/>
    <w:rsid w:val="00876456"/>
    <w:rsid w:val="00882F70"/>
    <w:rsid w:val="008A4B63"/>
    <w:rsid w:val="008A5749"/>
    <w:rsid w:val="008B3038"/>
    <w:rsid w:val="008C1B44"/>
    <w:rsid w:val="008C3F53"/>
    <w:rsid w:val="008C40D3"/>
    <w:rsid w:val="008D718A"/>
    <w:rsid w:val="008F40E2"/>
    <w:rsid w:val="008F6AD3"/>
    <w:rsid w:val="009018E0"/>
    <w:rsid w:val="00922959"/>
    <w:rsid w:val="0092519F"/>
    <w:rsid w:val="009407C1"/>
    <w:rsid w:val="009415F6"/>
    <w:rsid w:val="00945A37"/>
    <w:rsid w:val="009569AC"/>
    <w:rsid w:val="00963C0C"/>
    <w:rsid w:val="00964381"/>
    <w:rsid w:val="00965867"/>
    <w:rsid w:val="009836DA"/>
    <w:rsid w:val="0098375F"/>
    <w:rsid w:val="00984427"/>
    <w:rsid w:val="00984C3B"/>
    <w:rsid w:val="0099054E"/>
    <w:rsid w:val="00995DF5"/>
    <w:rsid w:val="009A14A3"/>
    <w:rsid w:val="009A1980"/>
    <w:rsid w:val="009D473C"/>
    <w:rsid w:val="009E1270"/>
    <w:rsid w:val="009E4E49"/>
    <w:rsid w:val="009F1841"/>
    <w:rsid w:val="009F3F2C"/>
    <w:rsid w:val="009F56ED"/>
    <w:rsid w:val="00A01858"/>
    <w:rsid w:val="00A04D11"/>
    <w:rsid w:val="00A15FA9"/>
    <w:rsid w:val="00A237FF"/>
    <w:rsid w:val="00A25266"/>
    <w:rsid w:val="00A36DAD"/>
    <w:rsid w:val="00A425C5"/>
    <w:rsid w:val="00A43E53"/>
    <w:rsid w:val="00A47E45"/>
    <w:rsid w:val="00A52FC0"/>
    <w:rsid w:val="00A62511"/>
    <w:rsid w:val="00A64BC9"/>
    <w:rsid w:val="00A66C1A"/>
    <w:rsid w:val="00A837AE"/>
    <w:rsid w:val="00A923D7"/>
    <w:rsid w:val="00A92FC3"/>
    <w:rsid w:val="00AA1110"/>
    <w:rsid w:val="00AA15E2"/>
    <w:rsid w:val="00AA50FB"/>
    <w:rsid w:val="00AB164A"/>
    <w:rsid w:val="00AB228E"/>
    <w:rsid w:val="00AC6146"/>
    <w:rsid w:val="00AE2D0A"/>
    <w:rsid w:val="00AE66E7"/>
    <w:rsid w:val="00AF373E"/>
    <w:rsid w:val="00AF451F"/>
    <w:rsid w:val="00AF533F"/>
    <w:rsid w:val="00B15133"/>
    <w:rsid w:val="00B2389A"/>
    <w:rsid w:val="00B24242"/>
    <w:rsid w:val="00B3274C"/>
    <w:rsid w:val="00B35276"/>
    <w:rsid w:val="00B35880"/>
    <w:rsid w:val="00B36FB7"/>
    <w:rsid w:val="00B55AA1"/>
    <w:rsid w:val="00B63807"/>
    <w:rsid w:val="00B80ED9"/>
    <w:rsid w:val="00B81C69"/>
    <w:rsid w:val="00B84258"/>
    <w:rsid w:val="00B97216"/>
    <w:rsid w:val="00BA4B21"/>
    <w:rsid w:val="00BB3463"/>
    <w:rsid w:val="00BC0FCF"/>
    <w:rsid w:val="00BD2646"/>
    <w:rsid w:val="00BD2651"/>
    <w:rsid w:val="00BD7F06"/>
    <w:rsid w:val="00BF67D4"/>
    <w:rsid w:val="00BF7F0B"/>
    <w:rsid w:val="00C037FF"/>
    <w:rsid w:val="00C158D7"/>
    <w:rsid w:val="00C270C2"/>
    <w:rsid w:val="00C32E44"/>
    <w:rsid w:val="00C3488F"/>
    <w:rsid w:val="00C34B31"/>
    <w:rsid w:val="00C41461"/>
    <w:rsid w:val="00C4695D"/>
    <w:rsid w:val="00C54B75"/>
    <w:rsid w:val="00C54D4F"/>
    <w:rsid w:val="00C5528A"/>
    <w:rsid w:val="00C5691C"/>
    <w:rsid w:val="00C62A6D"/>
    <w:rsid w:val="00C66AF5"/>
    <w:rsid w:val="00C70A41"/>
    <w:rsid w:val="00C84F7F"/>
    <w:rsid w:val="00C9428B"/>
    <w:rsid w:val="00C94C78"/>
    <w:rsid w:val="00C96E9F"/>
    <w:rsid w:val="00C9735E"/>
    <w:rsid w:val="00CA03C5"/>
    <w:rsid w:val="00CA56AB"/>
    <w:rsid w:val="00CB082E"/>
    <w:rsid w:val="00CB65A8"/>
    <w:rsid w:val="00CC15ED"/>
    <w:rsid w:val="00CD3D70"/>
    <w:rsid w:val="00CD4BF1"/>
    <w:rsid w:val="00CD5D3F"/>
    <w:rsid w:val="00CE4DF9"/>
    <w:rsid w:val="00CF1CB2"/>
    <w:rsid w:val="00CF574E"/>
    <w:rsid w:val="00D00C32"/>
    <w:rsid w:val="00D24F8A"/>
    <w:rsid w:val="00D25607"/>
    <w:rsid w:val="00D32D5C"/>
    <w:rsid w:val="00D365B7"/>
    <w:rsid w:val="00D40C5E"/>
    <w:rsid w:val="00D4228C"/>
    <w:rsid w:val="00D47443"/>
    <w:rsid w:val="00D47A90"/>
    <w:rsid w:val="00D52F0F"/>
    <w:rsid w:val="00D55E6A"/>
    <w:rsid w:val="00D6190E"/>
    <w:rsid w:val="00D61A25"/>
    <w:rsid w:val="00D64841"/>
    <w:rsid w:val="00D708BF"/>
    <w:rsid w:val="00D776BD"/>
    <w:rsid w:val="00D85B14"/>
    <w:rsid w:val="00D87949"/>
    <w:rsid w:val="00DA5825"/>
    <w:rsid w:val="00DA6DCC"/>
    <w:rsid w:val="00DB3481"/>
    <w:rsid w:val="00DB6249"/>
    <w:rsid w:val="00DC0CE2"/>
    <w:rsid w:val="00DC2D71"/>
    <w:rsid w:val="00DE01BC"/>
    <w:rsid w:val="00DE64D4"/>
    <w:rsid w:val="00DF40E3"/>
    <w:rsid w:val="00DF4A20"/>
    <w:rsid w:val="00E01274"/>
    <w:rsid w:val="00E05E15"/>
    <w:rsid w:val="00E05E6F"/>
    <w:rsid w:val="00E10ABA"/>
    <w:rsid w:val="00E20AB1"/>
    <w:rsid w:val="00E253F5"/>
    <w:rsid w:val="00E26E3A"/>
    <w:rsid w:val="00E27990"/>
    <w:rsid w:val="00E30AAC"/>
    <w:rsid w:val="00E30BA1"/>
    <w:rsid w:val="00E31989"/>
    <w:rsid w:val="00E42B80"/>
    <w:rsid w:val="00E46C9E"/>
    <w:rsid w:val="00E70D2B"/>
    <w:rsid w:val="00E725F0"/>
    <w:rsid w:val="00EA15FD"/>
    <w:rsid w:val="00EA6004"/>
    <w:rsid w:val="00EB0BD2"/>
    <w:rsid w:val="00EC0984"/>
    <w:rsid w:val="00EE09CE"/>
    <w:rsid w:val="00EF5BB6"/>
    <w:rsid w:val="00F1751B"/>
    <w:rsid w:val="00F352BC"/>
    <w:rsid w:val="00F36F91"/>
    <w:rsid w:val="00F432E7"/>
    <w:rsid w:val="00F476DD"/>
    <w:rsid w:val="00F569DB"/>
    <w:rsid w:val="00F71ACE"/>
    <w:rsid w:val="00F72A60"/>
    <w:rsid w:val="00F778CC"/>
    <w:rsid w:val="00F82EBF"/>
    <w:rsid w:val="00F84974"/>
    <w:rsid w:val="00F869B3"/>
    <w:rsid w:val="00F870D8"/>
    <w:rsid w:val="00F9044E"/>
    <w:rsid w:val="00FA0521"/>
    <w:rsid w:val="00FA5FCB"/>
    <w:rsid w:val="00FC11B7"/>
    <w:rsid w:val="00FC6C1C"/>
    <w:rsid w:val="00FD0E11"/>
    <w:rsid w:val="00FD22E1"/>
    <w:rsid w:val="00FD31C9"/>
    <w:rsid w:val="00FD5EF0"/>
    <w:rsid w:val="00FD7930"/>
    <w:rsid w:val="00FE3A2B"/>
    <w:rsid w:val="00FE5758"/>
    <w:rsid w:val="00FF138D"/>
    <w:rsid w:val="00FF37F0"/>
    <w:rsid w:val="00FF496B"/>
    <w:rsid w:val="00FF4C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322FEB4-F24A-4DAE-BC4D-F8ACBC89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C0CE2"/>
    <w:pPr>
      <w:spacing w:line="260" w:lineRule="exact"/>
    </w:pPr>
    <w:rPr>
      <w:rFonts w:ascii="Times New Roman" w:hAnsi="Times New Roman"/>
      <w:sz w:val="22"/>
      <w:szCs w:val="22"/>
      <w:lang w:eastAsia="en-US"/>
    </w:rPr>
  </w:style>
  <w:style w:type="paragraph" w:styleId="Nadpis1">
    <w:name w:val="heading 1"/>
    <w:basedOn w:val="Normln"/>
    <w:next w:val="cpNormal"/>
    <w:link w:val="Nadpis1Char"/>
    <w:uiPriority w:val="9"/>
    <w:qFormat/>
    <w:rsid w:val="00F82EBF"/>
    <w:pPr>
      <w:keepNext/>
      <w:keepLines/>
      <w:numPr>
        <w:numId w:val="5"/>
      </w:numPr>
      <w:spacing w:before="260" w:after="360" w:line="320" w:lineRule="atLeast"/>
      <w:outlineLvl w:val="0"/>
    </w:pPr>
    <w:rPr>
      <w:rFonts w:ascii="Arial" w:eastAsia="Times New Roman" w:hAnsi="Arial"/>
      <w:b/>
      <w:bCs/>
      <w:color w:val="002776"/>
      <w:sz w:val="28"/>
      <w:szCs w:val="28"/>
      <w:lang w:val="x-none"/>
    </w:rPr>
  </w:style>
  <w:style w:type="paragraph" w:styleId="Nadpis2">
    <w:name w:val="heading 2"/>
    <w:basedOn w:val="Normln"/>
    <w:next w:val="cpNormal"/>
    <w:link w:val="Nadpis2Char"/>
    <w:uiPriority w:val="9"/>
    <w:qFormat/>
    <w:rsid w:val="00F82EBF"/>
    <w:pPr>
      <w:keepNext/>
      <w:keepLines/>
      <w:numPr>
        <w:ilvl w:val="1"/>
        <w:numId w:val="5"/>
      </w:numPr>
      <w:tabs>
        <w:tab w:val="clear" w:pos="794"/>
        <w:tab w:val="left" w:pos="851"/>
      </w:tabs>
      <w:spacing w:before="260" w:after="240" w:line="260" w:lineRule="atLeast"/>
      <w:ind w:left="851" w:hanging="567"/>
      <w:outlineLvl w:val="1"/>
    </w:pPr>
    <w:rPr>
      <w:rFonts w:ascii="Arial" w:eastAsia="Times New Roman" w:hAnsi="Arial"/>
      <w:b/>
      <w:bCs/>
      <w:color w:val="002776"/>
      <w:sz w:val="26"/>
      <w:szCs w:val="26"/>
      <w:lang w:val="x-none"/>
    </w:rPr>
  </w:style>
  <w:style w:type="paragraph" w:styleId="Nadpis3">
    <w:name w:val="heading 3"/>
    <w:basedOn w:val="Normln"/>
    <w:next w:val="cpNormal"/>
    <w:link w:val="Nadpis3Char"/>
    <w:uiPriority w:val="9"/>
    <w:qFormat/>
    <w:rsid w:val="00F82EBF"/>
    <w:pPr>
      <w:keepNext/>
      <w:keepLines/>
      <w:numPr>
        <w:ilvl w:val="2"/>
        <w:numId w:val="5"/>
      </w:numPr>
      <w:tabs>
        <w:tab w:val="clear" w:pos="1191"/>
        <w:tab w:val="left" w:pos="1304"/>
      </w:tabs>
      <w:spacing w:before="260" w:after="120" w:line="260" w:lineRule="atLeast"/>
      <w:ind w:left="1304" w:hanging="737"/>
      <w:outlineLvl w:val="2"/>
    </w:pPr>
    <w:rPr>
      <w:rFonts w:ascii="Arial" w:eastAsia="Times New Roman" w:hAnsi="Arial"/>
      <w:b/>
      <w:bCs/>
      <w:color w:val="002776"/>
      <w:sz w:val="24"/>
      <w:lang w:val="x-none"/>
    </w:rPr>
  </w:style>
  <w:style w:type="paragraph" w:styleId="Nadpis4">
    <w:name w:val="heading 4"/>
    <w:basedOn w:val="Normln"/>
    <w:next w:val="cpNormal"/>
    <w:link w:val="Nadpis4Char"/>
    <w:uiPriority w:val="9"/>
    <w:qFormat/>
    <w:rsid w:val="00425F5F"/>
    <w:pPr>
      <w:keepNext/>
      <w:keepLines/>
      <w:numPr>
        <w:ilvl w:val="3"/>
        <w:numId w:val="5"/>
      </w:numPr>
      <w:tabs>
        <w:tab w:val="clear" w:pos="1588"/>
        <w:tab w:val="left" w:pos="1701"/>
      </w:tabs>
      <w:spacing w:before="260" w:after="120" w:line="260" w:lineRule="atLeast"/>
      <w:ind w:left="1702" w:hanging="851"/>
      <w:outlineLvl w:val="3"/>
    </w:pPr>
    <w:rPr>
      <w:rFonts w:ascii="Arial" w:eastAsia="Times New Roman" w:hAnsi="Arial"/>
      <w:b/>
      <w:bCs/>
      <w:iCs/>
      <w:color w:val="002776"/>
      <w:lang w:val="x-none"/>
    </w:rPr>
  </w:style>
  <w:style w:type="paragraph" w:styleId="Nadpis5">
    <w:name w:val="heading 5"/>
    <w:basedOn w:val="Normln"/>
    <w:next w:val="cpNormal"/>
    <w:link w:val="Nadpis5Char"/>
    <w:uiPriority w:val="9"/>
    <w:qFormat/>
    <w:rsid w:val="00F82EBF"/>
    <w:pPr>
      <w:keepNext/>
      <w:keepLines/>
      <w:numPr>
        <w:ilvl w:val="4"/>
        <w:numId w:val="5"/>
      </w:numPr>
      <w:tabs>
        <w:tab w:val="clear" w:pos="1985"/>
        <w:tab w:val="left" w:pos="2098"/>
      </w:tabs>
      <w:spacing w:before="260" w:after="120" w:line="260" w:lineRule="atLeast"/>
      <w:ind w:left="2098" w:hanging="964"/>
      <w:outlineLvl w:val="4"/>
    </w:pPr>
    <w:rPr>
      <w:rFonts w:ascii="Arial" w:eastAsia="Times New Roman" w:hAnsi="Arial"/>
      <w:b/>
      <w:color w:val="002776"/>
      <w:sz w:val="20"/>
      <w:lang w:val="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C037FF"/>
    <w:pPr>
      <w:spacing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C037FF"/>
    <w:rPr>
      <w:rFonts w:ascii="Tahoma" w:hAnsi="Tahoma" w:cs="Tahoma"/>
      <w:sz w:val="16"/>
      <w:szCs w:val="16"/>
    </w:rPr>
  </w:style>
  <w:style w:type="paragraph" w:styleId="Zhlav">
    <w:name w:val="header"/>
    <w:basedOn w:val="Normln"/>
    <w:link w:val="ZhlavChar"/>
    <w:unhideWhenUsed/>
    <w:rsid w:val="001F741B"/>
    <w:pPr>
      <w:tabs>
        <w:tab w:val="center" w:pos="4513"/>
        <w:tab w:val="right" w:pos="9026"/>
      </w:tabs>
      <w:spacing w:line="240" w:lineRule="auto"/>
    </w:pPr>
    <w:rPr>
      <w:rFonts w:ascii="Arial" w:hAnsi="Arial"/>
      <w:color w:val="2D55AB"/>
      <w:lang w:val="x-none"/>
    </w:rPr>
  </w:style>
  <w:style w:type="character" w:customStyle="1" w:styleId="ZhlavChar">
    <w:name w:val="Záhlaví Char"/>
    <w:link w:val="Zhlav"/>
    <w:rsid w:val="001F741B"/>
    <w:rPr>
      <w:rFonts w:ascii="Arial" w:hAnsi="Arial"/>
      <w:color w:val="2D55AB"/>
      <w:sz w:val="22"/>
      <w:szCs w:val="22"/>
      <w:lang w:eastAsia="en-US"/>
    </w:rPr>
  </w:style>
  <w:style w:type="paragraph" w:styleId="Zpat">
    <w:name w:val="footer"/>
    <w:basedOn w:val="Normln"/>
    <w:link w:val="ZpatChar"/>
    <w:uiPriority w:val="99"/>
    <w:unhideWhenUsed/>
    <w:rsid w:val="00A43E53"/>
    <w:pPr>
      <w:tabs>
        <w:tab w:val="center" w:pos="4513"/>
        <w:tab w:val="right" w:pos="9923"/>
      </w:tabs>
      <w:spacing w:line="240" w:lineRule="auto"/>
    </w:pPr>
    <w:rPr>
      <w:sz w:val="14"/>
      <w:lang w:val="x-none"/>
    </w:rPr>
  </w:style>
  <w:style w:type="character" w:customStyle="1" w:styleId="ZpatChar">
    <w:name w:val="Zápatí Char"/>
    <w:link w:val="Zpat"/>
    <w:uiPriority w:val="99"/>
    <w:rsid w:val="00A43E53"/>
    <w:rPr>
      <w:rFonts w:ascii="Times New Roman" w:hAnsi="Times New Roman"/>
      <w:sz w:val="14"/>
      <w:szCs w:val="22"/>
      <w:lang w:eastAsia="en-US"/>
    </w:rPr>
  </w:style>
  <w:style w:type="paragraph" w:customStyle="1" w:styleId="cpAdresa">
    <w:name w:val="cp_Adresa"/>
    <w:basedOn w:val="Normln"/>
    <w:qFormat/>
    <w:rsid w:val="00193DF2"/>
    <w:pPr>
      <w:spacing w:after="1021" w:line="260" w:lineRule="atLeast"/>
      <w:ind w:left="4536"/>
      <w:contextualSpacing/>
    </w:pPr>
  </w:style>
  <w:style w:type="paragraph" w:customStyle="1" w:styleId="cpNormal">
    <w:name w:val="cp_Normal"/>
    <w:basedOn w:val="Normln"/>
    <w:qFormat/>
    <w:rsid w:val="00F82EBF"/>
    <w:pPr>
      <w:spacing w:after="260" w:line="260" w:lineRule="atLeast"/>
    </w:pPr>
  </w:style>
  <w:style w:type="character" w:customStyle="1" w:styleId="Nadpis1Char">
    <w:name w:val="Nadpis 1 Char"/>
    <w:link w:val="Nadpis1"/>
    <w:uiPriority w:val="9"/>
    <w:rsid w:val="00F82EBF"/>
    <w:rPr>
      <w:rFonts w:ascii="Arial" w:eastAsia="Times New Roman" w:hAnsi="Arial"/>
      <w:b/>
      <w:bCs/>
      <w:color w:val="002776"/>
      <w:sz w:val="28"/>
      <w:szCs w:val="28"/>
      <w:lang w:val="x-none" w:eastAsia="en-US"/>
    </w:rPr>
  </w:style>
  <w:style w:type="paragraph" w:styleId="Nzev">
    <w:name w:val="Title"/>
    <w:basedOn w:val="Normln"/>
    <w:next w:val="Normln"/>
    <w:link w:val="NzevChar"/>
    <w:uiPriority w:val="10"/>
    <w:qFormat/>
    <w:rsid w:val="00CD3D70"/>
    <w:pPr>
      <w:spacing w:after="300" w:line="240" w:lineRule="auto"/>
      <w:contextualSpacing/>
    </w:pPr>
    <w:rPr>
      <w:rFonts w:ascii="Arial" w:eastAsia="Times New Roman" w:hAnsi="Arial"/>
      <w:b/>
      <w:color w:val="2D55AB"/>
      <w:spacing w:val="5"/>
      <w:kern w:val="28"/>
      <w:sz w:val="36"/>
      <w:szCs w:val="52"/>
      <w:lang w:val="x-none"/>
    </w:rPr>
  </w:style>
  <w:style w:type="character" w:customStyle="1" w:styleId="Nadpis2Char">
    <w:name w:val="Nadpis 2 Char"/>
    <w:link w:val="Nadpis2"/>
    <w:uiPriority w:val="9"/>
    <w:rsid w:val="00F82EBF"/>
    <w:rPr>
      <w:rFonts w:ascii="Arial" w:eastAsia="Times New Roman" w:hAnsi="Arial"/>
      <w:b/>
      <w:bCs/>
      <w:color w:val="002776"/>
      <w:sz w:val="26"/>
      <w:szCs w:val="26"/>
      <w:lang w:val="x-none" w:eastAsia="en-US"/>
    </w:rPr>
  </w:style>
  <w:style w:type="character" w:customStyle="1" w:styleId="NzevChar">
    <w:name w:val="Název Char"/>
    <w:link w:val="Nzev"/>
    <w:uiPriority w:val="10"/>
    <w:rsid w:val="00CD3D70"/>
    <w:rPr>
      <w:rFonts w:ascii="Arial" w:eastAsia="Times New Roman" w:hAnsi="Arial" w:cs="Times New Roman"/>
      <w:b/>
      <w:color w:val="2D55AB"/>
      <w:spacing w:val="5"/>
      <w:kern w:val="28"/>
      <w:sz w:val="36"/>
      <w:szCs w:val="52"/>
      <w:lang w:eastAsia="en-US"/>
    </w:rPr>
  </w:style>
  <w:style w:type="numbering" w:customStyle="1" w:styleId="NumHeading">
    <w:name w:val="Num_Heading"/>
    <w:basedOn w:val="Bezseznamu"/>
    <w:uiPriority w:val="99"/>
    <w:rsid w:val="00D32D5C"/>
    <w:pPr>
      <w:numPr>
        <w:numId w:val="1"/>
      </w:numPr>
    </w:pPr>
  </w:style>
  <w:style w:type="character" w:customStyle="1" w:styleId="Nadpis5Char">
    <w:name w:val="Nadpis 5 Char"/>
    <w:link w:val="Nadpis5"/>
    <w:uiPriority w:val="9"/>
    <w:rsid w:val="00F82EBF"/>
    <w:rPr>
      <w:rFonts w:ascii="Arial" w:eastAsia="Times New Roman" w:hAnsi="Arial"/>
      <w:b/>
      <w:color w:val="002776"/>
      <w:szCs w:val="22"/>
      <w:lang w:val="x-none" w:eastAsia="en-US"/>
    </w:rPr>
  </w:style>
  <w:style w:type="character" w:customStyle="1" w:styleId="Nadpis4Char">
    <w:name w:val="Nadpis 4 Char"/>
    <w:link w:val="Nadpis4"/>
    <w:uiPriority w:val="9"/>
    <w:rsid w:val="00425F5F"/>
    <w:rPr>
      <w:rFonts w:ascii="Arial" w:eastAsia="Times New Roman" w:hAnsi="Arial"/>
      <w:b/>
      <w:bCs/>
      <w:iCs/>
      <w:color w:val="002776"/>
      <w:sz w:val="22"/>
      <w:szCs w:val="22"/>
      <w:lang w:val="x-none" w:eastAsia="en-US"/>
    </w:rPr>
  </w:style>
  <w:style w:type="character" w:customStyle="1" w:styleId="Nadpis3Char">
    <w:name w:val="Nadpis 3 Char"/>
    <w:link w:val="Nadpis3"/>
    <w:uiPriority w:val="9"/>
    <w:rsid w:val="00F82EBF"/>
    <w:rPr>
      <w:rFonts w:ascii="Arial" w:eastAsia="Times New Roman" w:hAnsi="Arial"/>
      <w:b/>
      <w:bCs/>
      <w:color w:val="002776"/>
      <w:sz w:val="24"/>
      <w:szCs w:val="22"/>
      <w:lang w:val="x-none" w:eastAsia="en-US"/>
    </w:rPr>
  </w:style>
  <w:style w:type="paragraph" w:customStyle="1" w:styleId="cpListBullet">
    <w:name w:val="cp_List Bullet"/>
    <w:basedOn w:val="Seznamsodrkami"/>
    <w:qFormat/>
    <w:rsid w:val="00507645"/>
    <w:pPr>
      <w:numPr>
        <w:numId w:val="3"/>
      </w:numPr>
    </w:pPr>
  </w:style>
  <w:style w:type="paragraph" w:styleId="Seznamsodrkami">
    <w:name w:val="List Bullet"/>
    <w:basedOn w:val="Normln"/>
    <w:uiPriority w:val="99"/>
    <w:unhideWhenUsed/>
    <w:rsid w:val="00F870D8"/>
    <w:pPr>
      <w:numPr>
        <w:numId w:val="2"/>
      </w:numPr>
      <w:contextualSpacing/>
    </w:pPr>
  </w:style>
  <w:style w:type="numbering" w:customStyle="1" w:styleId="cpBulleting">
    <w:name w:val="cp_Bulleting"/>
    <w:basedOn w:val="Bezseznamu"/>
    <w:uiPriority w:val="99"/>
    <w:rsid w:val="00507645"/>
    <w:pPr>
      <w:numPr>
        <w:numId w:val="3"/>
      </w:numPr>
    </w:pPr>
  </w:style>
  <w:style w:type="paragraph" w:customStyle="1" w:styleId="cpListBullet2">
    <w:name w:val="cp_List Bullet2"/>
    <w:basedOn w:val="cpListBullet"/>
    <w:qFormat/>
    <w:rsid w:val="004F2FF8"/>
    <w:pPr>
      <w:numPr>
        <w:ilvl w:val="1"/>
      </w:numPr>
    </w:pPr>
  </w:style>
  <w:style w:type="paragraph" w:customStyle="1" w:styleId="cpListBullet3">
    <w:name w:val="cp_List Bullet3"/>
    <w:basedOn w:val="cpListBullet2"/>
    <w:qFormat/>
    <w:rsid w:val="004F2FF8"/>
    <w:pPr>
      <w:numPr>
        <w:ilvl w:val="2"/>
      </w:numPr>
    </w:pPr>
  </w:style>
  <w:style w:type="paragraph" w:customStyle="1" w:styleId="cpListBullet4">
    <w:name w:val="cp_List Bullet4"/>
    <w:basedOn w:val="cpListBullet3"/>
    <w:qFormat/>
    <w:rsid w:val="00507645"/>
    <w:pPr>
      <w:numPr>
        <w:ilvl w:val="3"/>
      </w:numPr>
    </w:pPr>
  </w:style>
  <w:style w:type="paragraph" w:customStyle="1" w:styleId="cpListBullet5">
    <w:name w:val="cp_List Bullet5"/>
    <w:basedOn w:val="cpListBullet4"/>
    <w:qFormat/>
    <w:rsid w:val="004F2FF8"/>
    <w:pPr>
      <w:numPr>
        <w:ilvl w:val="4"/>
      </w:numPr>
    </w:pPr>
  </w:style>
  <w:style w:type="paragraph" w:customStyle="1" w:styleId="cpListNumber">
    <w:name w:val="cp_List Number"/>
    <w:basedOn w:val="cpListBullet"/>
    <w:qFormat/>
    <w:rsid w:val="004A56A7"/>
    <w:pPr>
      <w:numPr>
        <w:numId w:val="4"/>
      </w:numPr>
    </w:pPr>
    <w:rPr>
      <w:b/>
    </w:rPr>
  </w:style>
  <w:style w:type="numbering" w:customStyle="1" w:styleId="cpNumbering">
    <w:name w:val="cp_Numbering"/>
    <w:basedOn w:val="cpBulleting"/>
    <w:uiPriority w:val="99"/>
    <w:rsid w:val="004A56A7"/>
    <w:pPr>
      <w:numPr>
        <w:numId w:val="4"/>
      </w:numPr>
    </w:pPr>
  </w:style>
  <w:style w:type="paragraph" w:customStyle="1" w:styleId="cpListNumber2">
    <w:name w:val="cp_List Number2"/>
    <w:basedOn w:val="cpListNumber"/>
    <w:uiPriority w:val="3"/>
    <w:qFormat/>
    <w:rsid w:val="008C40D3"/>
    <w:pPr>
      <w:numPr>
        <w:ilvl w:val="1"/>
      </w:numPr>
    </w:pPr>
    <w:rPr>
      <w:b w:val="0"/>
    </w:rPr>
  </w:style>
  <w:style w:type="paragraph" w:customStyle="1" w:styleId="cpListNumber3">
    <w:name w:val="cp_List Number3"/>
    <w:basedOn w:val="cpListNumber2"/>
    <w:uiPriority w:val="3"/>
    <w:qFormat/>
    <w:rsid w:val="004A56A7"/>
    <w:pPr>
      <w:numPr>
        <w:ilvl w:val="2"/>
      </w:numPr>
    </w:pPr>
  </w:style>
  <w:style w:type="paragraph" w:customStyle="1" w:styleId="cpListNumber4">
    <w:name w:val="cp_List Number4"/>
    <w:basedOn w:val="cpListNumber3"/>
    <w:uiPriority w:val="3"/>
    <w:qFormat/>
    <w:rsid w:val="004A56A7"/>
    <w:pPr>
      <w:numPr>
        <w:ilvl w:val="3"/>
      </w:numPr>
    </w:pPr>
  </w:style>
  <w:style w:type="paragraph" w:customStyle="1" w:styleId="cpListNumber5">
    <w:name w:val="cp_List Number5"/>
    <w:basedOn w:val="cpListNumber4"/>
    <w:uiPriority w:val="3"/>
    <w:qFormat/>
    <w:rsid w:val="004A56A7"/>
    <w:pPr>
      <w:numPr>
        <w:ilvl w:val="4"/>
      </w:numPr>
    </w:pPr>
  </w:style>
  <w:style w:type="paragraph" w:styleId="Nadpisobsahu">
    <w:name w:val="TOC Heading"/>
    <w:basedOn w:val="Nadpis1"/>
    <w:next w:val="Normln"/>
    <w:uiPriority w:val="39"/>
    <w:qFormat/>
    <w:rsid w:val="00C41461"/>
    <w:pPr>
      <w:numPr>
        <w:numId w:val="0"/>
      </w:numPr>
      <w:spacing w:before="480" w:after="0" w:line="276" w:lineRule="auto"/>
      <w:outlineLvl w:val="9"/>
    </w:pPr>
    <w:rPr>
      <w:rFonts w:ascii="Cambria" w:hAnsi="Cambria"/>
      <w:lang w:val="en-US"/>
    </w:rPr>
  </w:style>
  <w:style w:type="paragraph" w:styleId="Obsah1">
    <w:name w:val="toc 1"/>
    <w:basedOn w:val="Normln"/>
    <w:next w:val="Normln"/>
    <w:autoRedefine/>
    <w:uiPriority w:val="39"/>
    <w:unhideWhenUsed/>
    <w:rsid w:val="00922959"/>
    <w:pPr>
      <w:tabs>
        <w:tab w:val="left" w:pos="397"/>
        <w:tab w:val="right" w:leader="dot" w:pos="9923"/>
      </w:tabs>
      <w:spacing w:after="100"/>
    </w:pPr>
  </w:style>
  <w:style w:type="paragraph" w:styleId="Obsah2">
    <w:name w:val="toc 2"/>
    <w:basedOn w:val="Normln"/>
    <w:next w:val="Normln"/>
    <w:autoRedefine/>
    <w:uiPriority w:val="39"/>
    <w:unhideWhenUsed/>
    <w:rsid w:val="000B0498"/>
    <w:pPr>
      <w:spacing w:after="100"/>
      <w:ind w:left="397"/>
    </w:pPr>
  </w:style>
  <w:style w:type="character" w:styleId="Hypertextovodkaz">
    <w:name w:val="Hyperlink"/>
    <w:unhideWhenUsed/>
    <w:rsid w:val="00C41461"/>
    <w:rPr>
      <w:color w:val="0000FF"/>
      <w:u w:val="single"/>
    </w:rPr>
  </w:style>
  <w:style w:type="paragraph" w:styleId="Obsah3">
    <w:name w:val="toc 3"/>
    <w:basedOn w:val="Normln"/>
    <w:next w:val="Normln"/>
    <w:autoRedefine/>
    <w:uiPriority w:val="39"/>
    <w:unhideWhenUsed/>
    <w:rsid w:val="000B0498"/>
    <w:pPr>
      <w:spacing w:after="100"/>
      <w:ind w:left="964"/>
    </w:pPr>
  </w:style>
  <w:style w:type="paragraph" w:styleId="Obsah4">
    <w:name w:val="toc 4"/>
    <w:basedOn w:val="Normln"/>
    <w:next w:val="Normln"/>
    <w:autoRedefine/>
    <w:uiPriority w:val="39"/>
    <w:unhideWhenUsed/>
    <w:rsid w:val="000B0498"/>
    <w:pPr>
      <w:spacing w:after="100"/>
      <w:ind w:left="1701"/>
    </w:pPr>
  </w:style>
  <w:style w:type="paragraph" w:styleId="Obsah5">
    <w:name w:val="toc 5"/>
    <w:basedOn w:val="Normln"/>
    <w:next w:val="Normln"/>
    <w:autoRedefine/>
    <w:uiPriority w:val="39"/>
    <w:unhideWhenUsed/>
    <w:rsid w:val="000B0498"/>
    <w:pPr>
      <w:spacing w:after="100"/>
      <w:ind w:left="2608"/>
    </w:pPr>
  </w:style>
  <w:style w:type="table" w:styleId="Mkatabulky">
    <w:name w:val="Table Grid"/>
    <w:basedOn w:val="Normlntabulka"/>
    <w:uiPriority w:val="59"/>
    <w:rsid w:val="000342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List-Accent11">
    <w:name w:val="Light List - Accent 11"/>
    <w:basedOn w:val="Normlntabulka"/>
    <w:uiPriority w:val="61"/>
    <w:rsid w:val="000342D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Svtlseznamzvraznn5">
    <w:name w:val="Light List Accent 5"/>
    <w:basedOn w:val="Normlntabulka"/>
    <w:uiPriority w:val="61"/>
    <w:rsid w:val="000342D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cpTable">
    <w:name w:val="cp_Table"/>
    <w:basedOn w:val="Normlntabulka"/>
    <w:uiPriority w:val="99"/>
    <w:rsid w:val="002C74FD"/>
    <w:pPr>
      <w:jc w:val="center"/>
    </w:pPr>
    <w:rPr>
      <w:rFonts w:ascii="Arial" w:hAnsi="Arial"/>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ascii="Arial" w:hAnsi="Arial"/>
        <w:b/>
        <w:color w:val="FFFFFF"/>
        <w:sz w:val="16"/>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EEF"/>
      </w:tcPr>
    </w:tblStylePr>
    <w:tblStylePr w:type="firstCol">
      <w:pPr>
        <w:jc w:val="left"/>
      </w:pPr>
      <w:rPr>
        <w:b/>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pPr>
        <w:jc w:val="left"/>
      </w:pPr>
    </w:tblStylePr>
  </w:style>
  <w:style w:type="paragraph" w:styleId="Titulek">
    <w:name w:val="caption"/>
    <w:basedOn w:val="Normln"/>
    <w:next w:val="Normln"/>
    <w:uiPriority w:val="35"/>
    <w:qFormat/>
    <w:rsid w:val="00FE3A2B"/>
    <w:pPr>
      <w:spacing w:after="200" w:line="240" w:lineRule="auto"/>
    </w:pPr>
    <w:rPr>
      <w:bCs/>
      <w:i/>
      <w:sz w:val="16"/>
      <w:szCs w:val="18"/>
    </w:rPr>
  </w:style>
  <w:style w:type="character" w:styleId="Nzevknihy">
    <w:name w:val="Book Title"/>
    <w:uiPriority w:val="33"/>
    <w:qFormat/>
    <w:rsid w:val="00D32D5C"/>
    <w:rPr>
      <w:b/>
      <w:bCs/>
      <w:smallCaps/>
      <w:spacing w:val="5"/>
    </w:rPr>
  </w:style>
  <w:style w:type="paragraph" w:customStyle="1" w:styleId="P-NORMAL-TEXT">
    <w:name w:val="ČP-NORMAL-TEXT"/>
    <w:rsid w:val="00046655"/>
    <w:pPr>
      <w:tabs>
        <w:tab w:val="left" w:pos="1701"/>
      </w:tabs>
    </w:pPr>
    <w:rPr>
      <w:rFonts w:ascii="Tahoma" w:eastAsia="Times New Roman" w:hAnsi="Tahoma"/>
    </w:rPr>
  </w:style>
  <w:style w:type="paragraph" w:customStyle="1" w:styleId="P-HEAD-1">
    <w:name w:val="ČP-HEAD-1"/>
    <w:basedOn w:val="Normln"/>
    <w:next w:val="P-NORMAL-TEXT"/>
    <w:rsid w:val="00046655"/>
    <w:pPr>
      <w:numPr>
        <w:numId w:val="6"/>
      </w:numPr>
      <w:spacing w:line="240" w:lineRule="auto"/>
    </w:pPr>
    <w:rPr>
      <w:rFonts w:ascii="Tahoma" w:eastAsia="Times New Roman" w:hAnsi="Tahoma"/>
      <w:b/>
      <w:sz w:val="20"/>
      <w:szCs w:val="20"/>
      <w:lang w:eastAsia="cs-CZ"/>
    </w:rPr>
  </w:style>
  <w:style w:type="paragraph" w:customStyle="1" w:styleId="P-HEAD-WBULLETS">
    <w:name w:val="ČP-HEAD-WBULLETS"/>
    <w:basedOn w:val="P-NORMAL-TEXT"/>
    <w:rsid w:val="00046655"/>
    <w:pPr>
      <w:tabs>
        <w:tab w:val="clear" w:pos="1701"/>
        <w:tab w:val="left" w:pos="2835"/>
      </w:tabs>
      <w:ind w:left="340"/>
    </w:pPr>
  </w:style>
  <w:style w:type="character" w:customStyle="1" w:styleId="P-HEAD-WBULLETSChar">
    <w:name w:val="ČP-HEAD-WBULLETS Char"/>
    <w:rsid w:val="00046655"/>
    <w:rPr>
      <w:rFonts w:ascii="Tahoma" w:hAnsi="Tahoma"/>
      <w:lang w:val="cs-CZ" w:eastAsia="cs-CZ" w:bidi="ar-SA"/>
    </w:rPr>
  </w:style>
  <w:style w:type="character" w:styleId="Odkaznakoment">
    <w:name w:val="annotation reference"/>
    <w:uiPriority w:val="99"/>
    <w:semiHidden/>
    <w:unhideWhenUsed/>
    <w:rsid w:val="006E2546"/>
    <w:rPr>
      <w:sz w:val="16"/>
      <w:szCs w:val="16"/>
    </w:rPr>
  </w:style>
  <w:style w:type="paragraph" w:styleId="Textkomente">
    <w:name w:val="annotation text"/>
    <w:basedOn w:val="Normln"/>
    <w:link w:val="TextkomenteChar"/>
    <w:uiPriority w:val="99"/>
    <w:semiHidden/>
    <w:unhideWhenUsed/>
    <w:rsid w:val="006E2546"/>
    <w:pPr>
      <w:spacing w:line="240" w:lineRule="auto"/>
    </w:pPr>
    <w:rPr>
      <w:sz w:val="20"/>
      <w:szCs w:val="20"/>
      <w:lang w:val="x-none"/>
    </w:rPr>
  </w:style>
  <w:style w:type="character" w:customStyle="1" w:styleId="TextkomenteChar">
    <w:name w:val="Text komentáře Char"/>
    <w:link w:val="Textkomente"/>
    <w:uiPriority w:val="99"/>
    <w:semiHidden/>
    <w:rsid w:val="006E2546"/>
    <w:rPr>
      <w:rFonts w:ascii="Times New Roman" w:hAnsi="Times New Roman"/>
      <w:lang w:eastAsia="en-US"/>
    </w:rPr>
  </w:style>
  <w:style w:type="paragraph" w:styleId="Pedmtkomente">
    <w:name w:val="annotation subject"/>
    <w:basedOn w:val="Textkomente"/>
    <w:next w:val="Textkomente"/>
    <w:link w:val="PedmtkomenteChar"/>
    <w:uiPriority w:val="99"/>
    <w:semiHidden/>
    <w:unhideWhenUsed/>
    <w:rsid w:val="006E2546"/>
    <w:rPr>
      <w:b/>
      <w:bCs/>
    </w:rPr>
  </w:style>
  <w:style w:type="character" w:customStyle="1" w:styleId="PedmtkomenteChar">
    <w:name w:val="Předmět komentáře Char"/>
    <w:link w:val="Pedmtkomente"/>
    <w:uiPriority w:val="99"/>
    <w:semiHidden/>
    <w:rsid w:val="006E2546"/>
    <w:rPr>
      <w:rFonts w:ascii="Times New Roman" w:hAnsi="Times New Roman"/>
      <w:b/>
      <w:bCs/>
      <w:lang w:eastAsia="en-US"/>
    </w:rPr>
  </w:style>
  <w:style w:type="paragraph" w:styleId="Odstavecseseznamem">
    <w:name w:val="List Paragraph"/>
    <w:basedOn w:val="Normln"/>
    <w:uiPriority w:val="34"/>
    <w:qFormat/>
    <w:rsid w:val="006E29CE"/>
    <w:pPr>
      <w:ind w:left="720"/>
      <w:contextualSpacing/>
    </w:pPr>
  </w:style>
  <w:style w:type="paragraph" w:styleId="Zkladntext2">
    <w:name w:val="Body Text 2"/>
    <w:basedOn w:val="Normln"/>
    <w:link w:val="Zkladntext2Char"/>
    <w:uiPriority w:val="99"/>
    <w:rsid w:val="002D61D4"/>
    <w:pPr>
      <w:spacing w:line="240" w:lineRule="auto"/>
      <w:jc w:val="both"/>
    </w:pPr>
    <w:rPr>
      <w:rFonts w:eastAsia="Times New Roman"/>
      <w:szCs w:val="24"/>
      <w:lang w:eastAsia="cs-CZ"/>
    </w:rPr>
  </w:style>
  <w:style w:type="character" w:customStyle="1" w:styleId="Zkladntext2Char">
    <w:name w:val="Základní text 2 Char"/>
    <w:basedOn w:val="Standardnpsmoodstavce"/>
    <w:link w:val="Zkladntext2"/>
    <w:uiPriority w:val="99"/>
    <w:rsid w:val="002D61D4"/>
    <w:rPr>
      <w:rFonts w:ascii="Times New Roman" w:eastAsia="Times New Roman" w:hAnsi="Times New Roman"/>
      <w:sz w:val="22"/>
      <w:szCs w:val="24"/>
    </w:rPr>
  </w:style>
  <w:style w:type="paragraph" w:customStyle="1" w:styleId="P-HEAD-ODST">
    <w:name w:val="ČP-HEAD-ODST"/>
    <w:uiPriority w:val="99"/>
    <w:rsid w:val="002D61D4"/>
    <w:pPr>
      <w:numPr>
        <w:numId w:val="7"/>
      </w:numPr>
      <w:jc w:val="center"/>
    </w:pPr>
    <w:rPr>
      <w:rFonts w:ascii="Tahoma" w:eastAsia="Times New Roman" w:hAnsi="Tahoma"/>
      <w:b/>
      <w:sz w:val="24"/>
      <w:szCs w:val="24"/>
    </w:rPr>
  </w:style>
  <w:style w:type="paragraph" w:styleId="Prosttext">
    <w:name w:val="Plain Text"/>
    <w:basedOn w:val="Normln"/>
    <w:link w:val="ProsttextChar"/>
    <w:uiPriority w:val="99"/>
    <w:unhideWhenUsed/>
    <w:rsid w:val="002D61D4"/>
    <w:pPr>
      <w:spacing w:line="240" w:lineRule="auto"/>
    </w:pPr>
    <w:rPr>
      <w:rFonts w:ascii="Consolas" w:hAnsi="Consolas"/>
      <w:sz w:val="21"/>
      <w:szCs w:val="21"/>
    </w:rPr>
  </w:style>
  <w:style w:type="character" w:customStyle="1" w:styleId="ProsttextChar">
    <w:name w:val="Prostý text Char"/>
    <w:basedOn w:val="Standardnpsmoodstavce"/>
    <w:link w:val="Prosttext"/>
    <w:uiPriority w:val="99"/>
    <w:rsid w:val="002D61D4"/>
    <w:rPr>
      <w:rFonts w:ascii="Consolas" w:hAnsi="Consolas"/>
      <w:sz w:val="21"/>
      <w:szCs w:val="21"/>
      <w:lang w:eastAsia="en-US"/>
    </w:rPr>
  </w:style>
  <w:style w:type="paragraph" w:customStyle="1" w:styleId="cpodstavecslovan">
    <w:name w:val="cp_odstavec číslovaný"/>
    <w:basedOn w:val="Normln"/>
    <w:uiPriority w:val="1"/>
    <w:qFormat/>
    <w:rsid w:val="002D61D4"/>
    <w:pPr>
      <w:spacing w:after="260"/>
      <w:ind w:left="851" w:hanging="567"/>
      <w:jc w:val="both"/>
    </w:pPr>
  </w:style>
  <w:style w:type="paragraph" w:styleId="Seznam">
    <w:name w:val="List"/>
    <w:semiHidden/>
    <w:rsid w:val="00867000"/>
    <w:pPr>
      <w:numPr>
        <w:numId w:val="8"/>
      </w:numPr>
      <w:tabs>
        <w:tab w:val="left" w:pos="227"/>
      </w:tabs>
      <w:spacing w:before="240" w:after="60"/>
    </w:pPr>
    <w:rPr>
      <w:rFonts w:ascii="Times New Roman" w:eastAsia="Times New Roman" w:hAnsi="Times New Roman"/>
      <w:noProof/>
      <w:sz w:val="24"/>
      <w:lang w:val="en-US" w:eastAsia="en-US"/>
    </w:rPr>
  </w:style>
  <w:style w:type="paragraph" w:customStyle="1" w:styleId="cpodstavecslovan1">
    <w:name w:val="cp_odstavec číslovaný 1"/>
    <w:basedOn w:val="Normln"/>
    <w:qFormat/>
    <w:rsid w:val="005F4376"/>
    <w:pPr>
      <w:spacing w:after="120"/>
      <w:jc w:val="both"/>
    </w:pPr>
    <w:rPr>
      <w:rFonts w:eastAsia="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164013\LOCALS~1\Temp\Do&#269;asn&#253;%20adres&#225;&#345;%207%20pro%20Universal_bez_kryci_stranky%5b1%5d.zip\Universal_bez_kryci_stranky.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F1E65-7F64-4EED-99D1-0C38E906C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Universal_bez_kryci_stranky.dot</Template>
  <TotalTime>0</TotalTime>
  <Pages>4</Pages>
  <Words>1384</Words>
  <Characters>8168</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
    </vt:vector>
  </TitlesOfParts>
  <Company>Česká pošta</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Panc.Oldrich@cpost.cz</dc:creator>
  <cp:lastModifiedBy>Štěpánová Pavla Bc.</cp:lastModifiedBy>
  <cp:revision>2</cp:revision>
  <cp:lastPrinted>2019-08-07T12:50:00Z</cp:lastPrinted>
  <dcterms:created xsi:type="dcterms:W3CDTF">2020-09-10T13:22:00Z</dcterms:created>
  <dcterms:modified xsi:type="dcterms:W3CDTF">2020-09-10T13:22:00Z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ies>
</file>