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83363" w14:textId="55F3FDBC" w:rsidR="00702C97" w:rsidRDefault="00702C97" w:rsidP="00702C97">
      <w:pPr>
        <w:pStyle w:val="BodyText3"/>
        <w:jc w:val="both"/>
        <w:rPr>
          <w:rFonts w:cs="Tahoma"/>
          <w:sz w:val="20"/>
          <w:szCs w:val="18"/>
        </w:rPr>
      </w:pPr>
      <w:r>
        <w:rPr>
          <w:rFonts w:cs="Tahoma"/>
          <w:sz w:val="20"/>
          <w:szCs w:val="18"/>
        </w:rPr>
        <w:t xml:space="preserve">Příloha č. </w:t>
      </w:r>
      <w:r>
        <w:rPr>
          <w:rFonts w:cs="Tahoma"/>
          <w:sz w:val="20"/>
          <w:szCs w:val="18"/>
        </w:rPr>
        <w:t>2</w:t>
      </w:r>
      <w:r>
        <w:rPr>
          <w:rFonts w:cs="Tahoma"/>
          <w:sz w:val="20"/>
          <w:szCs w:val="18"/>
        </w:rPr>
        <w:t xml:space="preserve"> RKS</w:t>
      </w:r>
    </w:p>
    <w:p w14:paraId="19BB22DF" w14:textId="77777777" w:rsidR="00702C97" w:rsidRDefault="00702C97" w:rsidP="009118ED">
      <w:pPr>
        <w:contextualSpacing/>
        <w:jc w:val="both"/>
        <w:rPr>
          <w:rFonts w:ascii="Arial" w:hAnsi="Arial" w:cs="Arial"/>
          <w:b/>
        </w:rPr>
      </w:pPr>
    </w:p>
    <w:p w14:paraId="66367262" w14:textId="77777777" w:rsidR="00702C97" w:rsidRDefault="00702C97" w:rsidP="009118ED">
      <w:pPr>
        <w:contextualSpacing/>
        <w:jc w:val="both"/>
        <w:rPr>
          <w:rFonts w:ascii="Arial" w:hAnsi="Arial" w:cs="Arial"/>
          <w:b/>
        </w:rPr>
      </w:pPr>
    </w:p>
    <w:p w14:paraId="03075953" w14:textId="2E8CAF86" w:rsidR="00395608" w:rsidRDefault="007435F8" w:rsidP="009118ED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Technická specifikace přístroje - </w:t>
      </w:r>
      <w:r w:rsidR="00BC66C2">
        <w:rPr>
          <w:rFonts w:ascii="Arial" w:hAnsi="Arial" w:cs="Arial"/>
          <w:b/>
        </w:rPr>
        <w:t>acidobazické analyzátory</w:t>
      </w:r>
    </w:p>
    <w:p w14:paraId="4BFA6DD7" w14:textId="77777777" w:rsidR="009118ED" w:rsidRPr="00257B17" w:rsidRDefault="009118ED" w:rsidP="009118ED">
      <w:pPr>
        <w:contextualSpacing/>
        <w:jc w:val="both"/>
        <w:rPr>
          <w:rFonts w:ascii="Arial" w:hAnsi="Arial" w:cs="Arial"/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824"/>
        <w:gridCol w:w="1825"/>
      </w:tblGrid>
      <w:tr w:rsidR="009118ED" w:rsidRPr="00833D8E" w14:paraId="6EF1686F" w14:textId="77777777" w:rsidTr="009647FF">
        <w:tc>
          <w:tcPr>
            <w:tcW w:w="5637" w:type="dxa"/>
            <w:shd w:val="clear" w:color="auto" w:fill="B6DDE8"/>
            <w:vAlign w:val="center"/>
          </w:tcPr>
          <w:p w14:paraId="61549CC9" w14:textId="77777777" w:rsidR="009118ED" w:rsidRPr="005B0BD9" w:rsidRDefault="009118ED" w:rsidP="009647FF">
            <w:pPr>
              <w:autoSpaceDE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B0BD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060FA709" w14:textId="77777777" w:rsidR="009118ED" w:rsidRPr="005B0BD9" w:rsidRDefault="007435F8" w:rsidP="009647FF">
            <w:pPr>
              <w:autoSpaceDE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Účastník</w:t>
            </w:r>
            <w:r w:rsidR="009118ED" w:rsidRPr="007B12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doplní ANO/NE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B6DDE8"/>
            <w:vAlign w:val="center"/>
          </w:tcPr>
          <w:p w14:paraId="2187B9D8" w14:textId="77777777" w:rsidR="009118ED" w:rsidRPr="00F14A8D" w:rsidRDefault="009118ED" w:rsidP="009647FF">
            <w:pPr>
              <w:autoSpaceDE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F14A8D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Poznámka</w:t>
            </w:r>
          </w:p>
        </w:tc>
      </w:tr>
      <w:tr w:rsidR="00BC66C2" w:rsidRPr="00833D8E" w14:paraId="5B2B7E6D" w14:textId="77777777" w:rsidTr="00C85013">
        <w:trPr>
          <w:trHeight w:val="981"/>
        </w:trPr>
        <w:tc>
          <w:tcPr>
            <w:tcW w:w="5637" w:type="dxa"/>
            <w:vAlign w:val="center"/>
          </w:tcPr>
          <w:p w14:paraId="3E4069C7" w14:textId="77777777" w:rsidR="00BC66C2" w:rsidRPr="009E6F1A" w:rsidRDefault="00BC66C2" w:rsidP="00BC66C2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1A">
              <w:rPr>
                <w:rFonts w:ascii="Arial" w:hAnsi="Arial" w:cs="Arial"/>
                <w:sz w:val="20"/>
                <w:szCs w:val="20"/>
              </w:rPr>
              <w:t xml:space="preserve">Měřené parametry: </w:t>
            </w:r>
          </w:p>
          <w:p w14:paraId="4826D015" w14:textId="77777777" w:rsidR="00BC66C2" w:rsidRPr="009E6F1A" w:rsidRDefault="009866E4" w:rsidP="00986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6E4">
              <w:rPr>
                <w:rFonts w:ascii="Arial" w:hAnsi="Arial" w:cs="Arial"/>
                <w:sz w:val="20"/>
                <w:szCs w:val="20"/>
              </w:rPr>
              <w:t xml:space="preserve">pH, pCO2, pO2, celkový hemoglobin ctHb, FO2Hb, FCOHb, FMetHb, FHHb, FHbF, saturace hemoglobinu kyslíkem sO2, cNa+, cK+, cCl-, cCa2+, glukóza, laktát, celkový </w:t>
            </w:r>
            <w:r w:rsidRPr="00DA00FD">
              <w:rPr>
                <w:rFonts w:ascii="Arial" w:hAnsi="Arial" w:cs="Arial"/>
                <w:sz w:val="20"/>
                <w:szCs w:val="20"/>
              </w:rPr>
              <w:t>bilirubin</w:t>
            </w:r>
            <w:r w:rsidR="00DA0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6E4">
              <w:rPr>
                <w:rFonts w:ascii="Arial" w:hAnsi="Arial" w:cs="Arial"/>
                <w:sz w:val="20"/>
                <w:szCs w:val="20"/>
              </w:rPr>
              <w:t>s certifikací pro neonatologické pacienty</w:t>
            </w:r>
            <w:r w:rsidR="00BC66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140998D6" w14:textId="77777777" w:rsidR="00BC66C2" w:rsidRPr="00C904C2" w:rsidRDefault="00C904C2" w:rsidP="009647FF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4F391019" w14:textId="77777777" w:rsidR="00BC66C2" w:rsidRPr="009E6F1A" w:rsidRDefault="00BC66C2" w:rsidP="009647FF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9118ED" w:rsidRPr="00833D8E" w14:paraId="27CD5E59" w14:textId="77777777" w:rsidTr="00C85013">
        <w:trPr>
          <w:trHeight w:val="1264"/>
        </w:trPr>
        <w:tc>
          <w:tcPr>
            <w:tcW w:w="5637" w:type="dxa"/>
            <w:vAlign w:val="center"/>
          </w:tcPr>
          <w:p w14:paraId="2E9DF24B" w14:textId="77777777" w:rsidR="009118ED" w:rsidRPr="009E6F1A" w:rsidRDefault="00BC66C2" w:rsidP="009647FF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D3C">
              <w:rPr>
                <w:rFonts w:ascii="Arial" w:hAnsi="Arial" w:cs="Arial"/>
                <w:sz w:val="20"/>
                <w:szCs w:val="20"/>
              </w:rPr>
              <w:t>Počítané parametry: koncentrace bikarbonátů (HCO</w:t>
            </w:r>
            <w:r w:rsidRPr="002D6D3C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2D6D3C"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  <w:r w:rsidRPr="002D6D3C">
              <w:rPr>
                <w:rFonts w:ascii="Arial" w:hAnsi="Arial" w:cs="Arial"/>
                <w:sz w:val="20"/>
                <w:szCs w:val="20"/>
              </w:rPr>
              <w:t>), base excess v krvi (BE), hematokrit (Hct), pH, pCO</w:t>
            </w:r>
            <w:r w:rsidRPr="002D6D3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2D6D3C">
              <w:rPr>
                <w:rFonts w:ascii="Arial" w:hAnsi="Arial" w:cs="Arial"/>
                <w:sz w:val="20"/>
                <w:szCs w:val="20"/>
              </w:rPr>
              <w:t xml:space="preserve"> a pO</w:t>
            </w:r>
            <w:r w:rsidRPr="002D6D3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2D6D3C">
              <w:rPr>
                <w:rFonts w:ascii="Arial" w:hAnsi="Arial" w:cs="Arial"/>
                <w:sz w:val="20"/>
                <w:szCs w:val="20"/>
              </w:rPr>
              <w:t>korigované na teplotu pacienta, parciální tlak kyslíku při poloviční saturaci hemoglobinu (p50), celková koncentrace CO</w:t>
            </w:r>
            <w:r w:rsidRPr="002D6D3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2D6D3C">
              <w:rPr>
                <w:rFonts w:ascii="Arial" w:hAnsi="Arial" w:cs="Arial"/>
                <w:sz w:val="20"/>
                <w:szCs w:val="20"/>
              </w:rPr>
              <w:t xml:space="preserve"> (tCO</w:t>
            </w:r>
            <w:r w:rsidRPr="002D6D3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2D6D3C">
              <w:rPr>
                <w:rFonts w:ascii="Arial" w:hAnsi="Arial" w:cs="Arial"/>
                <w:sz w:val="20"/>
                <w:szCs w:val="20"/>
              </w:rPr>
              <w:t>), celková koncentrace O</w:t>
            </w:r>
            <w:r w:rsidRPr="002D6D3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2D6D3C">
              <w:rPr>
                <w:rFonts w:ascii="Arial" w:hAnsi="Arial" w:cs="Arial"/>
                <w:sz w:val="20"/>
                <w:szCs w:val="20"/>
              </w:rPr>
              <w:t xml:space="preserve"> (tO</w:t>
            </w:r>
            <w:r w:rsidRPr="002D6D3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2D6D3C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7C64E0CA" w14:textId="77777777" w:rsidR="009118ED" w:rsidRPr="00C904C2" w:rsidRDefault="00C904C2" w:rsidP="009647FF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  <w:bookmarkStart w:id="0" w:name="_GoBack"/>
            <w:bookmarkEnd w:id="0"/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45109267" w14:textId="77777777" w:rsidR="009118ED" w:rsidRPr="009E6F1A" w:rsidRDefault="009118ED" w:rsidP="009647FF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9118ED" w:rsidRPr="00833D8E" w14:paraId="49B15831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0CA94983" w14:textId="77777777" w:rsidR="009118ED" w:rsidRPr="009E6F1A" w:rsidRDefault="00BC66C2" w:rsidP="009647FF">
            <w:pPr>
              <w:pStyle w:val="NoSpacing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E6F1A">
              <w:rPr>
                <w:rFonts w:ascii="Arial" w:hAnsi="Arial" w:cs="Arial"/>
                <w:sz w:val="20"/>
                <w:szCs w:val="20"/>
              </w:rPr>
              <w:t>Analýza plné krve ze stříkačky i z kapiláry.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5575DD83" w14:textId="77777777" w:rsidR="009118ED" w:rsidRPr="00C904C2" w:rsidRDefault="00C904C2" w:rsidP="009647FF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25BFC9E7" w14:textId="77777777" w:rsidR="009118ED" w:rsidRPr="009E6F1A" w:rsidRDefault="009118ED" w:rsidP="009647FF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9118ED" w:rsidRPr="00833D8E" w14:paraId="3A12AB03" w14:textId="77777777" w:rsidTr="00563E84">
        <w:trPr>
          <w:trHeight w:val="879"/>
        </w:trPr>
        <w:tc>
          <w:tcPr>
            <w:tcW w:w="5637" w:type="dxa"/>
            <w:vAlign w:val="center"/>
          </w:tcPr>
          <w:p w14:paraId="33912F43" w14:textId="77777777" w:rsidR="009118ED" w:rsidRPr="00A833C2" w:rsidRDefault="00BC66C2" w:rsidP="0070711A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Kombinace stolních analyzátorů bez senzorových kazet a POC</w:t>
            </w:r>
            <w:r w:rsidR="00C85013">
              <w:rPr>
                <w:rFonts w:ascii="Arial" w:hAnsi="Arial" w:cs="Arial"/>
                <w:sz w:val="20"/>
                <w:szCs w:val="20"/>
              </w:rPr>
              <w:t xml:space="preserve"> analyzátorů s</w:t>
            </w:r>
            <w:r w:rsidR="00701F25">
              <w:rPr>
                <w:rFonts w:ascii="Arial" w:hAnsi="Arial" w:cs="Arial"/>
                <w:sz w:val="20"/>
                <w:szCs w:val="20"/>
              </w:rPr>
              <w:t xml:space="preserve">e senzorovými kazetami </w:t>
            </w:r>
            <w:r w:rsidR="00945F2B">
              <w:rPr>
                <w:rFonts w:ascii="Arial" w:hAnsi="Arial" w:cs="Arial"/>
                <w:sz w:val="20"/>
                <w:szCs w:val="20"/>
              </w:rPr>
              <w:t>(</w:t>
            </w:r>
            <w:r w:rsidR="00701F25">
              <w:rPr>
                <w:rFonts w:ascii="Arial" w:hAnsi="Arial" w:cs="Arial"/>
                <w:sz w:val="20"/>
                <w:szCs w:val="20"/>
              </w:rPr>
              <w:t>v poměru</w:t>
            </w:r>
            <w:r w:rsidR="0070711A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9866E4">
              <w:rPr>
                <w:rFonts w:ascii="Arial" w:hAnsi="Arial" w:cs="Arial"/>
                <w:b/>
                <w:color w:val="00B050"/>
                <w:sz w:val="28"/>
                <w:szCs w:val="20"/>
              </w:rPr>
              <w:t xml:space="preserve"> </w:t>
            </w:r>
            <w:r w:rsidR="00701F25">
              <w:rPr>
                <w:rFonts w:ascii="Arial" w:hAnsi="Arial" w:cs="Arial"/>
                <w:sz w:val="20"/>
                <w:szCs w:val="20"/>
              </w:rPr>
              <w:t>stolních a</w:t>
            </w:r>
            <w:r w:rsidR="00DA0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711A">
              <w:rPr>
                <w:rFonts w:ascii="Arial" w:hAnsi="Arial" w:cs="Arial"/>
                <w:sz w:val="20"/>
                <w:szCs w:val="20"/>
              </w:rPr>
              <w:t>1</w:t>
            </w:r>
            <w:r w:rsidR="00DA0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F25">
              <w:rPr>
                <w:rFonts w:ascii="Arial" w:hAnsi="Arial" w:cs="Arial"/>
                <w:sz w:val="20"/>
                <w:szCs w:val="20"/>
              </w:rPr>
              <w:t>analyzátor</w:t>
            </w:r>
            <w:r w:rsidR="0070711A">
              <w:rPr>
                <w:rFonts w:ascii="Arial" w:hAnsi="Arial" w:cs="Arial"/>
                <w:sz w:val="20"/>
                <w:szCs w:val="20"/>
              </w:rPr>
              <w:t>u</w:t>
            </w:r>
            <w:r w:rsidR="00945F2B">
              <w:rPr>
                <w:rFonts w:ascii="Arial" w:hAnsi="Arial" w:cs="Arial"/>
                <w:sz w:val="20"/>
                <w:szCs w:val="20"/>
              </w:rPr>
              <w:t xml:space="preserve"> se senzorovými kazetami).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63CEE08C" w14:textId="77777777" w:rsidR="009118ED" w:rsidRPr="00C904C2" w:rsidRDefault="00C904C2" w:rsidP="009647FF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12895871" w14:textId="77777777" w:rsidR="009118ED" w:rsidRPr="009E6F1A" w:rsidRDefault="009118ED" w:rsidP="009647FF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C85013" w:rsidRPr="00833D8E" w14:paraId="5CC18BD0" w14:textId="77777777" w:rsidTr="000A4978">
        <w:trPr>
          <w:trHeight w:val="510"/>
        </w:trPr>
        <w:tc>
          <w:tcPr>
            <w:tcW w:w="9286" w:type="dxa"/>
            <w:gridSpan w:val="3"/>
            <w:shd w:val="clear" w:color="auto" w:fill="DBDBDB" w:themeFill="accent3" w:themeFillTint="66"/>
            <w:vAlign w:val="center"/>
          </w:tcPr>
          <w:p w14:paraId="79376243" w14:textId="77777777" w:rsidR="00C85013" w:rsidRPr="00C85013" w:rsidRDefault="00C85013" w:rsidP="00563E84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8501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Společné technické požadavky pro oba typy analyzátorů</w:t>
            </w:r>
          </w:p>
        </w:tc>
      </w:tr>
      <w:tr w:rsidR="00C85013" w:rsidRPr="00833D8E" w14:paraId="1A7641B1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081DA4ED" w14:textId="77777777" w:rsidR="00C85013" w:rsidRPr="009E6F1A" w:rsidRDefault="00C85013" w:rsidP="009647FF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Stejné spektrum požadovaných měřených parametrů</w:t>
            </w:r>
            <w:r w:rsidR="00715D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744CBCF6" w14:textId="77777777" w:rsidR="00C85013" w:rsidRPr="00C904C2" w:rsidRDefault="00C904C2" w:rsidP="009647FF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3EFA114B" w14:textId="77777777" w:rsidR="00C85013" w:rsidRPr="009E6F1A" w:rsidRDefault="00C85013" w:rsidP="009647FF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715DD0" w:rsidRPr="00833D8E" w14:paraId="19EBD2DB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45C2D5CD" w14:textId="77777777" w:rsidR="00715DD0" w:rsidRPr="009E6F1A" w:rsidRDefault="00715DD0" w:rsidP="00715DD0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1A">
              <w:rPr>
                <w:rFonts w:ascii="Arial" w:hAnsi="Arial" w:cs="Arial"/>
                <w:sz w:val="20"/>
                <w:szCs w:val="20"/>
              </w:rPr>
              <w:t>Integrovaný</w:t>
            </w:r>
            <w:r>
              <w:rPr>
                <w:rFonts w:ascii="Arial" w:hAnsi="Arial" w:cs="Arial"/>
                <w:sz w:val="20"/>
                <w:szCs w:val="20"/>
              </w:rPr>
              <w:t xml:space="preserve"> oxy</w:t>
            </w:r>
            <w:r w:rsidRPr="009E6F1A">
              <w:rPr>
                <w:rFonts w:ascii="Arial" w:hAnsi="Arial" w:cs="Arial"/>
                <w:sz w:val="20"/>
                <w:szCs w:val="20"/>
              </w:rPr>
              <w:t xml:space="preserve">metr pro přesné stanovení </w:t>
            </w:r>
            <w:r>
              <w:rPr>
                <w:rFonts w:ascii="Arial" w:hAnsi="Arial" w:cs="Arial"/>
                <w:sz w:val="20"/>
                <w:szCs w:val="20"/>
              </w:rPr>
              <w:t>saturace, Hb a </w:t>
            </w:r>
            <w:r w:rsidRPr="009E6F1A">
              <w:rPr>
                <w:rFonts w:ascii="Arial" w:hAnsi="Arial" w:cs="Arial"/>
                <w:sz w:val="20"/>
                <w:szCs w:val="20"/>
              </w:rPr>
              <w:t>jeh</w:t>
            </w:r>
            <w:r>
              <w:rPr>
                <w:rFonts w:ascii="Arial" w:hAnsi="Arial" w:cs="Arial"/>
                <w:sz w:val="20"/>
                <w:szCs w:val="20"/>
              </w:rPr>
              <w:t>o derivátů</w:t>
            </w:r>
            <w:r w:rsidRPr="009E6F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5E9103A5" w14:textId="77777777" w:rsidR="00715DD0" w:rsidRPr="0016411A" w:rsidRDefault="00C904C2" w:rsidP="00715DD0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7C45B98A" w14:textId="77777777" w:rsidR="00715DD0" w:rsidRPr="009E6F1A" w:rsidRDefault="00715DD0" w:rsidP="00715DD0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715DD0" w:rsidRPr="00833D8E" w14:paraId="2933BCEF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0704C872" w14:textId="77777777" w:rsidR="00715DD0" w:rsidRPr="009E6F1A" w:rsidRDefault="00715DD0" w:rsidP="00715DD0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Oxymet</w:t>
            </w:r>
            <w:r w:rsidRPr="009E6F1A">
              <w:rPr>
                <w:rFonts w:ascii="Arial" w:hAnsi="Arial" w:cs="Arial"/>
                <w:sz w:val="20"/>
                <w:szCs w:val="20"/>
              </w:rPr>
              <w:t>r s automatickým potlačením a korekcí na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9E6F1A">
              <w:rPr>
                <w:rFonts w:ascii="Arial" w:hAnsi="Arial" w:cs="Arial"/>
                <w:sz w:val="20"/>
                <w:szCs w:val="20"/>
              </w:rPr>
              <w:t>interferující látky.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5D8A6952" w14:textId="77777777" w:rsidR="00715DD0" w:rsidRPr="0016411A" w:rsidRDefault="00C904C2" w:rsidP="00715DD0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21F75990" w14:textId="77777777" w:rsidR="00715DD0" w:rsidRPr="009E6F1A" w:rsidRDefault="00715DD0" w:rsidP="00715DD0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715DD0" w:rsidRPr="00833D8E" w14:paraId="11557EEB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40E3EB93" w14:textId="77777777" w:rsidR="00715DD0" w:rsidRPr="009E6F1A" w:rsidRDefault="00715DD0" w:rsidP="00715DD0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1A">
              <w:rPr>
                <w:rFonts w:ascii="Arial" w:hAnsi="Arial" w:cs="Arial"/>
                <w:sz w:val="20"/>
                <w:szCs w:val="20"/>
              </w:rPr>
              <w:t>Detekce chyb při nasátí vzorků (homogenita, bubliny, sraženiny, množství</w:t>
            </w:r>
            <w:r>
              <w:rPr>
                <w:rFonts w:ascii="Arial" w:hAnsi="Arial" w:cs="Arial"/>
                <w:sz w:val="20"/>
                <w:szCs w:val="20"/>
              </w:rPr>
              <w:t xml:space="preserve"> vzorku</w:t>
            </w:r>
            <w:r w:rsidRPr="009E6F1A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02D13C93" w14:textId="77777777" w:rsidR="00715DD0" w:rsidRPr="0016411A" w:rsidRDefault="00C904C2" w:rsidP="00715DD0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300D8289" w14:textId="77777777" w:rsidR="00715DD0" w:rsidRPr="009E6F1A" w:rsidRDefault="00715DD0" w:rsidP="00715DD0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715DD0" w:rsidRPr="00833D8E" w14:paraId="243614FC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17F2A9E2" w14:textId="77777777" w:rsidR="00715DD0" w:rsidRPr="009E6F1A" w:rsidRDefault="00715DD0" w:rsidP="00DC5887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Minimální o</w:t>
            </w:r>
            <w:r w:rsidRPr="009E6F1A">
              <w:rPr>
                <w:rFonts w:ascii="Arial" w:hAnsi="Arial" w:cs="Arial"/>
                <w:sz w:val="20"/>
                <w:szCs w:val="20"/>
              </w:rPr>
              <w:t xml:space="preserve">bjem vzorku- </w:t>
            </w:r>
            <w:r w:rsidRPr="00DA00FD">
              <w:rPr>
                <w:rFonts w:ascii="Arial" w:hAnsi="Arial" w:cs="Arial"/>
                <w:sz w:val="20"/>
                <w:szCs w:val="20"/>
              </w:rPr>
              <w:t xml:space="preserve">maximální objem vzorku </w:t>
            </w:r>
            <w:r w:rsidR="00DC5887" w:rsidRPr="00DA00FD">
              <w:rPr>
                <w:rFonts w:ascii="Arial" w:hAnsi="Arial" w:cs="Arial"/>
                <w:sz w:val="20"/>
                <w:szCs w:val="20"/>
              </w:rPr>
              <w:t>pro všechny měřené parametry 95µ</w:t>
            </w:r>
            <w:r w:rsidRPr="00DA00FD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536BF288" w14:textId="77777777" w:rsidR="00715DD0" w:rsidRPr="0016411A" w:rsidRDefault="00C904C2" w:rsidP="00715DD0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6F44246B" w14:textId="77777777" w:rsidR="00715DD0" w:rsidRPr="009E6F1A" w:rsidRDefault="00715DD0" w:rsidP="00715DD0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6C186E" w:rsidRPr="00833D8E" w14:paraId="21862490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49CFC19E" w14:textId="77777777" w:rsidR="006C186E" w:rsidRDefault="00633F6E" w:rsidP="00715DD0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1A">
              <w:rPr>
                <w:rFonts w:ascii="Arial" w:hAnsi="Arial" w:cs="Arial"/>
                <w:sz w:val="20"/>
                <w:szCs w:val="20"/>
              </w:rPr>
              <w:t xml:space="preserve">Automatická kontrola kvality na minimálně 3 koncentračních úrovních, multiparametrové kontroly </w:t>
            </w:r>
            <w:r>
              <w:rPr>
                <w:rFonts w:ascii="Arial" w:hAnsi="Arial" w:cs="Arial"/>
                <w:sz w:val="20"/>
                <w:szCs w:val="20"/>
              </w:rPr>
              <w:t>(vše v jedné kontrole včetně oxy</w:t>
            </w:r>
            <w:r w:rsidRPr="009E6F1A">
              <w:rPr>
                <w:rFonts w:ascii="Arial" w:hAnsi="Arial" w:cs="Arial"/>
                <w:sz w:val="20"/>
                <w:szCs w:val="20"/>
              </w:rPr>
              <w:t>metrie).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42439B79" w14:textId="77777777" w:rsidR="006C186E" w:rsidRPr="0016411A" w:rsidRDefault="00C904C2" w:rsidP="00715DD0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36B038F7" w14:textId="77777777" w:rsidR="006C186E" w:rsidRPr="009E6F1A" w:rsidRDefault="006C186E" w:rsidP="00715DD0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6C186E" w:rsidRPr="00833D8E" w14:paraId="4914D022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32357112" w14:textId="77777777" w:rsidR="006C186E" w:rsidRDefault="006C186E" w:rsidP="00715DD0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Statistické vyhodnocení kontroly kvality s vizualizací na obrazovce (Levey-Jennings graf).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473F8153" w14:textId="77777777" w:rsidR="006C186E" w:rsidRPr="0016411A" w:rsidRDefault="00C904C2" w:rsidP="00715DD0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6A51396C" w14:textId="77777777" w:rsidR="006C186E" w:rsidRPr="009E6F1A" w:rsidRDefault="006C186E" w:rsidP="00715DD0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DC5887" w:rsidRPr="00833D8E" w14:paraId="7407E122" w14:textId="77777777" w:rsidTr="00DC5887">
        <w:trPr>
          <w:trHeight w:val="5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7168" w14:textId="77777777" w:rsidR="00DC5887" w:rsidRPr="005107B2" w:rsidRDefault="00DC5887" w:rsidP="00E06021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1A">
              <w:rPr>
                <w:rFonts w:ascii="Arial" w:hAnsi="Arial" w:cs="Arial"/>
                <w:sz w:val="20"/>
                <w:szCs w:val="20"/>
              </w:rPr>
              <w:t>Požadavek na zálohu při výpadku elektri</w:t>
            </w:r>
            <w:r>
              <w:rPr>
                <w:rFonts w:ascii="Arial" w:hAnsi="Arial" w:cs="Arial"/>
                <w:sz w:val="20"/>
                <w:szCs w:val="20"/>
              </w:rPr>
              <w:t>cké sítě - UPS v ceně přístrojů.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8072" w14:textId="77777777" w:rsidR="00DC5887" w:rsidRPr="00E102A9" w:rsidRDefault="00C904C2" w:rsidP="00E06021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4AD7" w14:textId="77777777" w:rsidR="00DC5887" w:rsidRPr="009944C8" w:rsidRDefault="00DC5887" w:rsidP="00E06021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715DD0" w:rsidRPr="00833D8E" w14:paraId="23CEF57D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6D54DD0B" w14:textId="77777777" w:rsidR="00715DD0" w:rsidRDefault="00715DD0" w:rsidP="00715DD0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Obslužný SW analyzátoru kompletně v češtině.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6BB0ED66" w14:textId="77777777" w:rsidR="00715DD0" w:rsidRPr="0016411A" w:rsidRDefault="00C904C2" w:rsidP="00715DD0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7D904C60" w14:textId="77777777" w:rsidR="00715DD0" w:rsidRPr="009E6F1A" w:rsidRDefault="00715DD0" w:rsidP="00715DD0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715DD0" w:rsidRPr="00833D8E" w14:paraId="24543B00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55AC8491" w14:textId="77777777" w:rsidR="00715DD0" w:rsidRDefault="00715DD0" w:rsidP="00715DD0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Ovládání přístroje a měření po přihlášení osobního ID operátora.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56668571" w14:textId="77777777" w:rsidR="00715DD0" w:rsidRPr="0016411A" w:rsidRDefault="00C904C2" w:rsidP="00715DD0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361A26EE" w14:textId="77777777" w:rsidR="00715DD0" w:rsidRPr="009E6F1A" w:rsidRDefault="00715DD0" w:rsidP="00715DD0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715DD0" w:rsidRPr="00833D8E" w14:paraId="5102D6CD" w14:textId="77777777" w:rsidTr="00701F25">
        <w:trPr>
          <w:trHeight w:val="557"/>
        </w:trPr>
        <w:tc>
          <w:tcPr>
            <w:tcW w:w="5637" w:type="dxa"/>
            <w:vAlign w:val="center"/>
          </w:tcPr>
          <w:p w14:paraId="4E682DDD" w14:textId="77777777" w:rsidR="00715DD0" w:rsidRDefault="00715DD0" w:rsidP="00715DD0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Načtení osobního ID pacienta, případně dalších uživatelsky zvolených parametrů</w:t>
            </w:r>
            <w:r w:rsidR="007B5A0A" w:rsidRPr="009E6F1A">
              <w:rPr>
                <w:rFonts w:ascii="Arial" w:hAnsi="Arial" w:cs="Arial"/>
                <w:sz w:val="20"/>
                <w:szCs w:val="20"/>
              </w:rPr>
              <w:t>– čtečka čárového kódu i ruční zadání.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0DB46057" w14:textId="77777777" w:rsidR="00715DD0" w:rsidRPr="0016411A" w:rsidRDefault="00C904C2" w:rsidP="00715DD0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5BE0900B" w14:textId="77777777" w:rsidR="00715DD0" w:rsidRPr="009E6F1A" w:rsidRDefault="00715DD0" w:rsidP="00715DD0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6C186E" w:rsidRPr="00833D8E" w14:paraId="52B931BA" w14:textId="77777777" w:rsidTr="000A4978">
        <w:trPr>
          <w:trHeight w:val="510"/>
        </w:trPr>
        <w:tc>
          <w:tcPr>
            <w:tcW w:w="9286" w:type="dxa"/>
            <w:gridSpan w:val="3"/>
            <w:shd w:val="clear" w:color="auto" w:fill="DBDBDB" w:themeFill="accent3" w:themeFillTint="66"/>
            <w:vAlign w:val="center"/>
          </w:tcPr>
          <w:p w14:paraId="74F76A62" w14:textId="77777777" w:rsidR="006C186E" w:rsidRPr="00563E84" w:rsidRDefault="006C186E" w:rsidP="00715DD0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63E84">
              <w:rPr>
                <w:rFonts w:ascii="Arial" w:hAnsi="Arial" w:cs="Arial"/>
                <w:b/>
                <w:sz w:val="20"/>
                <w:szCs w:val="20"/>
              </w:rPr>
              <w:t>Technické požadavky pro stolní analyzátory</w:t>
            </w:r>
          </w:p>
        </w:tc>
      </w:tr>
      <w:tr w:rsidR="00563E84" w:rsidRPr="00833D8E" w14:paraId="1D47A2EB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25B59DCA" w14:textId="77777777" w:rsidR="00563E84" w:rsidRDefault="007B5A0A" w:rsidP="00563E84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Dlouhá záruka na všechny elektrody – uveďte záruku poskytovanou výrobcem (nikoliv životnost).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43731378" w14:textId="77777777" w:rsidR="00563E84" w:rsidRPr="0016411A" w:rsidRDefault="00C904C2" w:rsidP="00563E84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30BEA834" w14:textId="77777777" w:rsidR="00563E84" w:rsidRPr="009E6F1A" w:rsidRDefault="00C904C2" w:rsidP="00563E84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24 měsíců</w:t>
            </w:r>
          </w:p>
        </w:tc>
      </w:tr>
      <w:tr w:rsidR="00563E84" w:rsidRPr="00833D8E" w14:paraId="76E95B06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6041C48C" w14:textId="77777777" w:rsidR="00563E84" w:rsidRDefault="007B5A0A" w:rsidP="00563E84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1A">
              <w:rPr>
                <w:rFonts w:ascii="Arial" w:hAnsi="Arial" w:cs="Arial"/>
                <w:sz w:val="20"/>
                <w:szCs w:val="20"/>
              </w:rPr>
              <w:lastRenderedPageBreak/>
              <w:t>Načtení elektrody, membrány, všech provozních roztoků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9E6F1A">
              <w:rPr>
                <w:rFonts w:ascii="Arial" w:hAnsi="Arial" w:cs="Arial"/>
                <w:sz w:val="20"/>
                <w:szCs w:val="20"/>
              </w:rPr>
              <w:t>kontrolního materiálu přes čárový kód.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561E0B05" w14:textId="77777777" w:rsidR="00563E84" w:rsidRPr="0016411A" w:rsidRDefault="00C904C2" w:rsidP="00563E84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5999A8B0" w14:textId="77777777" w:rsidR="00563E84" w:rsidRPr="009E6F1A" w:rsidRDefault="00563E84" w:rsidP="00563E84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563E84" w:rsidRPr="00833D8E" w14:paraId="7A9EE046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7155F561" w14:textId="77777777" w:rsidR="00563E84" w:rsidRPr="009E6F1A" w:rsidRDefault="007B5A0A" w:rsidP="00563E84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1A">
              <w:rPr>
                <w:rFonts w:ascii="Arial" w:hAnsi="Arial" w:cs="Arial"/>
                <w:sz w:val="20"/>
                <w:szCs w:val="20"/>
              </w:rPr>
              <w:t>Automatická detekce hladiny všech roztoků.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09B3825A" w14:textId="77777777" w:rsidR="00563E84" w:rsidRPr="0016411A" w:rsidRDefault="00C904C2" w:rsidP="00563E84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469C70C4" w14:textId="77777777" w:rsidR="00563E84" w:rsidRPr="009E6F1A" w:rsidRDefault="00563E84" w:rsidP="00563E84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563E84" w:rsidRPr="00833D8E" w14:paraId="4177F966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3C0ECBCD" w14:textId="77777777" w:rsidR="00563E84" w:rsidRPr="009E6F1A" w:rsidRDefault="000A4978" w:rsidP="00563E84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Proplachovací a kalibrační roztoky stabilní do data exspirace.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1EAD4061" w14:textId="77777777" w:rsidR="00563E84" w:rsidRPr="0016411A" w:rsidRDefault="00C904C2" w:rsidP="00563E84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778B98F5" w14:textId="77777777" w:rsidR="00563E84" w:rsidRPr="009E6F1A" w:rsidRDefault="00563E84" w:rsidP="00563E84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A4978" w:rsidRPr="00833D8E" w14:paraId="565BA65A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32A7846A" w14:textId="77777777" w:rsidR="000A4978" w:rsidRPr="009E6F1A" w:rsidRDefault="000A4978" w:rsidP="000A4978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Minimální počet dvoubodových kalibrací – max</w:t>
            </w:r>
            <w:r w:rsidR="00F05F1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4 za 24 hodin.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5F8F9F7D" w14:textId="77777777" w:rsidR="000A4978" w:rsidRPr="0016411A" w:rsidRDefault="00C904C2" w:rsidP="000A4978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23E6551B" w14:textId="77777777" w:rsidR="000A4978" w:rsidRPr="009E6F1A" w:rsidRDefault="000A4978" w:rsidP="000A4978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A4978" w:rsidRPr="00833D8E" w14:paraId="1D23AE30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1509B7B8" w14:textId="77777777" w:rsidR="000A4978" w:rsidRPr="009E6F1A" w:rsidRDefault="000A4978" w:rsidP="000A4978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1A">
              <w:rPr>
                <w:rFonts w:ascii="Arial" w:hAnsi="Arial" w:cs="Arial"/>
                <w:sz w:val="20"/>
                <w:szCs w:val="20"/>
              </w:rPr>
              <w:t xml:space="preserve">Možnost naprogramování vlastní frekvence provádění </w:t>
            </w:r>
            <w:r>
              <w:rPr>
                <w:rFonts w:ascii="Arial" w:hAnsi="Arial" w:cs="Arial"/>
                <w:sz w:val="20"/>
                <w:szCs w:val="20"/>
              </w:rPr>
              <w:t>kontrolních měření i kalibrací (jak úrovně, tak denní četnosti).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30D9CC56" w14:textId="77777777" w:rsidR="000A4978" w:rsidRPr="0016411A" w:rsidRDefault="00C904C2" w:rsidP="000A4978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2E80C574" w14:textId="77777777" w:rsidR="000A4978" w:rsidRPr="009E6F1A" w:rsidRDefault="000A4978" w:rsidP="000A4978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DC5887" w:rsidRPr="00833D8E" w14:paraId="52B39FC6" w14:textId="77777777" w:rsidTr="00E06021">
        <w:trPr>
          <w:trHeight w:val="510"/>
        </w:trPr>
        <w:tc>
          <w:tcPr>
            <w:tcW w:w="5637" w:type="dxa"/>
            <w:vAlign w:val="center"/>
          </w:tcPr>
          <w:p w14:paraId="7CDE2001" w14:textId="77777777" w:rsidR="00DC5887" w:rsidRPr="00DA00FD" w:rsidRDefault="00DC5887" w:rsidP="00E06021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00FD">
              <w:rPr>
                <w:rFonts w:ascii="Arial" w:hAnsi="Arial" w:cs="Arial"/>
                <w:sz w:val="20"/>
                <w:szCs w:val="20"/>
              </w:rPr>
              <w:t>Možnost integrovaného podavače s funkcí automatického promíchání a zpracování vzorků.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707ECBE2" w14:textId="77777777" w:rsidR="00DC5887" w:rsidRPr="0016411A" w:rsidRDefault="00C904C2" w:rsidP="00E06021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4B609151" w14:textId="77777777" w:rsidR="00DC5887" w:rsidRPr="009E6F1A" w:rsidRDefault="00DC5887" w:rsidP="00E06021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A4978" w:rsidRPr="00833D8E" w14:paraId="190DE48F" w14:textId="77777777" w:rsidTr="0011291F">
        <w:trPr>
          <w:trHeight w:val="567"/>
        </w:trPr>
        <w:tc>
          <w:tcPr>
            <w:tcW w:w="5637" w:type="dxa"/>
            <w:vAlign w:val="center"/>
          </w:tcPr>
          <w:p w14:paraId="5005567B" w14:textId="77777777" w:rsidR="000A4978" w:rsidRPr="009E6F1A" w:rsidRDefault="000A4978" w:rsidP="000A4978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F1A">
              <w:rPr>
                <w:rFonts w:ascii="Arial" w:hAnsi="Arial" w:cs="Arial"/>
                <w:sz w:val="20"/>
                <w:szCs w:val="20"/>
              </w:rPr>
              <w:t>Palubní tiskárna s volitelnou možností tisknutí/netisknutí výsledkového protokolu.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77D38792" w14:textId="77777777" w:rsidR="000A4978" w:rsidRPr="0016411A" w:rsidRDefault="00C904C2" w:rsidP="000A4978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0904D28B" w14:textId="77777777" w:rsidR="000A4978" w:rsidRPr="009E6F1A" w:rsidRDefault="000A4978" w:rsidP="000A4978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A4978" w:rsidRPr="00833D8E" w14:paraId="0FB0D344" w14:textId="77777777" w:rsidTr="000A4978">
        <w:trPr>
          <w:trHeight w:val="510"/>
        </w:trPr>
        <w:tc>
          <w:tcPr>
            <w:tcW w:w="9286" w:type="dxa"/>
            <w:gridSpan w:val="3"/>
            <w:shd w:val="clear" w:color="auto" w:fill="DBDBDB" w:themeFill="accent3" w:themeFillTint="66"/>
            <w:vAlign w:val="center"/>
          </w:tcPr>
          <w:p w14:paraId="4505EF0E" w14:textId="77777777" w:rsidR="000A4978" w:rsidRPr="000A4978" w:rsidRDefault="000A4978" w:rsidP="000A4978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A4978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Technické požadavky pro POC analyzátory se senzorovými kazetami</w:t>
            </w:r>
          </w:p>
        </w:tc>
      </w:tr>
      <w:tr w:rsidR="000A4978" w:rsidRPr="00833D8E" w14:paraId="173DFFDF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0DA58FC1" w14:textId="77777777" w:rsidR="000A4978" w:rsidRPr="009E6F1A" w:rsidRDefault="0011291F" w:rsidP="000A4978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Exspirace spotřebního materiálu v analyzátoru minimálně 30 dnů.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23888D7F" w14:textId="77777777" w:rsidR="000A4978" w:rsidRPr="0016411A" w:rsidRDefault="00C904C2" w:rsidP="000A4978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48A90552" w14:textId="77777777" w:rsidR="000A4978" w:rsidRPr="009E6F1A" w:rsidRDefault="000A4978" w:rsidP="000A4978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EF3A5E" w:rsidRPr="00833D8E" w14:paraId="6633FE7D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408DC2C3" w14:textId="77777777" w:rsidR="00EF3A5E" w:rsidRDefault="00EF3A5E" w:rsidP="000A4978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Možnost rozšíření měřených parametrů o močovinu a kreatinin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197587E3" w14:textId="77777777" w:rsidR="00EF3A5E" w:rsidRPr="0016411A" w:rsidRDefault="00C904C2" w:rsidP="000A4978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4CEAC929" w14:textId="77777777" w:rsidR="00EF3A5E" w:rsidRPr="009E6F1A" w:rsidRDefault="00EF3A5E" w:rsidP="000A4978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A4978" w:rsidRPr="00833D8E" w14:paraId="23D3FB3A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73B6DE05" w14:textId="77777777" w:rsidR="000A4978" w:rsidRPr="009E6F1A" w:rsidRDefault="0011291F" w:rsidP="000A4978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Signalizace výměny spotřebních materiálů.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49705323" w14:textId="77777777" w:rsidR="000A4978" w:rsidRPr="0016411A" w:rsidRDefault="00C904C2" w:rsidP="000A4978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75324026" w14:textId="77777777" w:rsidR="000A4978" w:rsidRPr="009E6F1A" w:rsidRDefault="000A4978" w:rsidP="000A4978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A4978" w:rsidRPr="00833D8E" w14:paraId="4DDBCB1F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165998A5" w14:textId="77777777" w:rsidR="000A4978" w:rsidRPr="00DA00FD" w:rsidRDefault="00DC5887" w:rsidP="00DC5887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00FD">
              <w:rPr>
                <w:rFonts w:ascii="Arial" w:hAnsi="Arial" w:cs="Arial"/>
                <w:sz w:val="20"/>
                <w:szCs w:val="20"/>
              </w:rPr>
              <w:t>Integrovaný</w:t>
            </w:r>
            <w:r w:rsidR="0011291F" w:rsidRPr="00DA00FD">
              <w:rPr>
                <w:rFonts w:ascii="Arial" w:hAnsi="Arial" w:cs="Arial"/>
                <w:sz w:val="20"/>
                <w:szCs w:val="20"/>
              </w:rPr>
              <w:t xml:space="preserve"> mixér pro automatické míchání vzorků.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0641AABE" w14:textId="77777777" w:rsidR="000A4978" w:rsidRPr="00E102A9" w:rsidRDefault="00C904C2" w:rsidP="000A4978">
            <w:pPr>
              <w:autoSpaceDE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203FE25D" w14:textId="77777777" w:rsidR="000A4978" w:rsidRPr="00BA238F" w:rsidRDefault="000A4978" w:rsidP="000A4978">
            <w:pPr>
              <w:autoSpaceDE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A4978" w:rsidRPr="00833D8E" w14:paraId="75FB6AA9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040C4D17" w14:textId="77777777" w:rsidR="000A4978" w:rsidRPr="00450AE8" w:rsidRDefault="0011291F" w:rsidP="000A4978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Automatická kalibrace.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66F62340" w14:textId="77777777" w:rsidR="000A4978" w:rsidRPr="00E102A9" w:rsidRDefault="00C904C2" w:rsidP="000A4978">
            <w:pPr>
              <w:autoSpaceDE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0BB33B6D" w14:textId="77777777" w:rsidR="000A4978" w:rsidRPr="00BA238F" w:rsidRDefault="000A4978" w:rsidP="000A4978">
            <w:pPr>
              <w:autoSpaceDE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DC5887" w:rsidRPr="00833D8E" w14:paraId="3FA0CE33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4937B9B9" w14:textId="77777777" w:rsidR="00DC5887" w:rsidRDefault="00EF3A5E" w:rsidP="000A4978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Objem vzorku pro všechny požadované parametry 65 µl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79DCD06F" w14:textId="77777777" w:rsidR="00DC5887" w:rsidRPr="00E102A9" w:rsidRDefault="00C904C2" w:rsidP="000A4978">
            <w:pPr>
              <w:autoSpaceDE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2735378C" w14:textId="77777777" w:rsidR="00DC5887" w:rsidRPr="00BA238F" w:rsidRDefault="00DC5887" w:rsidP="000A4978">
            <w:pPr>
              <w:autoSpaceDE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A4978" w:rsidRPr="00833D8E" w14:paraId="597E1174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17135A4A" w14:textId="77777777" w:rsidR="000A4978" w:rsidRPr="00450AE8" w:rsidRDefault="0011291F" w:rsidP="000A4978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Měření Ca</w:t>
            </w:r>
            <w:r w:rsidRPr="0011291F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  <w:sz w:val="20"/>
                <w:szCs w:val="20"/>
              </w:rPr>
              <w:t xml:space="preserve"> od hodnoty 0,1 mmol/L.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5C7B819A" w14:textId="77777777" w:rsidR="000A4978" w:rsidRPr="00E102A9" w:rsidRDefault="00C904C2" w:rsidP="000A4978">
            <w:pPr>
              <w:autoSpaceDE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0927DE0B" w14:textId="77777777" w:rsidR="000A4978" w:rsidRPr="009944C8" w:rsidRDefault="000A4978" w:rsidP="000A4978">
            <w:pPr>
              <w:autoSpaceDE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A4978" w:rsidRPr="00833D8E" w14:paraId="1C65780B" w14:textId="77777777" w:rsidTr="0011291F">
        <w:trPr>
          <w:trHeight w:val="606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14:paraId="54707797" w14:textId="77777777" w:rsidR="0011291F" w:rsidRPr="009E6F1A" w:rsidRDefault="0011291F" w:rsidP="000A4978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Detekce sraženin a automatický i manuální korekční systém pro jejich odstranění.</w:t>
            </w:r>
          </w:p>
        </w:tc>
        <w:tc>
          <w:tcPr>
            <w:tcW w:w="18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A8BDA2" w14:textId="77777777" w:rsidR="000A4978" w:rsidRPr="00E102A9" w:rsidRDefault="00C904C2" w:rsidP="000A4978">
            <w:pPr>
              <w:autoSpaceDE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7FF1A0" w14:textId="77777777" w:rsidR="000A4978" w:rsidRPr="009944C8" w:rsidRDefault="000A4978" w:rsidP="000A4978">
            <w:pPr>
              <w:autoSpaceDE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11291F" w:rsidRPr="00833D8E" w14:paraId="5501D6DF" w14:textId="77777777" w:rsidTr="009E4E68">
        <w:trPr>
          <w:trHeight w:val="1069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14:paraId="7BBB0D91" w14:textId="77777777" w:rsidR="0011291F" w:rsidRDefault="009E4E68" w:rsidP="000A4978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Nesnížená citlivost měřených parametrů, především Na</w:t>
            </w:r>
            <w:r w:rsidRPr="00701F25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při používání dezinfekčních prostředků obsahujících chlorhexidin, benzalkonium chlorid a ostatní </w:t>
            </w:r>
            <w:r w:rsidR="00701F25">
              <w:rPr>
                <w:rFonts w:ascii="Arial" w:hAnsi="Arial" w:cs="Arial"/>
                <w:sz w:val="20"/>
                <w:szCs w:val="20"/>
              </w:rPr>
              <w:t>kvarterní</w:t>
            </w:r>
            <w:r>
              <w:rPr>
                <w:rFonts w:ascii="Arial" w:hAnsi="Arial" w:cs="Arial"/>
                <w:sz w:val="20"/>
                <w:szCs w:val="20"/>
              </w:rPr>
              <w:t xml:space="preserve"> amoniové sloučeniny v okolí analyzátoru a katetrech.</w:t>
            </w:r>
          </w:p>
        </w:tc>
        <w:tc>
          <w:tcPr>
            <w:tcW w:w="18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047022" w14:textId="77777777" w:rsidR="0011291F" w:rsidRPr="00E102A9" w:rsidRDefault="00C904C2" w:rsidP="000A4978">
            <w:pPr>
              <w:autoSpaceDE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4E96F4" w14:textId="77777777" w:rsidR="0011291F" w:rsidRPr="009944C8" w:rsidRDefault="0011291F" w:rsidP="000A4978">
            <w:pPr>
              <w:autoSpaceDE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A4978" w:rsidRPr="00833D8E" w14:paraId="1D18B025" w14:textId="77777777" w:rsidTr="009647FF">
        <w:trPr>
          <w:trHeight w:val="510"/>
        </w:trPr>
        <w:tc>
          <w:tcPr>
            <w:tcW w:w="9286" w:type="dxa"/>
            <w:gridSpan w:val="3"/>
            <w:shd w:val="clear" w:color="auto" w:fill="D9D9D9" w:themeFill="background1" w:themeFillShade="D9"/>
            <w:vAlign w:val="center"/>
          </w:tcPr>
          <w:p w14:paraId="429D06BF" w14:textId="77777777" w:rsidR="000A4978" w:rsidRPr="00B77C8F" w:rsidRDefault="000A4978" w:rsidP="000A4978">
            <w:pPr>
              <w:autoSpaceDE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  <w:lang w:eastAsia="cs-CZ"/>
              </w:rPr>
            </w:pPr>
            <w:r w:rsidRPr="00B77C8F">
              <w:rPr>
                <w:rFonts w:ascii="Arial" w:hAnsi="Arial" w:cs="Arial"/>
                <w:b/>
                <w:sz w:val="20"/>
                <w:szCs w:val="20"/>
                <w:shd w:val="clear" w:color="auto" w:fill="D9D9D9"/>
                <w:lang w:eastAsia="cs-CZ"/>
              </w:rPr>
              <w:t>Konektivita:</w:t>
            </w:r>
          </w:p>
        </w:tc>
      </w:tr>
      <w:tr w:rsidR="00C369BA" w:rsidRPr="00833D8E" w14:paraId="55C147F5" w14:textId="77777777" w:rsidTr="00C369BA">
        <w:trPr>
          <w:trHeight w:val="793"/>
        </w:trPr>
        <w:tc>
          <w:tcPr>
            <w:tcW w:w="5637" w:type="dxa"/>
            <w:vAlign w:val="center"/>
          </w:tcPr>
          <w:p w14:paraId="572A3E5A" w14:textId="77777777" w:rsidR="00C369BA" w:rsidRPr="009E6F1A" w:rsidRDefault="00EF3A5E" w:rsidP="000A4978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Napojení na aktuální </w:t>
            </w:r>
            <w:r w:rsidRPr="00450AE8">
              <w:rPr>
                <w:rFonts w:ascii="Arial" w:hAnsi="Arial" w:cs="Arial"/>
                <w:sz w:val="20"/>
                <w:szCs w:val="20"/>
              </w:rPr>
              <w:t>LIS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0AA6E468" w14:textId="77777777" w:rsidR="00C369BA" w:rsidRPr="00E102A9" w:rsidRDefault="00C904C2" w:rsidP="000A4978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3F9517DD" w14:textId="77777777" w:rsidR="00C369BA" w:rsidRPr="009944C8" w:rsidRDefault="00C369BA" w:rsidP="000A4978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A4978" w:rsidRPr="00833D8E" w14:paraId="03FDB1D9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72F27790" w14:textId="77777777" w:rsidR="000A4978" w:rsidRPr="005107B2" w:rsidRDefault="00373F75" w:rsidP="00945F2B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6E4">
              <w:rPr>
                <w:rFonts w:ascii="Arial" w:hAnsi="Arial" w:cs="Arial"/>
                <w:sz w:val="20"/>
                <w:szCs w:val="20"/>
              </w:rPr>
              <w:t>Dodávka jedné řídící IT platformy a propojení analyzátorů</w:t>
            </w:r>
            <w:r w:rsidR="00945F2B" w:rsidRPr="009866E4">
              <w:rPr>
                <w:rFonts w:ascii="Arial" w:hAnsi="Arial" w:cs="Arial"/>
                <w:sz w:val="20"/>
                <w:szCs w:val="20"/>
              </w:rPr>
              <w:t>. Platforma bude umožňovat</w:t>
            </w:r>
            <w:r w:rsidRPr="009866E4">
              <w:rPr>
                <w:rFonts w:ascii="Arial" w:hAnsi="Arial" w:cs="Arial"/>
                <w:sz w:val="20"/>
                <w:szCs w:val="20"/>
              </w:rPr>
              <w:t xml:space="preserve"> jejich on-line správu</w:t>
            </w:r>
            <w:r w:rsidR="00945F2B" w:rsidRPr="009866E4">
              <w:rPr>
                <w:rFonts w:ascii="Arial" w:hAnsi="Arial" w:cs="Arial"/>
                <w:sz w:val="20"/>
                <w:szCs w:val="20"/>
              </w:rPr>
              <w:t xml:space="preserve">. Bude zajišťovat </w:t>
            </w:r>
            <w:r w:rsidRPr="009866E4">
              <w:rPr>
                <w:rFonts w:ascii="Arial" w:hAnsi="Arial" w:cs="Arial"/>
                <w:sz w:val="20"/>
                <w:szCs w:val="20"/>
              </w:rPr>
              <w:t xml:space="preserve">sledování kontroly jakosti, </w:t>
            </w:r>
            <w:r w:rsidR="00945F2B" w:rsidRPr="009866E4">
              <w:rPr>
                <w:rFonts w:ascii="Arial" w:hAnsi="Arial" w:cs="Arial"/>
                <w:sz w:val="20"/>
                <w:szCs w:val="20"/>
              </w:rPr>
              <w:t xml:space="preserve">umožňovat </w:t>
            </w:r>
            <w:r w:rsidRPr="009866E4">
              <w:rPr>
                <w:rFonts w:ascii="Arial" w:hAnsi="Arial" w:cs="Arial"/>
                <w:sz w:val="20"/>
                <w:szCs w:val="20"/>
              </w:rPr>
              <w:t>dohled nad všemi zadanými nebo naměřenými daty.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5AE1CF4A" w14:textId="77777777" w:rsidR="000A4978" w:rsidRPr="00E102A9" w:rsidRDefault="00C904C2" w:rsidP="000A4978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23DA2D04" w14:textId="77777777" w:rsidR="000A4978" w:rsidRPr="009944C8" w:rsidRDefault="000A4978" w:rsidP="000A4978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A4978" w:rsidRPr="00833D8E" w14:paraId="12D14BAD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369C7892" w14:textId="77777777" w:rsidR="000A4978" w:rsidRPr="005107B2" w:rsidRDefault="00945F2B" w:rsidP="000A4978">
            <w:pPr>
              <w:pStyle w:val="NoSpacing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Sofware IT platformy kompletně v českém jazyce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2BCA4F5C" w14:textId="77777777" w:rsidR="000A4978" w:rsidRPr="00E102A9" w:rsidRDefault="00C904C2" w:rsidP="000A4978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0B53397E" w14:textId="77777777" w:rsidR="000A4978" w:rsidRPr="009944C8" w:rsidRDefault="000A4978" w:rsidP="000A4978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A4978" w:rsidRPr="00833D8E" w14:paraId="1801BFF7" w14:textId="77777777" w:rsidTr="00C369BA">
        <w:trPr>
          <w:trHeight w:val="643"/>
        </w:trPr>
        <w:tc>
          <w:tcPr>
            <w:tcW w:w="5637" w:type="dxa"/>
            <w:vAlign w:val="center"/>
          </w:tcPr>
          <w:p w14:paraId="0250E878" w14:textId="77777777" w:rsidR="000A4978" w:rsidRPr="005107B2" w:rsidRDefault="00C369BA" w:rsidP="000A4978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Dálková správa zařízení v rámci nemocnice a ze servisního centra dodavatele včetně dnů pracovního klidu.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74F2F50B" w14:textId="77777777" w:rsidR="000A4978" w:rsidRPr="00E102A9" w:rsidRDefault="00C904C2" w:rsidP="000A4978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27AFA2B5" w14:textId="77777777" w:rsidR="000A4978" w:rsidRPr="009944C8" w:rsidRDefault="000A4978" w:rsidP="000A4978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A4978" w:rsidRPr="00833D8E" w14:paraId="2C57CB1E" w14:textId="77777777" w:rsidTr="00C369BA">
        <w:trPr>
          <w:trHeight w:val="893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14:paraId="162E21C7" w14:textId="77777777" w:rsidR="000A4978" w:rsidRPr="005107B2" w:rsidRDefault="000A4978" w:rsidP="000A4978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107B2">
              <w:rPr>
                <w:rFonts w:ascii="Arial" w:hAnsi="Arial"/>
                <w:sz w:val="20"/>
                <w:szCs w:val="20"/>
                <w:lang w:eastAsia="cs-CZ"/>
              </w:rPr>
              <w:t>Bezplatná možnost SW a HW upg</w:t>
            </w:r>
            <w:r>
              <w:rPr>
                <w:rFonts w:ascii="Arial" w:hAnsi="Arial"/>
                <w:sz w:val="20"/>
                <w:szCs w:val="20"/>
                <w:lang w:eastAsia="cs-CZ"/>
              </w:rPr>
              <w:t xml:space="preserve">rade přístroje (v souvislosti s </w:t>
            </w:r>
            <w:r w:rsidRPr="005107B2">
              <w:rPr>
                <w:rFonts w:ascii="Arial" w:hAnsi="Arial"/>
                <w:sz w:val="20"/>
                <w:szCs w:val="20"/>
                <w:lang w:eastAsia="cs-CZ"/>
              </w:rPr>
              <w:t>rozšířením využitelnosti přístroje, zavedení nových parametrů atd.).</w:t>
            </w:r>
          </w:p>
        </w:tc>
        <w:tc>
          <w:tcPr>
            <w:tcW w:w="18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D287DE" w14:textId="77777777" w:rsidR="000A4978" w:rsidRPr="00E102A9" w:rsidRDefault="00C904C2" w:rsidP="000A4978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B30871" w14:textId="77777777" w:rsidR="000A4978" w:rsidRPr="009944C8" w:rsidRDefault="000A4978" w:rsidP="000A4978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A4978" w:rsidRPr="00833D8E" w14:paraId="1A1A01EC" w14:textId="77777777" w:rsidTr="009647FF">
        <w:trPr>
          <w:trHeight w:val="510"/>
        </w:trPr>
        <w:tc>
          <w:tcPr>
            <w:tcW w:w="9286" w:type="dxa"/>
            <w:gridSpan w:val="3"/>
            <w:shd w:val="clear" w:color="auto" w:fill="D9D9D9" w:themeFill="background1" w:themeFillShade="D9"/>
            <w:vAlign w:val="center"/>
          </w:tcPr>
          <w:p w14:paraId="3F18163D" w14:textId="77777777" w:rsidR="000A4978" w:rsidRPr="00C43D21" w:rsidRDefault="000A4978" w:rsidP="000A4978">
            <w:pPr>
              <w:autoSpaceDE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80DB8">
              <w:rPr>
                <w:rFonts w:ascii="Arial" w:hAnsi="Arial" w:cs="Arial"/>
                <w:b/>
                <w:sz w:val="20"/>
                <w:szCs w:val="20"/>
                <w:shd w:val="clear" w:color="auto" w:fill="D9D9D9"/>
                <w:lang w:eastAsia="cs-CZ"/>
              </w:rPr>
              <w:lastRenderedPageBreak/>
              <w:t xml:space="preserve">Další požadavky </w:t>
            </w:r>
            <w:r w:rsidRPr="00280DB8">
              <w:rPr>
                <w:rFonts w:ascii="Arial" w:hAnsi="Arial" w:cs="Arial"/>
                <w:sz w:val="20"/>
                <w:szCs w:val="20"/>
                <w:shd w:val="clear" w:color="auto" w:fill="D9D9D9"/>
                <w:lang w:eastAsia="cs-CZ"/>
              </w:rPr>
              <w:t>(nedílnou součástí předmětu plnění veřejné zakázky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</w:tr>
      <w:tr w:rsidR="000A4978" w:rsidRPr="00833D8E" w14:paraId="6F9180D9" w14:textId="77777777" w:rsidTr="00C369BA">
        <w:trPr>
          <w:trHeight w:val="799"/>
        </w:trPr>
        <w:tc>
          <w:tcPr>
            <w:tcW w:w="5637" w:type="dxa"/>
            <w:vAlign w:val="center"/>
          </w:tcPr>
          <w:p w14:paraId="72C87374" w14:textId="77777777" w:rsidR="000A4978" w:rsidRPr="003A31F8" w:rsidRDefault="000A4978" w:rsidP="000A497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cs-CZ"/>
              </w:rPr>
            </w:pPr>
            <w:r w:rsidRPr="003A31F8">
              <w:rPr>
                <w:rFonts w:ascii="Arial" w:hAnsi="Arial"/>
                <w:sz w:val="20"/>
                <w:szCs w:val="20"/>
                <w:lang w:val="cs-CZ" w:eastAsia="cs-CZ" w:bidi="ar-SA"/>
              </w:rPr>
              <w:t>Bezplatné zajištění autorizovaného servisu a oprav pro zapůjčené přístrojové vybavení nejpozději do 24 hod po nahlášení závady.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0F02163D" w14:textId="77777777" w:rsidR="000A4978" w:rsidRPr="003A31F8" w:rsidRDefault="00C904C2" w:rsidP="000A4978">
            <w:pPr>
              <w:autoSpaceDE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5E1BE79E" w14:textId="77777777" w:rsidR="000A4978" w:rsidRPr="005B0BD9" w:rsidRDefault="000A4978" w:rsidP="000A4978">
            <w:pPr>
              <w:autoSpaceDE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A4978" w:rsidRPr="00833D8E" w14:paraId="53F39458" w14:textId="77777777" w:rsidTr="00C369BA">
        <w:trPr>
          <w:trHeight w:val="555"/>
        </w:trPr>
        <w:tc>
          <w:tcPr>
            <w:tcW w:w="5637" w:type="dxa"/>
            <w:vAlign w:val="center"/>
          </w:tcPr>
          <w:p w14:paraId="3C08E69D" w14:textId="77777777" w:rsidR="000A4978" w:rsidRPr="003A31F8" w:rsidRDefault="000A4978" w:rsidP="000A497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cs-CZ"/>
              </w:rPr>
            </w:pPr>
            <w:r w:rsidRPr="003A31F8">
              <w:rPr>
                <w:rFonts w:ascii="Arial" w:hAnsi="Arial"/>
                <w:sz w:val="20"/>
                <w:szCs w:val="20"/>
                <w:lang w:val="cs-CZ" w:eastAsia="cs-CZ" w:bidi="ar-SA"/>
              </w:rPr>
              <w:t>V případě dílenské/dlouhodobé opravy zápůjčk</w:t>
            </w:r>
            <w:r>
              <w:rPr>
                <w:rFonts w:ascii="Arial" w:hAnsi="Arial"/>
                <w:sz w:val="20"/>
                <w:szCs w:val="20"/>
                <w:lang w:val="cs-CZ" w:eastAsia="cs-CZ" w:bidi="ar-SA"/>
              </w:rPr>
              <w:t>a</w:t>
            </w:r>
            <w:r w:rsidRPr="003A31F8">
              <w:rPr>
                <w:rFonts w:ascii="Arial" w:hAnsi="Arial"/>
                <w:sz w:val="20"/>
                <w:szCs w:val="20"/>
                <w:lang w:val="cs-CZ" w:eastAsia="cs-CZ" w:bidi="ar-SA"/>
              </w:rPr>
              <w:t xml:space="preserve"> stejného </w:t>
            </w:r>
            <w:r>
              <w:rPr>
                <w:rFonts w:ascii="Arial" w:hAnsi="Arial"/>
                <w:sz w:val="20"/>
                <w:szCs w:val="20"/>
                <w:lang w:val="cs-CZ" w:eastAsia="cs-CZ" w:bidi="ar-SA"/>
              </w:rPr>
              <w:t xml:space="preserve">nebo podobného </w:t>
            </w:r>
            <w:r w:rsidRPr="003A31F8">
              <w:rPr>
                <w:rFonts w:ascii="Arial" w:hAnsi="Arial"/>
                <w:sz w:val="20"/>
                <w:szCs w:val="20"/>
                <w:lang w:val="cs-CZ" w:eastAsia="cs-CZ" w:bidi="ar-SA"/>
              </w:rPr>
              <w:t>typu analyzátoru firmou zdarma.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3C83F086" w14:textId="77777777" w:rsidR="000A4978" w:rsidRPr="003A31F8" w:rsidRDefault="00C904C2" w:rsidP="000A4978">
            <w:pPr>
              <w:autoSpaceDE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2CAF1634" w14:textId="77777777" w:rsidR="000A4978" w:rsidRPr="005B0BD9" w:rsidRDefault="000A4978" w:rsidP="000A4978">
            <w:pPr>
              <w:autoSpaceDE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A4978" w:rsidRPr="00833D8E" w14:paraId="74F3DF84" w14:textId="77777777" w:rsidTr="00C369BA">
        <w:trPr>
          <w:trHeight w:val="550"/>
        </w:trPr>
        <w:tc>
          <w:tcPr>
            <w:tcW w:w="5637" w:type="dxa"/>
            <w:vAlign w:val="center"/>
          </w:tcPr>
          <w:p w14:paraId="428ECA70" w14:textId="77777777" w:rsidR="000A4978" w:rsidRPr="003A31F8" w:rsidRDefault="000A4978" w:rsidP="000A497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cs-CZ"/>
              </w:rPr>
            </w:pPr>
            <w:r w:rsidRPr="003A31F8">
              <w:rPr>
                <w:rFonts w:ascii="Arial" w:hAnsi="Arial"/>
                <w:sz w:val="20"/>
                <w:szCs w:val="20"/>
                <w:lang w:val="cs-CZ" w:eastAsia="cs-CZ" w:bidi="ar-SA"/>
              </w:rPr>
              <w:t>Bezplatná technická podpora při řešení technických a analytických problémů (informační servis).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7AF8F5B0" w14:textId="77777777" w:rsidR="000A4978" w:rsidRPr="003A31F8" w:rsidRDefault="00C904C2" w:rsidP="000A4978">
            <w:pPr>
              <w:autoSpaceDE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3BF65A52" w14:textId="77777777" w:rsidR="000A4978" w:rsidRPr="005B0BD9" w:rsidRDefault="000A4978" w:rsidP="000A4978">
            <w:pPr>
              <w:autoSpaceDE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A4978" w:rsidRPr="00833D8E" w14:paraId="1A755EA1" w14:textId="77777777" w:rsidTr="00701F25">
        <w:trPr>
          <w:trHeight w:val="566"/>
        </w:trPr>
        <w:tc>
          <w:tcPr>
            <w:tcW w:w="5637" w:type="dxa"/>
            <w:vAlign w:val="center"/>
          </w:tcPr>
          <w:p w14:paraId="4AD2C217" w14:textId="77777777" w:rsidR="000A4978" w:rsidRPr="003A31F8" w:rsidRDefault="000A4978" w:rsidP="000A4978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0"/>
                <w:lang w:val="cs-CZ"/>
              </w:rPr>
            </w:pPr>
            <w:r w:rsidRPr="003A31F8">
              <w:rPr>
                <w:rFonts w:ascii="Arial" w:hAnsi="Arial"/>
                <w:sz w:val="20"/>
                <w:szCs w:val="20"/>
                <w:lang w:val="cs-CZ" w:eastAsia="cs-CZ" w:bidi="ar-SA"/>
              </w:rPr>
              <w:t>Bezplatná a pravidelná školení (min 1x ročně) obsluhy analyzátorů POCT na jednotlivých pracovištích zadavatele.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126CBF01" w14:textId="77777777" w:rsidR="000A4978" w:rsidRPr="003A31F8" w:rsidRDefault="00C904C2" w:rsidP="000A4978">
            <w:pPr>
              <w:autoSpaceDE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70E84A40" w14:textId="77777777" w:rsidR="000A4978" w:rsidRPr="005B0BD9" w:rsidRDefault="000A4978" w:rsidP="000A4978">
            <w:pPr>
              <w:autoSpaceDE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0A4978" w:rsidRPr="00833D8E" w14:paraId="04F94482" w14:textId="77777777" w:rsidTr="009647FF">
        <w:trPr>
          <w:trHeight w:val="510"/>
        </w:trPr>
        <w:tc>
          <w:tcPr>
            <w:tcW w:w="5637" w:type="dxa"/>
            <w:vAlign w:val="center"/>
          </w:tcPr>
          <w:p w14:paraId="23BC1730" w14:textId="77777777" w:rsidR="000A4978" w:rsidRPr="00C43D21" w:rsidRDefault="000A4978" w:rsidP="000A4978">
            <w:pPr>
              <w:pStyle w:val="NoSpacing"/>
              <w:suppressAutoHyphens/>
              <w:autoSpaceDE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C43D21">
              <w:rPr>
                <w:rFonts w:ascii="Arial" w:hAnsi="Arial" w:cs="Arial"/>
                <w:color w:val="000000"/>
                <w:sz w:val="20"/>
                <w:szCs w:val="20"/>
              </w:rPr>
              <w:t>Hot-line včetně dnů pracovního volna a pracovního klidu.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01D257F8" w14:textId="77777777" w:rsidR="000A4978" w:rsidRPr="003A31F8" w:rsidRDefault="00C904C2" w:rsidP="000A4978">
            <w:pPr>
              <w:autoSpaceDE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904C2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7D857C2A" w14:textId="77777777" w:rsidR="000A4978" w:rsidRPr="005B0BD9" w:rsidRDefault="000A4978" w:rsidP="000A4978">
            <w:pPr>
              <w:autoSpaceDE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14:paraId="69C5F356" w14:textId="77777777" w:rsidR="009118ED" w:rsidRDefault="009118ED" w:rsidP="009118ED"/>
    <w:p w14:paraId="6A15085A" w14:textId="77777777" w:rsidR="00945F2B" w:rsidRDefault="00945F2B" w:rsidP="009118ED"/>
    <w:p w14:paraId="43EE43EE" w14:textId="77777777" w:rsidR="00945F2B" w:rsidRDefault="00945F2B" w:rsidP="009118ED"/>
    <w:sectPr w:rsidR="00945F2B" w:rsidSect="00067F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85712" w14:textId="77777777" w:rsidR="00832325" w:rsidRDefault="00832325" w:rsidP="007435F8">
      <w:pPr>
        <w:spacing w:after="0" w:line="240" w:lineRule="auto"/>
      </w:pPr>
      <w:r>
        <w:separator/>
      </w:r>
    </w:p>
  </w:endnote>
  <w:endnote w:type="continuationSeparator" w:id="0">
    <w:p w14:paraId="4E204FFF" w14:textId="77777777" w:rsidR="00832325" w:rsidRDefault="00832325" w:rsidP="0074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28448908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D958AE" w14:textId="06BA79B0" w:rsidR="007435F8" w:rsidRPr="007435F8" w:rsidRDefault="007435F8">
            <w:pPr>
              <w:pStyle w:val="Footer"/>
              <w:jc w:val="right"/>
              <w:rPr>
                <w:sz w:val="18"/>
                <w:szCs w:val="18"/>
              </w:rPr>
            </w:pPr>
            <w:r w:rsidRPr="007435F8">
              <w:rPr>
                <w:sz w:val="18"/>
                <w:szCs w:val="18"/>
              </w:rPr>
              <w:t xml:space="preserve">Stránka </w:t>
            </w:r>
            <w:r w:rsidR="008E7934" w:rsidRPr="007435F8">
              <w:rPr>
                <w:b/>
                <w:bCs/>
                <w:sz w:val="18"/>
                <w:szCs w:val="18"/>
              </w:rPr>
              <w:fldChar w:fldCharType="begin"/>
            </w:r>
            <w:r w:rsidRPr="007435F8">
              <w:rPr>
                <w:b/>
                <w:bCs/>
                <w:sz w:val="18"/>
                <w:szCs w:val="18"/>
              </w:rPr>
              <w:instrText>PAGE</w:instrText>
            </w:r>
            <w:r w:rsidR="008E7934" w:rsidRPr="007435F8">
              <w:rPr>
                <w:b/>
                <w:bCs/>
                <w:sz w:val="18"/>
                <w:szCs w:val="18"/>
              </w:rPr>
              <w:fldChar w:fldCharType="separate"/>
            </w:r>
            <w:r w:rsidR="00886699">
              <w:rPr>
                <w:b/>
                <w:bCs/>
                <w:noProof/>
                <w:sz w:val="18"/>
                <w:szCs w:val="18"/>
              </w:rPr>
              <w:t>1</w:t>
            </w:r>
            <w:r w:rsidR="008E7934" w:rsidRPr="007435F8">
              <w:rPr>
                <w:b/>
                <w:bCs/>
                <w:sz w:val="18"/>
                <w:szCs w:val="18"/>
              </w:rPr>
              <w:fldChar w:fldCharType="end"/>
            </w:r>
            <w:r w:rsidRPr="007435F8">
              <w:rPr>
                <w:sz w:val="18"/>
                <w:szCs w:val="18"/>
              </w:rPr>
              <w:t xml:space="preserve"> z </w:t>
            </w:r>
            <w:r w:rsidR="008E7934" w:rsidRPr="007435F8">
              <w:rPr>
                <w:b/>
                <w:bCs/>
                <w:sz w:val="18"/>
                <w:szCs w:val="18"/>
              </w:rPr>
              <w:fldChar w:fldCharType="begin"/>
            </w:r>
            <w:r w:rsidRPr="007435F8">
              <w:rPr>
                <w:b/>
                <w:bCs/>
                <w:sz w:val="18"/>
                <w:szCs w:val="18"/>
              </w:rPr>
              <w:instrText>NUMPAGES</w:instrText>
            </w:r>
            <w:r w:rsidR="008E7934" w:rsidRPr="007435F8">
              <w:rPr>
                <w:b/>
                <w:bCs/>
                <w:sz w:val="18"/>
                <w:szCs w:val="18"/>
              </w:rPr>
              <w:fldChar w:fldCharType="separate"/>
            </w:r>
            <w:r w:rsidR="00886699">
              <w:rPr>
                <w:b/>
                <w:bCs/>
                <w:noProof/>
                <w:sz w:val="18"/>
                <w:szCs w:val="18"/>
              </w:rPr>
              <w:t>3</w:t>
            </w:r>
            <w:r w:rsidR="008E7934" w:rsidRPr="007435F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E2BDD1B" w14:textId="77777777" w:rsidR="007435F8" w:rsidRDefault="00743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0381C" w14:textId="77777777" w:rsidR="00832325" w:rsidRDefault="00832325" w:rsidP="007435F8">
      <w:pPr>
        <w:spacing w:after="0" w:line="240" w:lineRule="auto"/>
      </w:pPr>
      <w:r>
        <w:separator/>
      </w:r>
    </w:p>
  </w:footnote>
  <w:footnote w:type="continuationSeparator" w:id="0">
    <w:p w14:paraId="7C08B7CC" w14:textId="77777777" w:rsidR="00832325" w:rsidRDefault="00832325" w:rsidP="00743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ED"/>
    <w:rsid w:val="000A4978"/>
    <w:rsid w:val="0011291F"/>
    <w:rsid w:val="001A6F2A"/>
    <w:rsid w:val="00243723"/>
    <w:rsid w:val="002B4E0A"/>
    <w:rsid w:val="00312C5D"/>
    <w:rsid w:val="00373F75"/>
    <w:rsid w:val="00393227"/>
    <w:rsid w:val="00395608"/>
    <w:rsid w:val="00450AE8"/>
    <w:rsid w:val="004A4CD7"/>
    <w:rsid w:val="00563E84"/>
    <w:rsid w:val="00596B38"/>
    <w:rsid w:val="005F13C4"/>
    <w:rsid w:val="005F4FAD"/>
    <w:rsid w:val="005F5F19"/>
    <w:rsid w:val="00633F6E"/>
    <w:rsid w:val="006C186E"/>
    <w:rsid w:val="00701F25"/>
    <w:rsid w:val="00702C97"/>
    <w:rsid w:val="0070711A"/>
    <w:rsid w:val="00715DD0"/>
    <w:rsid w:val="007430AB"/>
    <w:rsid w:val="007435F8"/>
    <w:rsid w:val="007B5A0A"/>
    <w:rsid w:val="00832325"/>
    <w:rsid w:val="00886699"/>
    <w:rsid w:val="008E7934"/>
    <w:rsid w:val="009118ED"/>
    <w:rsid w:val="00932BDD"/>
    <w:rsid w:val="00945F2B"/>
    <w:rsid w:val="009866E4"/>
    <w:rsid w:val="009E4E68"/>
    <w:rsid w:val="00AC18B3"/>
    <w:rsid w:val="00B07DA6"/>
    <w:rsid w:val="00BC66C2"/>
    <w:rsid w:val="00C369BA"/>
    <w:rsid w:val="00C85013"/>
    <w:rsid w:val="00C904C2"/>
    <w:rsid w:val="00CE6D0C"/>
    <w:rsid w:val="00DA00FD"/>
    <w:rsid w:val="00DC5887"/>
    <w:rsid w:val="00EF3A5E"/>
    <w:rsid w:val="00F05F1E"/>
    <w:rsid w:val="00F376A4"/>
    <w:rsid w:val="00F52EA0"/>
    <w:rsid w:val="00F73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D95C32"/>
  <w15:docId w15:val="{1BB8AAA2-F665-40DF-A686-C04185E6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8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8ED"/>
    <w:pPr>
      <w:ind w:left="720"/>
      <w:contextualSpacing/>
    </w:pPr>
    <w:rPr>
      <w:rFonts w:ascii="Times New Roman" w:eastAsia="Times New Roman" w:hAnsi="Times New Roman"/>
      <w:lang w:val="en-US" w:bidi="en-US"/>
    </w:rPr>
  </w:style>
  <w:style w:type="paragraph" w:styleId="NoSpacing">
    <w:name w:val="No Spacing"/>
    <w:qFormat/>
    <w:rsid w:val="009118E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43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5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3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5F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1E"/>
    <w:rPr>
      <w:rFonts w:ascii="Segoe UI" w:eastAsia="Calibr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semiHidden/>
    <w:rsid w:val="00702C97"/>
    <w:pPr>
      <w:spacing w:after="0" w:line="240" w:lineRule="auto"/>
    </w:pPr>
    <w:rPr>
      <w:rFonts w:ascii="Verdana" w:eastAsia="Times New Roman" w:hAnsi="Verdana" w:cs="Arial"/>
      <w:szCs w:val="24"/>
      <w:lang w:eastAsia="cs-CZ"/>
    </w:rPr>
  </w:style>
  <w:style w:type="character" w:customStyle="1" w:styleId="BodyText3Char">
    <w:name w:val="Body Text 3 Char"/>
    <w:basedOn w:val="DefaultParagraphFont"/>
    <w:link w:val="BodyText3"/>
    <w:semiHidden/>
    <w:rsid w:val="00702C97"/>
    <w:rPr>
      <w:rFonts w:ascii="Verdana" w:eastAsia="Times New Roman" w:hAnsi="Verdana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3B3CB0B3A3D40A7132C8B3732DF78" ma:contentTypeVersion="11" ma:contentTypeDescription="Create a new document." ma:contentTypeScope="" ma:versionID="e485ee5d168aadfe39dc545189dd4358">
  <xsd:schema xmlns:xsd="http://www.w3.org/2001/XMLSchema" xmlns:xs="http://www.w3.org/2001/XMLSchema" xmlns:p="http://schemas.microsoft.com/office/2006/metadata/properties" xmlns:ns3="ccca6529-4149-4f62-9edc-ed0a7f5613e3" xmlns:ns4="26c9350a-a675-4235-b53a-d74df77f8789" targetNamespace="http://schemas.microsoft.com/office/2006/metadata/properties" ma:root="true" ma:fieldsID="eec84319cd101dd3a32ae342be635640" ns3:_="" ns4:_="">
    <xsd:import namespace="ccca6529-4149-4f62-9edc-ed0a7f5613e3"/>
    <xsd:import namespace="26c9350a-a675-4235-b53a-d74df77f87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6529-4149-4f62-9edc-ed0a7f5613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350a-a675-4235-b53a-d74df77f8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56DF0-F3A7-48EC-934D-83E7F70FD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4A2B7-C057-47F7-B7DF-F17E87BC6ADA}">
  <ds:schemaRefs>
    <ds:schemaRef ds:uri="http://schemas.microsoft.com/office/infopath/2007/PartnerControls"/>
    <ds:schemaRef ds:uri="26c9350a-a675-4235-b53a-d74df77f8789"/>
    <ds:schemaRef ds:uri="http://purl.org/dc/elements/1.1/"/>
    <ds:schemaRef ds:uri="http://schemas.microsoft.com/office/2006/metadata/properties"/>
    <ds:schemaRef ds:uri="ccca6529-4149-4f62-9edc-ed0a7f5613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E5D6C7-FC00-46D3-8BBF-4AD78A059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6529-4149-4f62-9edc-ed0a7f5613e3"/>
    <ds:schemaRef ds:uri="26c9350a-a675-4235-b53a-d74df77f8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Čeňková Kateřina</dc:creator>
  <cp:lastModifiedBy>Holeček, Zdeněk ZDEHO</cp:lastModifiedBy>
  <cp:revision>3</cp:revision>
  <cp:lastPrinted>2020-09-08T07:57:00Z</cp:lastPrinted>
  <dcterms:created xsi:type="dcterms:W3CDTF">2020-07-10T12:51:00Z</dcterms:created>
  <dcterms:modified xsi:type="dcterms:W3CDTF">2020-09-08T08:13:00Z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0x010100F063B3CB0B3A3D40A7132C8B3732DF78</vt:lpwstr>
  </property>
</Properties>
</file>