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159" w:line="1" w:lineRule="exact"/>
      </w:pPr>
    </w:p>
    <w:tbl>
      <w:tblPr>
        <w:tblOverlap w:val="never"/>
        <w:jc w:val="center"/>
        <w:tblLayout w:type="fixed"/>
      </w:tblPr>
      <w:tblGrid>
        <w:gridCol w:w="2050"/>
        <w:gridCol w:w="7397"/>
      </w:tblGrid>
      <w:tr>
        <w:trPr>
          <w:trHeight w:val="44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1020" w:right="0" w:firstLine="0"/>
              <w:jc w:val="left"/>
              <w:rPr>
                <w:sz w:val="32"/>
                <w:szCs w:val="32"/>
              </w:rPr>
            </w:pPr>
            <w:r>
              <w:rPr>
                <w:b/>
                <w:bCs/>
                <w:color w:val="000000"/>
                <w:spacing w:val="0"/>
                <w:w w:val="100"/>
                <w:position w:val="0"/>
                <w:sz w:val="32"/>
                <w:szCs w:val="32"/>
                <w:shd w:val="clear" w:color="auto" w:fill="auto"/>
                <w:lang w:val="cs-CZ" w:eastAsia="cs-CZ" w:bidi="cs-CZ"/>
              </w:rPr>
              <w:t>S M L O U V A O D Í L O</w:t>
            </w:r>
          </w:p>
        </w:tc>
      </w:tr>
    </w:tbl>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smlouvy objednatele:</w:t>
      </w:r>
    </w:p>
    <w:tbl>
      <w:tblPr>
        <w:tblOverlap w:val="never"/>
        <w:jc w:val="center"/>
        <w:tblLayout w:type="fixed"/>
      </w:tblPr>
      <w:tblGrid>
        <w:gridCol w:w="2050"/>
        <w:gridCol w:w="7397"/>
      </w:tblGrid>
      <w:tr>
        <w:trPr>
          <w:trHeight w:val="114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smlouvy zhotovitele:</w:t>
            </w:r>
          </w:p>
        </w:tc>
        <w:tc>
          <w:tcPr>
            <w:tcBorders/>
            <w:shd w:val="clear" w:color="auto" w:fill="FFFFFF"/>
            <w:vAlign w:val="bottom"/>
          </w:tcPr>
          <w:p>
            <w:pPr>
              <w:pStyle w:val="Style5"/>
              <w:keepNext w:val="0"/>
              <w:keepLines w:val="0"/>
              <w:widowControl w:val="0"/>
              <w:shd w:val="clear" w:color="auto" w:fill="auto"/>
              <w:bidi w:val="0"/>
              <w:spacing w:before="0" w:after="0" w:line="334"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after="9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center"/>
        <w:tblLayout w:type="fixed"/>
      </w:tblPr>
      <w:tblGrid>
        <w:gridCol w:w="2050"/>
        <w:gridCol w:w="7397"/>
      </w:tblGrid>
      <w:tr>
        <w:trPr>
          <w:trHeight w:val="32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2"/>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z w:val="24"/>
          <w:szCs w:val="24"/>
          <w:shd w:val="clear" w:color="auto" w:fill="auto"/>
          <w:lang w:val="cs-CZ" w:eastAsia="cs-CZ" w:bidi="cs-CZ"/>
        </w:rPr>
        <w:t>a</w:t>
      </w:r>
    </w:p>
    <w:tbl>
      <w:tblPr>
        <w:tblOverlap w:val="never"/>
        <w:jc w:val="center"/>
        <w:tblLayout w:type="fixed"/>
      </w:tblPr>
      <w:tblGrid>
        <w:gridCol w:w="2050"/>
        <w:gridCol w:w="7402"/>
      </w:tblGrid>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Akulab s.r.o.</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Meziříčská 774, Rožnov pod Radhoštěm 756 61</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Ing. Lukášem Haluskou a Mgr. Lubošem Popelákem, jednateli společnosti</w:t>
            </w:r>
          </w:p>
        </w:tc>
      </w:tr>
    </w:tbl>
    <w:p>
      <w:pPr>
        <w:widowControl w:val="0"/>
        <w:spacing w:after="99" w:line="1" w:lineRule="exact"/>
      </w:pP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zapsán v obchodním rejstříku vedeném u Krajského soudu v Ostravě sp. zn. C 80349Osoba pověřená jednat jménem zhotovitele ve věcech</w:t>
      </w:r>
    </w:p>
    <w:p>
      <w:pPr>
        <w:pStyle w:val="Style2"/>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smluvních:</w:t>
      </w:r>
    </w:p>
    <w:tbl>
      <w:tblPr>
        <w:tblOverlap w:val="never"/>
        <w:jc w:val="center"/>
        <w:tblLayout w:type="fixed"/>
      </w:tblPr>
      <w:tblGrid>
        <w:gridCol w:w="2050"/>
        <w:gridCol w:w="7397"/>
      </w:tblGrid>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08677603</w:t>
            </w:r>
          </w:p>
        </w:tc>
      </w:tr>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CZ08677603</w:t>
            </w:r>
          </w:p>
        </w:tc>
      </w:tr>
    </w:tbl>
    <w:p>
      <w:pPr>
        <w:widowControl w:val="0"/>
        <w:spacing w:after="15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Protihluková opatření 2020 - II. etapa měření</w:t>
      </w:r>
      <w:r>
        <w:rPr>
          <w:color w:val="000000"/>
          <w:spacing w:val="0"/>
          <w:w w:val="100"/>
          <w:position w:val="0"/>
          <w:shd w:val="clear" w:color="auto" w:fill="auto"/>
          <w:lang w:val="cs-CZ" w:eastAsia="cs-CZ" w:bidi="cs-CZ"/>
        </w:rPr>
        <w:t>“, a uzavírají níže uvedeného dne, měsíce a roku tuto</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70" w:val="left"/>
        </w:tabs>
        <w:bidi w:val="0"/>
        <w:spacing w:before="0" w:line="276" w:lineRule="auto"/>
        <w:ind w:left="580" w:right="0" w:hanging="580"/>
        <w:jc w:val="both"/>
      </w:pPr>
      <w:r>
        <w:rPr>
          <w:color w:val="000000"/>
          <w:spacing w:val="0"/>
          <w:w w:val="100"/>
          <w:position w:val="0"/>
          <w:shd w:val="clear" w:color="auto" w:fill="auto"/>
          <w:lang w:val="cs-CZ" w:eastAsia="cs-CZ" w:bidi="cs-CZ"/>
        </w:rPr>
        <w:t>Předmětem plnění této smlouvy je závazek provést autorizované (popřípadě akreditované) měření hluku z dopravy v rámci II. etapy a následné vypracování studie, na jejímž základě budou navrhnuta konkrétní protihluková opatření.</w:t>
      </w:r>
    </w:p>
    <w:p>
      <w:pPr>
        <w:pStyle w:val="Style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cs-CZ" w:eastAsia="cs-CZ" w:bidi="cs-CZ"/>
        </w:rPr>
        <w:t xml:space="preserve">2.1.1. </w:t>
      </w:r>
      <w:r>
        <w:rPr>
          <w:b/>
          <w:bCs/>
          <w:color w:val="000000"/>
          <w:spacing w:val="0"/>
          <w:w w:val="100"/>
          <w:position w:val="0"/>
          <w:sz w:val="24"/>
          <w:szCs w:val="24"/>
          <w:shd w:val="clear" w:color="auto" w:fill="auto"/>
          <w:lang w:val="cs-CZ" w:eastAsia="cs-CZ" w:bidi="cs-CZ"/>
        </w:rPr>
        <w:t>Měřené úseky:</w:t>
      </w:r>
    </w:p>
    <w:p>
      <w:pPr>
        <w:pStyle w:val="Style2"/>
        <w:keepNext w:val="0"/>
        <w:keepLines w:val="0"/>
        <w:widowControl w:val="0"/>
        <w:shd w:val="clear" w:color="auto" w:fill="auto"/>
        <w:bidi w:val="0"/>
        <w:spacing w:before="0" w:after="140" w:line="240" w:lineRule="auto"/>
        <w:ind w:left="1300" w:right="0" w:firstLine="0"/>
        <w:jc w:val="left"/>
      </w:pPr>
      <w:r>
        <w:rPr>
          <w:color w:val="000000"/>
          <w:spacing w:val="0"/>
          <w:w w:val="100"/>
          <w:position w:val="0"/>
          <w:shd w:val="clear" w:color="auto" w:fill="auto"/>
          <w:lang w:val="cs-CZ" w:eastAsia="cs-CZ" w:bidi="cs-CZ"/>
        </w:rPr>
        <w:t>Silnice II/348 Polná</w:t>
      </w:r>
    </w:p>
    <w:p>
      <w:pPr>
        <w:pStyle w:val="Style2"/>
        <w:keepNext w:val="0"/>
        <w:keepLines w:val="0"/>
        <w:widowControl w:val="0"/>
        <w:shd w:val="clear" w:color="auto" w:fill="auto"/>
        <w:bidi w:val="0"/>
        <w:spacing w:before="0" w:after="140" w:line="240" w:lineRule="auto"/>
        <w:ind w:left="1300" w:right="0" w:firstLine="0"/>
        <w:jc w:val="left"/>
      </w:pPr>
      <w:r>
        <w:rPr>
          <w:color w:val="000000"/>
          <w:spacing w:val="0"/>
          <w:w w:val="100"/>
          <w:position w:val="0"/>
          <w:shd w:val="clear" w:color="auto" w:fill="auto"/>
          <w:lang w:val="cs-CZ" w:eastAsia="cs-CZ" w:bidi="cs-CZ"/>
        </w:rPr>
        <w:t>Silnice II/405 Brtnice</w:t>
      </w:r>
    </w:p>
    <w:p>
      <w:pPr>
        <w:pStyle w:val="Style2"/>
        <w:keepNext w:val="0"/>
        <w:keepLines w:val="0"/>
        <w:widowControl w:val="0"/>
        <w:numPr>
          <w:ilvl w:val="0"/>
          <w:numId w:val="3"/>
        </w:numPr>
        <w:shd w:val="clear" w:color="auto" w:fill="auto"/>
        <w:tabs>
          <w:tab w:pos="1322" w:val="left"/>
        </w:tabs>
        <w:bidi w:val="0"/>
        <w:spacing w:before="0" w:after="140" w:line="240" w:lineRule="auto"/>
        <w:ind w:left="0" w:right="0" w:firstLine="580"/>
        <w:jc w:val="both"/>
      </w:pPr>
      <w:r>
        <w:rPr>
          <w:b/>
          <w:bCs/>
          <w:color w:val="000000"/>
          <w:spacing w:val="0"/>
          <w:w w:val="100"/>
          <w:position w:val="0"/>
          <w:sz w:val="24"/>
          <w:szCs w:val="24"/>
          <w:shd w:val="clear" w:color="auto" w:fill="auto"/>
          <w:lang w:val="cs-CZ" w:eastAsia="cs-CZ" w:bidi="cs-CZ"/>
        </w:rPr>
        <w:t>Požadavky na zpracování II. etapy:</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both"/>
      </w:pPr>
      <w:r>
        <w:rPr>
          <w:color w:val="000000"/>
          <w:spacing w:val="0"/>
          <w:w w:val="100"/>
          <w:position w:val="0"/>
          <w:shd w:val="clear" w:color="auto" w:fill="auto"/>
          <w:lang w:val="cs-CZ" w:eastAsia="cs-CZ" w:bidi="cs-CZ"/>
        </w:rPr>
        <w:t>Situace širších vztahů se zakreslením výše jmenovaných úseků.</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Podrobná hluková studie - adresní body, chráněné objekty, vertikální průběh hodnot A</w:t>
      </w:r>
      <w:r>
        <w:rPr>
          <w:color w:val="000000"/>
          <w:spacing w:val="0"/>
          <w:w w:val="100"/>
          <w:position w:val="0"/>
          <w:sz w:val="16"/>
          <w:szCs w:val="16"/>
          <w:shd w:val="clear" w:color="auto" w:fill="auto"/>
          <w:lang w:val="cs-CZ" w:eastAsia="cs-CZ" w:bidi="cs-CZ"/>
        </w:rPr>
        <w:t xml:space="preserve">Aeq </w:t>
      </w:r>
      <w:r>
        <w:rPr>
          <w:color w:val="000000"/>
          <w:spacing w:val="0"/>
          <w:w w:val="100"/>
          <w:position w:val="0"/>
          <w:shd w:val="clear" w:color="auto" w:fill="auto"/>
          <w:lang w:val="cs-CZ" w:eastAsia="cs-CZ" w:bidi="cs-CZ"/>
        </w:rPr>
        <w:t>na chráněných fasádách a dvě další krátkodobá měření, každé z nejvíce exponovaných míst.</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Zhotovitel musí garantovat výpočetní výstupy v souladu s platnou legislativou ve smyslu § 31 odst. 1 a 32a zákona č. 258/2000 Sb., o ochraně veřejného zdraví a o změně některých souvisejících zákonů, v platném znění a Nařízení vlády č. 272/2011 Sb., o ochraně zdraví před nepříznivými účinky hluku a vibrací, v platném znění.</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both"/>
      </w:pPr>
      <w:r>
        <w:rPr>
          <w:color w:val="000000"/>
          <w:spacing w:val="0"/>
          <w:w w:val="100"/>
          <w:position w:val="0"/>
          <w:shd w:val="clear" w:color="auto" w:fill="auto"/>
          <w:lang w:val="cs-CZ" w:eastAsia="cs-CZ" w:bidi="cs-CZ"/>
        </w:rPr>
        <w:t>Zařazení zasažených objektů do hlukových pásem.</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both"/>
      </w:pPr>
      <w:r>
        <w:rPr>
          <w:color w:val="000000"/>
          <w:spacing w:val="0"/>
          <w:w w:val="100"/>
          <w:position w:val="0"/>
          <w:shd w:val="clear" w:color="auto" w:fill="auto"/>
          <w:lang w:val="cs-CZ" w:eastAsia="cs-CZ" w:bidi="cs-CZ"/>
        </w:rPr>
        <w:t>Upřesnění počtu exponovaných obyvatel v pásmech.</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Zhodnocení, proč v daném případě nelze hygienické limity dodržet a o kolik je překračován.</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Specifikaci možných opatření proti nadlimitnímu hluku s vyhodnocením jejich účinnosti (snížení hluku).</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left"/>
      </w:pPr>
      <w:r>
        <w:rPr>
          <w:color w:val="000000"/>
          <w:spacing w:val="0"/>
          <w:w w:val="100"/>
          <w:position w:val="0"/>
          <w:shd w:val="clear" w:color="auto" w:fill="auto"/>
          <w:lang w:val="cs-CZ" w:eastAsia="cs-CZ" w:bidi="cs-CZ"/>
        </w:rPr>
        <w:t>Harmonogram postupných kroků další projektové přípravy a realizace.</w:t>
      </w:r>
    </w:p>
    <w:p>
      <w:pPr>
        <w:pStyle w:val="Style2"/>
        <w:keepNext w:val="0"/>
        <w:keepLines w:val="0"/>
        <w:widowControl w:val="0"/>
        <w:shd w:val="clear" w:color="auto" w:fill="auto"/>
        <w:bidi w:val="0"/>
        <w:spacing w:before="0" w:line="240" w:lineRule="auto"/>
        <w:ind w:left="1860" w:right="0" w:hanging="560"/>
        <w:jc w:val="both"/>
      </w:pPr>
      <w:r>
        <w:rPr>
          <w:color w:val="000000"/>
          <w:spacing w:val="0"/>
          <w:w w:val="100"/>
          <w:position w:val="0"/>
          <w:shd w:val="clear" w:color="auto" w:fill="auto"/>
          <w:lang w:val="cs-CZ" w:eastAsia="cs-CZ" w:bidi="cs-CZ"/>
        </w:rPr>
        <w:t>ch) Přizvat k účasti při měření zástupce Krajské hygienické stanice Kraje Vysočina (KHS) a zadavatele.</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left"/>
      </w:pPr>
      <w:r>
        <w:rPr>
          <w:color w:val="000000"/>
          <w:spacing w:val="0"/>
          <w:w w:val="100"/>
          <w:position w:val="0"/>
          <w:shd w:val="clear" w:color="auto" w:fill="auto"/>
          <w:lang w:val="cs-CZ" w:eastAsia="cs-CZ" w:bidi="cs-CZ"/>
        </w:rPr>
        <w:t>Odsouhlasení konceptu před zadáním.</w:t>
      </w:r>
    </w:p>
    <w:p>
      <w:pPr>
        <w:pStyle w:val="Style2"/>
        <w:keepNext w:val="0"/>
        <w:keepLines w:val="0"/>
        <w:widowControl w:val="0"/>
        <w:numPr>
          <w:ilvl w:val="0"/>
          <w:numId w:val="1"/>
        </w:numPr>
        <w:shd w:val="clear" w:color="auto" w:fill="auto"/>
        <w:tabs>
          <w:tab w:pos="570" w:val="left"/>
        </w:tabs>
        <w:bidi w:val="0"/>
        <w:spacing w:before="0" w:line="276" w:lineRule="auto"/>
        <w:ind w:left="580" w:right="0" w:hanging="58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r>
        <w:br w:type="page"/>
      </w:r>
    </w:p>
    <w:p>
      <w:pPr>
        <w:pStyle w:val="Style2"/>
        <w:keepNext w:val="0"/>
        <w:keepLines w:val="0"/>
        <w:widowControl w:val="0"/>
        <w:numPr>
          <w:ilvl w:val="0"/>
          <w:numId w:val="1"/>
        </w:numPr>
        <w:shd w:val="clear" w:color="auto" w:fill="auto"/>
        <w:tabs>
          <w:tab w:pos="574" w:val="left"/>
        </w:tabs>
        <w:bidi w:val="0"/>
        <w:spacing w:before="0" w:after="560" w:line="276" w:lineRule="auto"/>
        <w:ind w:left="580" w:right="0" w:hanging="58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after="0" w:line="329" w:lineRule="auto"/>
        <w:ind w:left="0" w:right="0" w:firstLine="0"/>
        <w:jc w:val="center"/>
      </w:pPr>
      <w:r>
        <w:rPr>
          <w:b/>
          <w:bCs/>
          <w:color w:val="000000"/>
          <w:spacing w:val="0"/>
          <w:w w:val="100"/>
          <w:position w:val="0"/>
          <w:sz w:val="24"/>
          <w:szCs w:val="24"/>
          <w:shd w:val="clear" w:color="auto" w:fill="auto"/>
          <w:lang w:val="cs-CZ" w:eastAsia="cs-CZ" w:bidi="cs-CZ"/>
        </w:rPr>
        <w:t>Článek 3</w:t>
        <w:br/>
        <w:t>Doba plnění</w:t>
      </w:r>
    </w:p>
    <w:p>
      <w:pPr>
        <w:pStyle w:val="Style2"/>
        <w:keepNext w:val="0"/>
        <w:keepLines w:val="0"/>
        <w:widowControl w:val="0"/>
        <w:numPr>
          <w:ilvl w:val="1"/>
          <w:numId w:val="1"/>
        </w:numPr>
        <w:shd w:val="clear" w:color="auto" w:fill="auto"/>
        <w:tabs>
          <w:tab w:pos="574" w:val="left"/>
        </w:tabs>
        <w:bidi w:val="0"/>
        <w:spacing w:before="0" w:after="0" w:line="329" w:lineRule="auto"/>
        <w:ind w:left="0" w:right="0" w:firstLine="0"/>
        <w:jc w:val="left"/>
      </w:pPr>
      <w:r>
        <w:rPr>
          <w:color w:val="000000"/>
          <w:spacing w:val="0"/>
          <w:w w:val="100"/>
          <w:position w:val="0"/>
          <w:shd w:val="clear" w:color="auto" w:fill="auto"/>
          <w:lang w:val="cs-CZ" w:eastAsia="cs-CZ" w:bidi="cs-CZ"/>
        </w:rPr>
        <w:t>Zhotovitel se zavazuje provést dílo na etapy v následujících etapách:</w:t>
      </w:r>
    </w:p>
    <w:p>
      <w:pPr>
        <w:pStyle w:val="Style2"/>
        <w:keepNext w:val="0"/>
        <w:keepLines w:val="0"/>
        <w:widowControl w:val="0"/>
        <w:shd w:val="clear" w:color="auto" w:fill="auto"/>
        <w:tabs>
          <w:tab w:pos="4240" w:val="left"/>
        </w:tabs>
        <w:bidi w:val="0"/>
        <w:spacing w:before="0" w:line="300" w:lineRule="auto"/>
        <w:ind w:left="0" w:right="0" w:firstLine="580"/>
        <w:jc w:val="left"/>
      </w:pPr>
      <w:r>
        <w:rPr>
          <w:color w:val="000000"/>
          <w:spacing w:val="0"/>
          <w:w w:val="100"/>
          <w:position w:val="0"/>
          <w:shd w:val="clear" w:color="auto" w:fill="auto"/>
          <w:lang w:val="cs-CZ" w:eastAsia="cs-CZ" w:bidi="cs-CZ"/>
        </w:rPr>
        <w:t>Lhůta pro měření:</w:t>
        <w:tab/>
      </w:r>
      <w:r>
        <w:rPr>
          <w:b/>
          <w:bCs/>
          <w:color w:val="000000"/>
          <w:spacing w:val="0"/>
          <w:w w:val="100"/>
          <w:position w:val="0"/>
          <w:sz w:val="24"/>
          <w:szCs w:val="24"/>
          <w:shd w:val="clear" w:color="auto" w:fill="auto"/>
          <w:lang w:val="cs-CZ" w:eastAsia="cs-CZ" w:bidi="cs-CZ"/>
        </w:rPr>
        <w:t>od nabytí účinnosti smlouvy do 15. října 2020</w:t>
      </w:r>
    </w:p>
    <w:p>
      <w:pPr>
        <w:pStyle w:val="Style2"/>
        <w:keepNext w:val="0"/>
        <w:keepLines w:val="0"/>
        <w:widowControl w:val="0"/>
        <w:shd w:val="clear" w:color="auto" w:fill="auto"/>
        <w:tabs>
          <w:tab w:pos="4240" w:val="left"/>
        </w:tabs>
        <w:bidi w:val="0"/>
        <w:spacing w:before="0" w:line="300" w:lineRule="auto"/>
        <w:ind w:left="0" w:right="0" w:firstLine="580"/>
        <w:jc w:val="left"/>
      </w:pPr>
      <w:r>
        <w:rPr>
          <w:color w:val="000000"/>
          <w:spacing w:val="0"/>
          <w:w w:val="100"/>
          <w:position w:val="0"/>
          <w:shd w:val="clear" w:color="auto" w:fill="auto"/>
          <w:lang w:val="cs-CZ" w:eastAsia="cs-CZ" w:bidi="cs-CZ"/>
        </w:rPr>
        <w:t>Předání vypracovaných studií:</w:t>
        <w:tab/>
      </w:r>
      <w:r>
        <w:rPr>
          <w:b/>
          <w:bCs/>
          <w:color w:val="000000"/>
          <w:spacing w:val="0"/>
          <w:w w:val="100"/>
          <w:position w:val="0"/>
          <w:sz w:val="24"/>
          <w:szCs w:val="24"/>
          <w:shd w:val="clear" w:color="auto" w:fill="auto"/>
          <w:lang w:val="cs-CZ" w:eastAsia="cs-CZ" w:bidi="cs-CZ"/>
        </w:rPr>
        <w:t>do 16. listopadu 2020</w:t>
      </w:r>
    </w:p>
    <w:p>
      <w:pPr>
        <w:pStyle w:val="Style2"/>
        <w:keepNext w:val="0"/>
        <w:keepLines w:val="0"/>
        <w:widowControl w:val="0"/>
        <w:shd w:val="clear" w:color="auto" w:fill="auto"/>
        <w:bidi w:val="0"/>
        <w:spacing w:before="0" w:line="300" w:lineRule="auto"/>
        <w:ind w:left="0" w:right="0" w:firstLine="580"/>
        <w:jc w:val="left"/>
      </w:pPr>
      <w:r>
        <w:rPr>
          <w:color w:val="000000"/>
          <w:spacing w:val="0"/>
          <w:w w:val="100"/>
          <w:position w:val="0"/>
          <w:shd w:val="clear" w:color="auto" w:fill="auto"/>
          <w:lang w:val="cs-CZ" w:eastAsia="cs-CZ" w:bidi="cs-CZ"/>
        </w:rPr>
        <w:t>Dřívější plnění je možné.</w:t>
      </w:r>
    </w:p>
    <w:p>
      <w:pPr>
        <w:pStyle w:val="Style2"/>
        <w:keepNext w:val="0"/>
        <w:keepLines w:val="0"/>
        <w:widowControl w:val="0"/>
        <w:numPr>
          <w:ilvl w:val="1"/>
          <w:numId w:val="1"/>
        </w:numPr>
        <w:shd w:val="clear" w:color="auto" w:fill="auto"/>
        <w:tabs>
          <w:tab w:pos="574" w:val="left"/>
        </w:tabs>
        <w:bidi w:val="0"/>
        <w:spacing w:before="0" w:line="271" w:lineRule="auto"/>
        <w:ind w:left="580" w:right="0" w:hanging="58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7"/>
        </w:numPr>
        <w:shd w:val="clear" w:color="auto" w:fill="auto"/>
        <w:tabs>
          <w:tab w:pos="1146" w:val="left"/>
        </w:tabs>
        <w:bidi w:val="0"/>
        <w:spacing w:before="0" w:after="0" w:line="300" w:lineRule="auto"/>
        <w:ind w:left="0" w:right="0" w:firstLine="580"/>
        <w:jc w:val="left"/>
      </w:pPr>
      <w:r>
        <w:rPr>
          <w:color w:val="000000"/>
          <w:spacing w:val="0"/>
          <w:w w:val="100"/>
          <w:position w:val="0"/>
          <w:shd w:val="clear" w:color="auto" w:fill="auto"/>
          <w:lang w:val="cs-CZ" w:eastAsia="cs-CZ" w:bidi="cs-CZ"/>
        </w:rPr>
        <w:t>dojde-li během plnění ke změně rozsahu a druhu prací na žádost objednatele,</w:t>
      </w:r>
    </w:p>
    <w:p>
      <w:pPr>
        <w:pStyle w:val="Style2"/>
        <w:keepNext w:val="0"/>
        <w:keepLines w:val="0"/>
        <w:widowControl w:val="0"/>
        <w:numPr>
          <w:ilvl w:val="0"/>
          <w:numId w:val="7"/>
        </w:numPr>
        <w:shd w:val="clear" w:color="auto" w:fill="auto"/>
        <w:tabs>
          <w:tab w:pos="1146" w:val="left"/>
        </w:tabs>
        <w:bidi w:val="0"/>
        <w:spacing w:before="0" w:after="520" w:line="240" w:lineRule="auto"/>
        <w:ind w:left="1140" w:right="0" w:hanging="56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Cena díla</w:t>
      </w:r>
    </w:p>
    <w:p>
      <w:pPr>
        <w:pStyle w:val="Style2"/>
        <w:keepNext w:val="0"/>
        <w:keepLines w:val="0"/>
        <w:widowControl w:val="0"/>
        <w:numPr>
          <w:ilvl w:val="0"/>
          <w:numId w:val="9"/>
        </w:numPr>
        <w:shd w:val="clear" w:color="auto" w:fill="auto"/>
        <w:tabs>
          <w:tab w:pos="57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p>
      <w:pPr>
        <w:pStyle w:val="Style2"/>
        <w:keepNext w:val="0"/>
        <w:keepLines w:val="0"/>
        <w:widowControl w:val="0"/>
        <w:shd w:val="clear" w:color="auto" w:fill="auto"/>
        <w:bidi w:val="0"/>
        <w:spacing w:before="0" w:line="240" w:lineRule="auto"/>
        <w:ind w:left="14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3589020</wp:posOffset>
                </wp:positionH>
                <wp:positionV relativeFrom="paragraph">
                  <wp:posOffset>12700</wp:posOffset>
                </wp:positionV>
                <wp:extent cx="929640" cy="740410"/>
                <wp:wrapSquare wrapText="left"/>
                <wp:docPr id="1" name="Shape 1"/>
                <a:graphic xmlns:a="http://schemas.openxmlformats.org/drawingml/2006/main">
                  <a:graphicData uri="http://schemas.microsoft.com/office/word/2010/wordprocessingShape">
                    <wps:wsp>
                      <wps:cNvSpPr txBox="1"/>
                      <wps:spPr>
                        <a:xfrm>
                          <a:ext cx="929640" cy="74041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130 000,00 Kč</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27 300,00 Kč</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157 300,00 Kč</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2.60000000000002pt;margin-top:1.pt;width:73.200000000000003pt;height:58.299999999999997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130 000,00 Kč</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27 300,00 Kč</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157 300,00 Kč</w:t>
                      </w:r>
                    </w:p>
                  </w:txbxContent>
                </v:textbox>
                <w10:wrap type="square" side="left" anchorx="page"/>
              </v:shape>
            </w:pict>
          </mc:Fallback>
        </mc:AlternateContent>
      </w:r>
      <w:r>
        <w:rPr>
          <w:color w:val="000000"/>
          <w:spacing w:val="0"/>
          <w:w w:val="100"/>
          <w:position w:val="0"/>
          <w:shd w:val="clear" w:color="auto" w:fill="auto"/>
          <w:lang w:val="cs-CZ" w:eastAsia="cs-CZ" w:bidi="cs-CZ"/>
        </w:rPr>
        <w:t>Cena bez DPH</w:t>
      </w:r>
    </w:p>
    <w:p>
      <w:pPr>
        <w:pStyle w:val="Style2"/>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DPH (21%)</w:t>
      </w:r>
    </w:p>
    <w:p>
      <w:pPr>
        <w:pStyle w:val="Style2"/>
        <w:keepNext w:val="0"/>
        <w:keepLines w:val="0"/>
        <w:widowControl w:val="0"/>
        <w:shd w:val="clear" w:color="auto" w:fill="auto"/>
        <w:bidi w:val="0"/>
        <w:spacing w:before="0" w:line="240" w:lineRule="auto"/>
        <w:ind w:left="1440" w:right="0" w:firstLine="0"/>
        <w:jc w:val="left"/>
      </w:pPr>
      <w:r>
        <w:rPr>
          <w:b/>
          <w:bCs/>
          <w:color w:val="000000"/>
          <w:spacing w:val="0"/>
          <w:w w:val="100"/>
          <w:position w:val="0"/>
          <w:sz w:val="24"/>
          <w:szCs w:val="24"/>
          <w:shd w:val="clear" w:color="auto" w:fill="auto"/>
          <w:lang w:val="cs-CZ" w:eastAsia="cs-CZ" w:bidi="cs-CZ"/>
        </w:rPr>
        <w:t>Cena celkem s DPH</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a odměna za užití nehmotného statku dle </w:t>
      </w:r>
      <w:r>
        <w:rPr>
          <w:b/>
          <w:bCs/>
          <w:color w:val="000000"/>
          <w:spacing w:val="0"/>
          <w:w w:val="100"/>
          <w:position w:val="0"/>
          <w:sz w:val="24"/>
          <w:szCs w:val="24"/>
          <w:shd w:val="clear" w:color="auto" w:fill="auto"/>
          <w:lang w:val="cs-CZ" w:eastAsia="cs-CZ" w:bidi="cs-CZ"/>
        </w:rPr>
        <w:t>odst. 9.7</w:t>
      </w:r>
      <w:r>
        <w:rPr>
          <w:color w:val="000000"/>
          <w:spacing w:val="0"/>
          <w:w w:val="100"/>
          <w:position w:val="0"/>
          <w:shd w:val="clear" w:color="auto" w:fill="auto"/>
          <w:lang w:val="cs-CZ" w:eastAsia="cs-CZ" w:bidi="cs-CZ"/>
        </w:rPr>
        <w:t xml:space="preserve">. Cena je dohodnuta jako cena maximální, nejvýše přípustná, pevná po celou dobu plnění. Struktura ceny díla je rozepsána na jednotlivé úseky podle </w:t>
      </w:r>
      <w:r>
        <w:rPr>
          <w:b/>
          <w:bCs/>
          <w:color w:val="000000"/>
          <w:spacing w:val="0"/>
          <w:w w:val="100"/>
          <w:position w:val="0"/>
          <w:sz w:val="24"/>
          <w:szCs w:val="24"/>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9"/>
        </w:numPr>
        <w:shd w:val="clear" w:color="auto" w:fill="auto"/>
        <w:tabs>
          <w:tab w:pos="574"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1"/>
          <w:numId w:val="9"/>
        </w:numPr>
        <w:shd w:val="clear" w:color="auto" w:fill="auto"/>
        <w:tabs>
          <w:tab w:pos="574" w:val="left"/>
        </w:tabs>
        <w:bidi w:val="0"/>
        <w:spacing w:before="0" w:line="276"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w:t>
      </w:r>
      <w:r>
        <w:rPr>
          <w:color w:val="000000"/>
          <w:spacing w:val="0"/>
          <w:w w:val="100"/>
          <w:position w:val="0"/>
          <w:shd w:val="clear" w:color="auto" w:fill="auto"/>
          <w:lang w:val="cs-CZ" w:eastAsia="cs-CZ" w:bidi="cs-CZ"/>
        </w:rPr>
        <w:t xml:space="preserve">postupům ustanovení </w:t>
      </w:r>
      <w:r>
        <w:rPr>
          <w:b/>
          <w:bCs/>
          <w:color w:val="000000"/>
          <w:spacing w:val="0"/>
          <w:w w:val="100"/>
          <w:position w:val="0"/>
          <w:sz w:val="24"/>
          <w:szCs w:val="24"/>
          <w:shd w:val="clear" w:color="auto" w:fill="auto"/>
          <w:lang w:val="cs-CZ" w:eastAsia="cs-CZ" w:bidi="cs-CZ"/>
        </w:rPr>
        <w:t xml:space="preserve">§ 222 zákona č. 134/2016 Sb., o zadávání veřejných zakázek, v platném znění </w:t>
      </w:r>
      <w:r>
        <w:rPr>
          <w:color w:val="000000"/>
          <w:spacing w:val="0"/>
          <w:w w:val="100"/>
          <w:position w:val="0"/>
          <w:shd w:val="clear" w:color="auto" w:fill="auto"/>
          <w:lang w:val="cs-CZ" w:eastAsia="cs-CZ" w:bidi="cs-CZ"/>
        </w:rPr>
        <w:t>(dále jen „ZZVZ“).</w:t>
      </w:r>
    </w:p>
    <w:p>
      <w:pPr>
        <w:pStyle w:val="Style2"/>
        <w:keepNext w:val="0"/>
        <w:keepLines w:val="0"/>
        <w:widowControl w:val="0"/>
        <w:numPr>
          <w:ilvl w:val="1"/>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2"/>
        <w:keepNext w:val="0"/>
        <w:keepLines w:val="0"/>
        <w:widowControl w:val="0"/>
        <w:numPr>
          <w:ilvl w:val="1"/>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z w:val="24"/>
          <w:szCs w:val="24"/>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z w:val="24"/>
          <w:szCs w:val="24"/>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2"/>
        <w:keepNext w:val="0"/>
        <w:keepLines w:val="0"/>
        <w:widowControl w:val="0"/>
        <w:numPr>
          <w:ilvl w:val="1"/>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 a v souladu se ZZVZ.</w:t>
      </w:r>
    </w:p>
    <w:p>
      <w:pPr>
        <w:pStyle w:val="Style2"/>
        <w:keepNext w:val="0"/>
        <w:keepLines w:val="0"/>
        <w:widowControl w:val="0"/>
        <w:numPr>
          <w:ilvl w:val="1"/>
          <w:numId w:val="9"/>
        </w:numPr>
        <w:shd w:val="clear" w:color="auto" w:fill="auto"/>
        <w:tabs>
          <w:tab w:pos="630" w:val="left"/>
        </w:tabs>
        <w:bidi w:val="0"/>
        <w:spacing w:before="0" w:after="560" w:line="276" w:lineRule="auto"/>
        <w:ind w:left="580" w:right="0" w:hanging="580"/>
        <w:jc w:val="both"/>
      </w:pPr>
      <w:r>
        <w:rPr>
          <w:color w:val="000000"/>
          <w:spacing w:val="0"/>
          <w:w w:val="100"/>
          <w:position w:val="0"/>
          <w:shd w:val="clear" w:color="auto" w:fill="auto"/>
          <w:lang w:val="cs-CZ" w:eastAsia="cs-CZ" w:bidi="cs-CZ"/>
        </w:rP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pPr>
        <w:pStyle w:val="Style2"/>
        <w:keepNext w:val="0"/>
        <w:keepLines w:val="0"/>
        <w:widowControl w:val="0"/>
        <w:shd w:val="clear" w:color="auto" w:fill="auto"/>
        <w:bidi w:val="0"/>
        <w:spacing w:before="0" w:after="60" w:line="276"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
        <w:keepNext w:val="0"/>
        <w:keepLines w:val="0"/>
        <w:widowControl w:val="0"/>
        <w:shd w:val="clear" w:color="auto" w:fill="auto"/>
        <w:bidi w:val="0"/>
        <w:spacing w:before="0" w:after="60" w:line="276" w:lineRule="auto"/>
        <w:ind w:left="0" w:right="0" w:firstLine="0"/>
        <w:jc w:val="center"/>
      </w:pPr>
      <w:r>
        <w:rPr>
          <w:b/>
          <w:bCs/>
          <w:color w:val="000000"/>
          <w:spacing w:val="0"/>
          <w:w w:val="100"/>
          <w:position w:val="0"/>
          <w:sz w:val="24"/>
          <w:szCs w:val="24"/>
          <w:shd w:val="clear" w:color="auto" w:fill="auto"/>
          <w:lang w:val="cs-CZ" w:eastAsia="cs-CZ" w:bidi="cs-CZ"/>
        </w:rPr>
        <w:t>Způsob provádění díla a dodání díla</w:t>
      </w:r>
    </w:p>
    <w:p>
      <w:pPr>
        <w:pStyle w:val="Style2"/>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dodavatel provádí dílo v rozporu se svými povinnostmi, je objednatel oprávněn dožadovat se toho, aby dodavatel odstranil vady vzniklé vadným prováděním a dílo prováděl řádným způsobem.</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Dodavatel je povinen upozornit objednatele bez zbytečného odkladu na nevhodnou povahu věcí převzatých od objednatele nebo pokynů daných mu objednatelem k provedení díla, jestliže dodavatel mohl tuto nevhodnost zjistit při vynaložení odborné péče.</w:t>
      </w:r>
    </w:p>
    <w:p>
      <w:pPr>
        <w:pStyle w:val="Style2"/>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Zjistí-li dodavatel při provádění díla skryté překážky, týkající se věci, na níž má být provedena oprava nebo úprava, nebo místa, kde má být dílo provedeno, a tyto překážky znemožňují provedení díla dohodnutým způsobem, je dodavatel povinen to oznámit bez zbytečného odkladu objednateli a navrhnout mu změnu díla. Do dosažení dohody o změně díla je dodavatel oprávněn provádění díla přerušit. Nedohodnou-li se strany v přiměřené lhůtě na změně smlouvy, může kterákoli ze stran od smlouvy odstoupit.</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 splnění závazku povinen v místě plnění předat dílo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předáno objednateli v tištěné podobě ve 2 paré a 1 v elektronické podobě na datovém nosiči.</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Osoby oprávněné k předání a převzetí díla (oprávněné jednat ve věcech plnění) jsou uvedeny v </w:t>
      </w:r>
      <w:r>
        <w:rPr>
          <w:b/>
          <w:bCs/>
          <w:color w:val="000000"/>
          <w:spacing w:val="0"/>
          <w:w w:val="100"/>
          <w:position w:val="0"/>
          <w:sz w:val="24"/>
          <w:szCs w:val="24"/>
          <w:shd w:val="clear" w:color="auto" w:fill="auto"/>
          <w:lang w:val="cs-CZ" w:eastAsia="cs-CZ" w:bidi="cs-CZ"/>
        </w:rPr>
        <w:t>příloze A2.</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Tyto osoby jsou oprávněny za sebe určit zástupce.</w:t>
      </w:r>
    </w:p>
    <w:p>
      <w:pPr>
        <w:pStyle w:val="Style2"/>
        <w:keepNext w:val="0"/>
        <w:keepLines w:val="0"/>
        <w:widowControl w:val="0"/>
        <w:numPr>
          <w:ilvl w:val="0"/>
          <w:numId w:val="11"/>
        </w:numPr>
        <w:shd w:val="clear" w:color="auto" w:fill="auto"/>
        <w:tabs>
          <w:tab w:pos="566" w:val="left"/>
        </w:tabs>
        <w:bidi w:val="0"/>
        <w:spacing w:before="0" w:after="520" w:line="240" w:lineRule="auto"/>
        <w:ind w:left="580" w:right="0" w:hanging="580"/>
        <w:jc w:val="both"/>
      </w:pPr>
      <w:r>
        <w:rPr>
          <w:b/>
          <w:bCs/>
          <w:color w:val="000000"/>
          <w:spacing w:val="0"/>
          <w:w w:val="100"/>
          <w:position w:val="0"/>
          <w:sz w:val="24"/>
          <w:szCs w:val="24"/>
          <w:shd w:val="clear" w:color="auto" w:fill="auto"/>
          <w:lang w:val="cs-CZ" w:eastAsia="cs-CZ" w:bidi="cs-CZ"/>
        </w:rPr>
        <w:t>Místem předání díla je</w:t>
      </w:r>
      <w:r>
        <w:rPr>
          <w:color w:val="000000"/>
          <w:spacing w:val="0"/>
          <w:w w:val="100"/>
          <w:position w:val="0"/>
          <w:shd w:val="clear" w:color="auto" w:fill="auto"/>
          <w:lang w:val="cs-CZ" w:eastAsia="cs-CZ" w:bidi="cs-CZ"/>
        </w:rPr>
        <w:t>: Krajská správa a údržba silnic Vysočiny, příspěvková organizace, pracoviště Žďár nad Sázavou, Jihlavská 841/1, 591 01 Žďár nad Sázavou.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Placení a fakturace</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je povinen vystavit fakturu za dílo a doporučeně ji odeslat objednateli ve dvojím vyhotovení. Tato faktura je splatná do </w:t>
      </w:r>
      <w:r>
        <w:rPr>
          <w:b/>
          <w:bCs/>
          <w:color w:val="000000"/>
          <w:spacing w:val="0"/>
          <w:w w:val="100"/>
          <w:position w:val="0"/>
          <w:sz w:val="24"/>
          <w:szCs w:val="24"/>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objednateli. Faktura musí v souladu se </w:t>
      </w:r>
      <w:r>
        <w:rPr>
          <w:b/>
          <w:bCs/>
          <w:color w:val="000000"/>
          <w:spacing w:val="0"/>
          <w:w w:val="100"/>
          <w:position w:val="0"/>
          <w:sz w:val="24"/>
          <w:szCs w:val="24"/>
          <w:shd w:val="clear" w:color="auto" w:fill="auto"/>
          <w:lang w:val="cs-CZ" w:eastAsia="cs-CZ" w:bidi="cs-CZ"/>
        </w:rPr>
        <w:t xml:space="preserve">zákonem č. 235/2004 Sb., o dani z přidané hodnoty, ve znění pozdějších předpisů (dále zákon o DPH) </w:t>
      </w:r>
      <w:r>
        <w:rPr>
          <w:color w:val="000000"/>
          <w:spacing w:val="0"/>
          <w:w w:val="100"/>
          <w:position w:val="0"/>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p>
    <w:p>
      <w:pPr>
        <w:pStyle w:val="Style2"/>
        <w:keepNext w:val="0"/>
        <w:keepLines w:val="0"/>
        <w:widowControl w:val="0"/>
        <w:numPr>
          <w:ilvl w:val="0"/>
          <w:numId w:val="13"/>
        </w:numPr>
        <w:shd w:val="clear" w:color="auto" w:fill="auto"/>
        <w:tabs>
          <w:tab w:pos="566" w:val="left"/>
        </w:tabs>
        <w:bidi w:val="0"/>
        <w:spacing w:before="0" w:after="560" w:line="240" w:lineRule="auto"/>
        <w:ind w:left="580" w:right="0" w:hanging="580"/>
        <w:jc w:val="both"/>
        <w:sectPr>
          <w:headerReference w:type="default" r:id="rId5"/>
          <w:footerReference w:type="default" r:id="rId6"/>
          <w:headerReference w:type="even" r:id="rId7"/>
          <w:footerReference w:type="even" r:id="rId8"/>
          <w:footnotePr>
            <w:pos w:val="pageBottom"/>
            <w:numFmt w:val="decimal"/>
            <w:numRestart w:val="continuous"/>
          </w:footnotePr>
          <w:pgSz w:w="12240" w:h="15840"/>
          <w:pgMar w:top="1654" w:left="1197" w:right="1140" w:bottom="1221"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z w:val="24"/>
          <w:szCs w:val="24"/>
          <w:shd w:val="clear" w:color="auto" w:fill="auto"/>
          <w:lang w:val="cs-CZ" w:eastAsia="cs-CZ" w:bidi="cs-CZ"/>
        </w:rPr>
        <w:t xml:space="preserve">§ 106a zákona o DPH, </w:t>
      </w:r>
      <w:r>
        <w:rPr>
          <w:color w:val="000000"/>
          <w:spacing w:val="0"/>
          <w:w w:val="100"/>
          <w:position w:val="0"/>
          <w:shd w:val="clear" w:color="auto" w:fill="auto"/>
          <w:lang w:val="cs-CZ" w:eastAsia="cs-CZ" w:bidi="cs-CZ"/>
        </w:rPr>
        <w:t xml:space="preserve">smluvní strany se dohodly, že objednatel uhradí DPH za </w:t>
      </w:r>
    </w:p>
    <w:p>
      <w:pPr>
        <w:pStyle w:val="Style2"/>
        <w:keepNext w:val="0"/>
        <w:keepLines w:val="0"/>
        <w:widowControl w:val="0"/>
        <w:shd w:val="clear" w:color="auto" w:fill="auto"/>
        <w:tabs>
          <w:tab w:pos="566" w:val="left"/>
        </w:tabs>
        <w:bidi w:val="0"/>
        <w:spacing w:before="0" w:after="560" w:line="240" w:lineRule="auto"/>
        <w:ind w:left="580" w:right="0" w:firstLine="0"/>
        <w:jc w:val="both"/>
      </w:pPr>
      <w:r>
        <w:rPr>
          <w:color w:val="000000"/>
          <w:spacing w:val="0"/>
          <w:w w:val="100"/>
          <w:position w:val="0"/>
          <w:shd w:val="clear" w:color="auto" w:fill="auto"/>
          <w:lang w:val="cs-CZ" w:eastAsia="cs-CZ" w:bidi="cs-CZ"/>
        </w:rPr>
        <w:t>zdanitelné plnění přímo příslušnému správci daně. Objednatelem takto provedená úhrada je považována za uhrazení příslušné části smluvní ceny rovnající se výši DPH fakturované zhotovitelem.</w:t>
      </w:r>
    </w:p>
    <w:p>
      <w:pPr>
        <w:pStyle w:val="Style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Smluvní pokuty</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w:t>
      </w:r>
      <w:r>
        <w:rPr>
          <w:color w:val="000000"/>
          <w:spacing w:val="0"/>
          <w:w w:val="100"/>
          <w:position w:val="0"/>
          <w:shd w:val="clear" w:color="auto" w:fill="auto"/>
          <w:lang w:val="cs-CZ" w:eastAsia="cs-CZ" w:bidi="cs-CZ"/>
        </w:rPr>
        <w:t xml:space="preserve">a násl. OZ tyto níže uvedené smluvní pokuty, jejichž sjednáním není dle </w:t>
      </w:r>
      <w:r>
        <w:rPr>
          <w:b/>
          <w:bCs/>
          <w:color w:val="000000"/>
          <w:spacing w:val="0"/>
          <w:w w:val="100"/>
          <w:position w:val="0"/>
          <w:sz w:val="24"/>
          <w:szCs w:val="24"/>
          <w:shd w:val="clear" w:color="auto" w:fill="auto"/>
          <w:lang w:val="cs-CZ" w:eastAsia="cs-CZ" w:bidi="cs-CZ"/>
        </w:rPr>
        <w:t xml:space="preserve">§ 2050 </w:t>
      </w:r>
      <w:r>
        <w:rPr>
          <w:color w:val="000000"/>
          <w:spacing w:val="0"/>
          <w:w w:val="100"/>
          <w:position w:val="0"/>
          <w:shd w:val="clear" w:color="auto" w:fill="auto"/>
          <w:lang w:val="cs-CZ" w:eastAsia="cs-CZ" w:bidi="cs-CZ"/>
        </w:rPr>
        <w:t>OZ 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z w:val="24"/>
          <w:szCs w:val="24"/>
          <w:shd w:val="clear" w:color="auto" w:fill="auto"/>
          <w:lang w:val="cs-CZ" w:eastAsia="cs-CZ" w:bidi="cs-CZ"/>
        </w:rPr>
        <w:t xml:space="preserve">prodlení s termínem dokončení díla </w:t>
      </w:r>
      <w:r>
        <w:rPr>
          <w:color w:val="000000"/>
          <w:spacing w:val="0"/>
          <w:w w:val="100"/>
          <w:position w:val="0"/>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0,1 %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z w:val="24"/>
          <w:szCs w:val="24"/>
          <w:shd w:val="clear" w:color="auto" w:fill="auto"/>
          <w:lang w:val="cs-CZ" w:eastAsia="cs-CZ" w:bidi="cs-CZ"/>
        </w:rPr>
        <w:t xml:space="preserve">prodlení s termínem odstranění vad </w:t>
      </w:r>
      <w:r>
        <w:rPr>
          <w:color w:val="000000"/>
          <w:spacing w:val="0"/>
          <w:w w:val="100"/>
          <w:position w:val="0"/>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 xml:space="preserve">z fakturované částky za každý započatý den </w:t>
      </w:r>
      <w:r>
        <w:rPr>
          <w:b/>
          <w:bCs/>
          <w:color w:val="000000"/>
          <w:spacing w:val="0"/>
          <w:w w:val="100"/>
          <w:position w:val="0"/>
          <w:sz w:val="24"/>
          <w:szCs w:val="24"/>
          <w:shd w:val="clear" w:color="auto" w:fill="auto"/>
          <w:lang w:val="cs-CZ" w:eastAsia="cs-CZ" w:bidi="cs-CZ"/>
        </w:rPr>
        <w:t>prodlení se zaplacením faktury</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5"/>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Společná ujednání</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z w:val="24"/>
          <w:szCs w:val="24"/>
          <w:shd w:val="clear" w:color="auto" w:fill="auto"/>
          <w:lang w:val="cs-CZ" w:eastAsia="cs-CZ" w:bidi="cs-CZ"/>
        </w:rPr>
        <w:t>§ 2 písm. e) zákona č. 320/2001 Sb., o finanční kontrole ve veřejné správě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z w:val="24"/>
          <w:szCs w:val="24"/>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 xml:space="preserve">zákona č. 121/2000 Sb., o právu autorském, o právech souvisejících s právem autorským a o změně některých zákonů (autorský zákon), ve znění pozdějších předpisů </w:t>
      </w:r>
      <w:r>
        <w:rPr>
          <w:color w:val="000000"/>
          <w:spacing w:val="0"/>
          <w:w w:val="100"/>
          <w:position w:val="0"/>
          <w:shd w:val="clear" w:color="auto" w:fill="auto"/>
          <w:lang w:val="cs-CZ" w:eastAsia="cs-CZ" w:bidi="cs-CZ"/>
        </w:rPr>
        <w:t xml:space="preserve">(dále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6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19"/>
        </w:numPr>
        <w:shd w:val="clear" w:color="auto" w:fill="auto"/>
        <w:tabs>
          <w:tab w:pos="973" w:val="left"/>
        </w:tabs>
        <w:bidi w:val="0"/>
        <w:spacing w:before="0" w:line="240" w:lineRule="auto"/>
        <w:ind w:left="940" w:right="0" w:hanging="34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19"/>
        </w:numPr>
        <w:shd w:val="clear" w:color="auto" w:fill="auto"/>
        <w:tabs>
          <w:tab w:pos="973" w:val="left"/>
        </w:tabs>
        <w:bidi w:val="0"/>
        <w:spacing w:before="0" w:line="240" w:lineRule="auto"/>
        <w:ind w:left="940" w:right="0" w:hanging="340"/>
        <w:jc w:val="both"/>
      </w:pPr>
      <w:r>
        <w:rPr>
          <w:color w:val="000000"/>
          <w:spacing w:val="0"/>
          <w:w w:val="100"/>
          <w:position w:val="0"/>
          <w:shd w:val="clear" w:color="auto" w:fill="auto"/>
          <w:lang w:val="cs-CZ" w:eastAsia="cs-CZ" w:bidi="cs-CZ"/>
        </w:rPr>
        <w:t>při zjištění, že dílo neodpovídá požadavkům objednatele stanoveným v zadávací dokumentaci; a nebo</w:t>
      </w:r>
    </w:p>
    <w:p>
      <w:pPr>
        <w:pStyle w:val="Style2"/>
        <w:keepNext w:val="0"/>
        <w:keepLines w:val="0"/>
        <w:widowControl w:val="0"/>
        <w:numPr>
          <w:ilvl w:val="0"/>
          <w:numId w:val="19"/>
        </w:numPr>
        <w:shd w:val="clear" w:color="auto" w:fill="auto"/>
        <w:tabs>
          <w:tab w:pos="973" w:val="left"/>
        </w:tabs>
        <w:bidi w:val="0"/>
        <w:spacing w:before="0" w:line="240" w:lineRule="auto"/>
        <w:ind w:left="940" w:right="0" w:hanging="340"/>
        <w:jc w:val="both"/>
        <w:sectPr>
          <w:headerReference w:type="default" r:id="rId9"/>
          <w:footerReference w:type="default" r:id="rId10"/>
          <w:headerReference w:type="even" r:id="rId11"/>
          <w:footerReference w:type="even" r:id="rId12"/>
          <w:footnotePr>
            <w:pos w:val="pageBottom"/>
            <w:numFmt w:val="decimal"/>
            <w:numRestart w:val="continuous"/>
          </w:footnotePr>
          <w:type w:val="continuous"/>
          <w:pgSz w:w="12240" w:h="15840"/>
          <w:pgMar w:top="1654" w:left="1197" w:right="1140" w:bottom="1221" w:header="0" w:footer="3" w:gutter="0"/>
          <w:cols w:space="720"/>
          <w:noEndnote/>
          <w:rtlGutter w:val="0"/>
          <w:docGrid w:linePitch="360"/>
        </w:sectPr>
      </w:pPr>
      <w:r>
        <w:rPr>
          <w:color w:val="000000"/>
          <w:spacing w:val="0"/>
          <w:w w:val="100"/>
          <w:position w:val="0"/>
          <w:shd w:val="clear" w:color="auto" w:fill="auto"/>
          <w:lang w:val="cs-CZ" w:eastAsia="cs-CZ" w:bidi="cs-CZ"/>
        </w:rPr>
        <w:t>v případě, že zhotovitel uvedl ve své nabídce podané v předchozím poptávkovém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
        <w:keepNext w:val="0"/>
        <w:keepLines w:val="0"/>
        <w:widowControl w:val="0"/>
        <w:numPr>
          <w:ilvl w:val="0"/>
          <w:numId w:val="17"/>
        </w:numPr>
        <w:shd w:val="clear" w:color="auto" w:fill="auto"/>
        <w:tabs>
          <w:tab w:pos="63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Závěrečná ujednání</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color w:val="000000"/>
          <w:spacing w:val="0"/>
          <w:w w:val="100"/>
          <w:position w:val="0"/>
          <w:sz w:val="24"/>
          <w:szCs w:val="24"/>
          <w:shd w:val="clear" w:color="auto" w:fill="auto"/>
          <w:lang w:val="cs-CZ" w:eastAsia="cs-CZ" w:bidi="cs-CZ"/>
        </w:rPr>
        <w:t>§ 219 ZZVZ a v registru smluv dle 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z w:val="24"/>
          <w:szCs w:val="24"/>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z w:val="24"/>
          <w:szCs w:val="24"/>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z w:val="24"/>
          <w:szCs w:val="24"/>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566" w:val="left"/>
        </w:tabs>
        <w:bidi w:val="0"/>
        <w:spacing w:before="0" w:after="520" w:line="240" w:lineRule="auto"/>
        <w:ind w:left="580" w:right="0" w:hanging="58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 Struktura ceny plnění</w:t>
      </w:r>
    </w:p>
    <w:p>
      <w:pPr>
        <w:pStyle w:val="Style2"/>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2"/>
        <w:keepNext w:val="0"/>
        <w:keepLines w:val="0"/>
        <w:widowControl w:val="0"/>
        <w:shd w:val="clear" w:color="auto" w:fill="auto"/>
        <w:bidi w:val="0"/>
        <w:spacing w:before="0" w:line="276" w:lineRule="auto"/>
        <w:ind w:left="0" w:right="0" w:firstLine="0"/>
        <w:jc w:val="left"/>
        <w:rPr>
          <w:sz w:val="22"/>
          <w:szCs w:val="22"/>
        </w:rPr>
        <w:sectPr>
          <w:headerReference w:type="default" r:id="rId13"/>
          <w:footerReference w:type="default" r:id="rId14"/>
          <w:headerReference w:type="even" r:id="rId15"/>
          <w:footerReference w:type="even" r:id="rId16"/>
          <w:headerReference w:type="first" r:id="rId17"/>
          <w:footerReference w:type="first" r:id="rId18"/>
          <w:footnotePr>
            <w:pos w:val="pageBottom"/>
            <w:numFmt w:val="decimal"/>
            <w:numRestart w:val="continuous"/>
          </w:footnotePr>
          <w:pgSz w:w="12240" w:h="15840"/>
          <w:pgMar w:top="1654" w:left="1197" w:right="1140" w:bottom="1221" w:header="0" w:footer="3" w:gutter="0"/>
          <w:cols w:space="720"/>
          <w:noEndnote/>
          <w:titlePg/>
          <w:rtlGutter w:val="0"/>
          <w:docGrid w:linePitch="360"/>
        </w:sect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0"/>
        <w:keepNext w:val="0"/>
        <w:keepLines w:val="0"/>
        <w:widowControl w:val="0"/>
        <w:shd w:val="clear" w:color="auto" w:fill="auto"/>
        <w:bidi w:val="0"/>
        <w:spacing w:before="0" w:after="238" w:line="240" w:lineRule="auto"/>
        <w:ind w:left="0" w:right="480" w:firstLine="0"/>
        <w:jc w:val="right"/>
      </w:pPr>
      <w:r>
        <w:rPr>
          <w:color w:val="000000"/>
          <w:spacing w:val="0"/>
          <w:w w:val="100"/>
          <w:position w:val="0"/>
          <w:shd w:val="clear" w:color="auto" w:fill="auto"/>
          <w:lang w:val="cs-CZ" w:eastAsia="cs-CZ" w:bidi="cs-CZ"/>
        </w:rPr>
        <w:t>Příloha A1 SoD</w:t>
      </w:r>
    </w:p>
    <w:p>
      <w:pPr>
        <w:pStyle w:val="Style2"/>
        <w:keepNext w:val="0"/>
        <w:keepLines w:val="0"/>
        <w:widowControl w:val="0"/>
        <w:pBdr>
          <w:top w:val="single" w:sz="4" w:space="9" w:color="FCE9DA"/>
          <w:left w:val="single" w:sz="4" w:space="0" w:color="FCE9DA"/>
          <w:bottom w:val="single" w:sz="4" w:space="8" w:color="FCE9DA"/>
          <w:right w:val="single" w:sz="4" w:space="0" w:color="FCE9DA"/>
        </w:pBdr>
        <w:shd w:val="clear" w:color="auto" w:fill="FCE9DA"/>
        <w:bidi w:val="0"/>
        <w:spacing w:before="0" w:after="257" w:line="240" w:lineRule="auto"/>
        <w:ind w:left="0" w:right="0" w:firstLine="0"/>
        <w:jc w:val="center"/>
      </w:pPr>
      <w:r>
        <w:rPr>
          <w:b/>
          <w:bCs/>
          <w:color w:val="000000"/>
          <w:spacing w:val="0"/>
          <w:w w:val="100"/>
          <w:position w:val="0"/>
          <w:sz w:val="24"/>
          <w:szCs w:val="24"/>
          <w:shd w:val="clear" w:color="auto" w:fill="auto"/>
          <w:lang w:val="cs-CZ" w:eastAsia="cs-CZ" w:bidi="cs-CZ"/>
        </w:rPr>
        <w:t>STRUKTURA CENY PLNĚNÍ</w:t>
      </w:r>
    </w:p>
    <w:tbl>
      <w:tblPr>
        <w:tblOverlap w:val="never"/>
        <w:jc w:val="center"/>
        <w:tblLayout w:type="fixed"/>
      </w:tblPr>
      <w:tblGrid>
        <w:gridCol w:w="6490"/>
        <w:gridCol w:w="3413"/>
      </w:tblGrid>
      <w:tr>
        <w:trPr>
          <w:trHeight w:val="701"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Měřený úsek</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Cena v Kč bez DPH</w:t>
            </w:r>
          </w:p>
        </w:tc>
      </w:tr>
      <w:tr>
        <w:trPr>
          <w:trHeight w:val="427"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Silnice II/348 Polná</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65 000</w:t>
            </w:r>
          </w:p>
        </w:tc>
      </w:tr>
      <w:tr>
        <w:trPr>
          <w:trHeight w:val="422"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Silnice II/405 Brtnice</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65 000</w:t>
            </w:r>
          </w:p>
        </w:tc>
      </w:tr>
      <w:tr>
        <w:trPr>
          <w:trHeight w:val="552" w:hRule="exact"/>
        </w:trPr>
        <w:tc>
          <w:tcPr>
            <w:tcBorders>
              <w:top w:val="single" w:sz="4"/>
              <w:left w:val="single" w:sz="4"/>
              <w:bottom w:val="single" w:sz="4"/>
            </w:tcBorders>
            <w:shd w:val="clear" w:color="auto" w:fill="FCE9DA"/>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II. etapu měření v Kč bez DPH:</w:t>
            </w:r>
          </w:p>
        </w:tc>
        <w:tc>
          <w:tcPr>
            <w:tcBorders>
              <w:top w:val="single" w:sz="4"/>
              <w:left w:val="single" w:sz="4"/>
              <w:bottom w:val="single" w:sz="4"/>
              <w:right w:val="single" w:sz="4"/>
            </w:tcBorders>
            <w:shd w:val="clear" w:color="auto" w:fill="FCE9DA"/>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130 000</w:t>
            </w:r>
          </w:p>
        </w:tc>
      </w:tr>
    </w:tbl>
    <w:p>
      <w:pPr>
        <w:sectPr>
          <w:footnotePr>
            <w:pos w:val="pageBottom"/>
            <w:numFmt w:val="decimal"/>
            <w:numRestart w:val="continuous"/>
          </w:footnotePr>
          <w:pgSz w:w="12240" w:h="15840"/>
          <w:pgMar w:top="1675" w:left="1416" w:right="922" w:bottom="1675" w:header="0" w:footer="3" w:gutter="0"/>
          <w:cols w:space="720"/>
          <w:noEndnote/>
          <w:rtlGutter w:val="0"/>
          <w:docGrid w:linePitch="360"/>
        </w:sectPr>
      </w:pPr>
    </w:p>
    <w:p>
      <w:pPr>
        <w:pStyle w:val="Style20"/>
        <w:keepNext w:val="0"/>
        <w:keepLines w:val="0"/>
        <w:widowControl w:val="0"/>
        <w:shd w:val="clear" w:color="auto" w:fill="auto"/>
        <w:bidi w:val="0"/>
        <w:spacing w:before="0" w:after="680" w:line="240" w:lineRule="auto"/>
        <w:ind w:left="8180" w:right="0" w:firstLine="0"/>
        <w:jc w:val="left"/>
      </w:pPr>
      <w:r>
        <w:rPr>
          <w:color w:val="000000"/>
          <w:spacing w:val="0"/>
          <w:w w:val="100"/>
          <w:position w:val="0"/>
          <w:shd w:val="clear" w:color="auto" w:fill="auto"/>
          <w:lang w:val="cs-CZ" w:eastAsia="cs-CZ" w:bidi="cs-CZ"/>
        </w:rPr>
        <w:t>Příloha A2 SoD</w:t>
      </w:r>
    </w:p>
    <w:p>
      <w:pPr>
        <w:pStyle w:val="Style22"/>
        <w:keepNext/>
        <w:keepLines/>
        <w:widowControl w:val="0"/>
        <w:shd w:val="clear" w:color="auto" w:fill="auto"/>
        <w:bidi w:val="0"/>
        <w:spacing w:before="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Údaje, které jsou součástí ujednání a nebudou zveřejněny v Registru smluv:</w:t>
      </w:r>
      <w:bookmarkEnd w:id="0"/>
      <w:bookmarkEnd w:id="1"/>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p>
      <w:pPr>
        <w:pStyle w:val="Style2"/>
        <w:keepNext w:val="0"/>
        <w:keepLines w:val="0"/>
        <w:widowControl w:val="0"/>
        <w:shd w:val="clear" w:color="auto" w:fill="auto"/>
        <w:bidi w:val="0"/>
        <w:spacing w:before="0" w:after="0" w:line="23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0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 Akulab s.r.o.</w:t>
      </w:r>
    </w:p>
    <w:p>
      <w:pPr>
        <w:pStyle w:val="Style2"/>
        <w:keepNext w:val="0"/>
        <w:keepLines w:val="0"/>
        <w:widowControl w:val="0"/>
        <w:shd w:val="clear" w:color="auto" w:fill="auto"/>
        <w:bidi w:val="0"/>
        <w:spacing w:before="0" w:after="280" w:line="23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 ve věcech technických</w:t>
      </w:r>
    </w:p>
    <w:sectPr>
      <w:footnotePr>
        <w:pos w:val="pageBottom"/>
        <w:numFmt w:val="decimal"/>
        <w:numRestart w:val="continuous"/>
      </w:footnotePr>
      <w:pgSz w:w="12240" w:h="15840"/>
      <w:pgMar w:top="1670" w:left="1376" w:right="960" w:bottom="167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3489960</wp:posOffset>
              </wp:positionH>
              <wp:positionV relativeFrom="page">
                <wp:posOffset>9346565</wp:posOffset>
              </wp:positionV>
              <wp:extent cx="795655" cy="109855"/>
              <wp:wrapNone/>
              <wp:docPr id="8" name="Shape 8"/>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34" type="#_x0000_t202" style="position:absolute;margin-left:274.80000000000001pt;margin-top:735.95000000000005pt;width:62.649999999999999pt;height:8.65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10" name="Shape 1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3536950</wp:posOffset>
              </wp:positionH>
              <wp:positionV relativeFrom="page">
                <wp:posOffset>9346565</wp:posOffset>
              </wp:positionV>
              <wp:extent cx="731520" cy="109855"/>
              <wp:wrapNone/>
              <wp:docPr id="14" name="Shape 14"/>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40" type="#_x0000_t202" style="position:absolute;margin-left:278.5pt;margin-top:735.95000000000005pt;width:57.600000000000001pt;height:8.6500000000000004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897255</wp:posOffset>
              </wp:positionH>
              <wp:positionV relativeFrom="page">
                <wp:posOffset>9302115</wp:posOffset>
              </wp:positionV>
              <wp:extent cx="6010910" cy="0"/>
              <wp:wrapNone/>
              <wp:docPr id="16" name="Shape 16"/>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70.650000000000006pt;margin-top:732.45000000000005pt;width:473.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3489960</wp:posOffset>
              </wp:positionH>
              <wp:positionV relativeFrom="page">
                <wp:posOffset>9346565</wp:posOffset>
              </wp:positionV>
              <wp:extent cx="795655" cy="109855"/>
              <wp:wrapNone/>
              <wp:docPr id="22" name="Shape 22"/>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48" type="#_x0000_t202" style="position:absolute;margin-left:274.80000000000001pt;margin-top:735.95000000000005pt;width:62.649999999999999pt;height:8.6500000000000004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24" name="Shape 24"/>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3489960</wp:posOffset>
              </wp:positionH>
              <wp:positionV relativeFrom="page">
                <wp:posOffset>9346565</wp:posOffset>
              </wp:positionV>
              <wp:extent cx="795655" cy="109855"/>
              <wp:wrapNone/>
              <wp:docPr id="30" name="Shape 30"/>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56" type="#_x0000_t202" style="position:absolute;margin-left:274.80000000000001pt;margin-top:735.95000000000005pt;width:62.649999999999999pt;height:8.6500000000000004pt;z-index:-18874404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32" name="Shape 32"/>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3489960</wp:posOffset>
              </wp:positionH>
              <wp:positionV relativeFrom="page">
                <wp:posOffset>9346565</wp:posOffset>
              </wp:positionV>
              <wp:extent cx="795655" cy="109855"/>
              <wp:wrapNone/>
              <wp:docPr id="38" name="Shape 38"/>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64" type="#_x0000_t202" style="position:absolute;margin-left:274.80000000000001pt;margin-top:735.95000000000005pt;width:62.649999999999999pt;height:8.6500000000000004pt;z-index:-18874403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40" name="Shape 4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3489960</wp:posOffset>
              </wp:positionH>
              <wp:positionV relativeFrom="page">
                <wp:posOffset>9346565</wp:posOffset>
              </wp:positionV>
              <wp:extent cx="795655" cy="109855"/>
              <wp:wrapNone/>
              <wp:docPr id="46" name="Shape 46"/>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72" type="#_x0000_t202" style="position:absolute;margin-left:274.80000000000001pt;margin-top:735.95000000000005pt;width:62.649999999999999pt;height:8.6500000000000004pt;z-index:-18874403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48" name="Shape 4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3524885</wp:posOffset>
              </wp:positionH>
              <wp:positionV relativeFrom="page">
                <wp:posOffset>9346565</wp:posOffset>
              </wp:positionV>
              <wp:extent cx="731520" cy="109855"/>
              <wp:wrapNone/>
              <wp:docPr id="52" name="Shape 52"/>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78" type="#_x0000_t202" style="position:absolute;margin-left:277.55000000000001pt;margin-top:735.95000000000005pt;width:57.600000000000001pt;height:8.6500000000000004pt;z-index:-18874402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885190</wp:posOffset>
              </wp:positionH>
              <wp:positionV relativeFrom="page">
                <wp:posOffset>9302115</wp:posOffset>
              </wp:positionV>
              <wp:extent cx="6010910" cy="0"/>
              <wp:wrapNone/>
              <wp:docPr id="54" name="Shape 54"/>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700000000000003pt;margin-top:732.45000000000005pt;width:473.3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986155</wp:posOffset>
              </wp:positionH>
              <wp:positionV relativeFrom="page">
                <wp:posOffset>452755</wp:posOffset>
              </wp:positionV>
              <wp:extent cx="2319655" cy="267970"/>
              <wp:wrapNone/>
              <wp:docPr id="3" name="Shape 3"/>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wps:txbx>
                    <wps:bodyPr wrap="none" lIns="0" tIns="0" rIns="0" bIns="0">
                      <a:spAutoFit/>
                    </wps:bodyPr>
                  </wps:wsp>
                </a:graphicData>
              </a:graphic>
            </wp:anchor>
          </w:drawing>
        </mc:Choice>
        <mc:Fallback>
          <w:pict>
            <v:shape id="_x0000_s1029" type="#_x0000_t202" style="position:absolute;margin-left:77.650000000000006pt;margin-top:35.649999999999999pt;width:182.65000000000001pt;height:21.10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4451350</wp:posOffset>
              </wp:positionH>
              <wp:positionV relativeFrom="page">
                <wp:posOffset>452755</wp:posOffset>
              </wp:positionV>
              <wp:extent cx="2362200" cy="271145"/>
              <wp:wrapNone/>
              <wp:docPr id="5" name="Shape 5"/>
              <a:graphic xmlns:a="http://schemas.openxmlformats.org/drawingml/2006/main">
                <a:graphicData uri="http://schemas.microsoft.com/office/word/2010/wordprocessingShape">
                  <wps:wsp>
                    <wps:cNvSpPr txBox="1"/>
                    <wps:spPr>
                      <a:xfrm>
                        <a:ext cx="236220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31" type="#_x0000_t202" style="position:absolute;margin-left:350.5pt;margin-top:35.649999999999999pt;width:186.pt;height:21.350000000000001pt;z-index:-18874406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7" name="Shape 7"/>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986155</wp:posOffset>
              </wp:positionH>
              <wp:positionV relativeFrom="page">
                <wp:posOffset>464820</wp:posOffset>
              </wp:positionV>
              <wp:extent cx="5828030" cy="271145"/>
              <wp:wrapNone/>
              <wp:docPr id="11" name="Shape 11"/>
              <a:graphic xmlns:a="http://schemas.openxmlformats.org/drawingml/2006/main">
                <a:graphicData uri="http://schemas.microsoft.com/office/word/2010/wordprocessingShape">
                  <wps:wsp>
                    <wps:cNvSpPr txBox="1"/>
                    <wps:spPr>
                      <a:xfrm>
                        <a:ext cx="5828030" cy="271145"/>
                      </a:xfrm>
                      <a:prstGeom prst="rect"/>
                      <a:noFill/>
                    </wps:spPr>
                    <wps:txbx>
                      <w:txbxContent>
                        <w:p>
                          <w:pPr>
                            <w:pStyle w:val="Style8"/>
                            <w:keepNext w:val="0"/>
                            <w:keepLines w:val="0"/>
                            <w:widowControl w:val="0"/>
                            <w:shd w:val="clear" w:color="auto" w:fill="auto"/>
                            <w:tabs>
                              <w:tab w:pos="915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tab/>
                            <w:t>Číslo smlouvy objednatele: ZMR-SL-57-2020, I</w:t>
                          </w:r>
                        </w:p>
                        <w:p>
                          <w:pPr>
                            <w:pStyle w:val="Style8"/>
                            <w:keepNext w:val="0"/>
                            <w:keepLines w:val="0"/>
                            <w:widowControl w:val="0"/>
                            <w:shd w:val="clear" w:color="auto" w:fill="auto"/>
                            <w:tabs>
                              <w:tab w:pos="5443" w:val="left"/>
                              <w:tab w:pos="895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tab/>
                            <w:t>Číslo smlouvy zhotovitele:</w:t>
                            <w:tab/>
                          </w:r>
                        </w:p>
                      </w:txbxContent>
                    </wps:txbx>
                    <wps:bodyPr lIns="0" tIns="0" rIns="0" bIns="0">
                      <a:spAutoFit/>
                    </wps:bodyPr>
                  </wps:wsp>
                </a:graphicData>
              </a:graphic>
            </wp:anchor>
          </w:drawing>
        </mc:Choice>
        <mc:Fallback>
          <w:pict>
            <v:shape id="_x0000_s1037" type="#_x0000_t202" style="position:absolute;margin-left:77.650000000000006pt;margin-top:36.600000000000001pt;width:458.89999999999998pt;height:21.350000000000001pt;z-index:-18874405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915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tab/>
                      <w:t>Číslo smlouvy objednatele: ZMR-SL-57-2020, I</w:t>
                    </w:r>
                  </w:p>
                  <w:p>
                    <w:pPr>
                      <w:pStyle w:val="Style8"/>
                      <w:keepNext w:val="0"/>
                      <w:keepLines w:val="0"/>
                      <w:widowControl w:val="0"/>
                      <w:shd w:val="clear" w:color="auto" w:fill="auto"/>
                      <w:tabs>
                        <w:tab w:pos="5443" w:val="left"/>
                        <w:tab w:pos="895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tab/>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13" name="Shape 13"/>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986155</wp:posOffset>
              </wp:positionH>
              <wp:positionV relativeFrom="page">
                <wp:posOffset>452755</wp:posOffset>
              </wp:positionV>
              <wp:extent cx="2319655" cy="267970"/>
              <wp:wrapNone/>
              <wp:docPr id="17" name="Shape 17"/>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wps:txbx>
                    <wps:bodyPr wrap="none" lIns="0" tIns="0" rIns="0" bIns="0">
                      <a:spAutoFit/>
                    </wps:bodyPr>
                  </wps:wsp>
                </a:graphicData>
              </a:graphic>
            </wp:anchor>
          </w:drawing>
        </mc:Choice>
        <mc:Fallback>
          <w:pict>
            <v:shape id="_x0000_s1043" type="#_x0000_t202" style="position:absolute;margin-left:77.650000000000006pt;margin-top:35.649999999999999pt;width:182.65000000000001pt;height:21.100000000000001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4451350</wp:posOffset>
              </wp:positionH>
              <wp:positionV relativeFrom="page">
                <wp:posOffset>452755</wp:posOffset>
              </wp:positionV>
              <wp:extent cx="2362200" cy="271145"/>
              <wp:wrapNone/>
              <wp:docPr id="19" name="Shape 19"/>
              <a:graphic xmlns:a="http://schemas.openxmlformats.org/drawingml/2006/main">
                <a:graphicData uri="http://schemas.microsoft.com/office/word/2010/wordprocessingShape">
                  <wps:wsp>
                    <wps:cNvSpPr txBox="1"/>
                    <wps:spPr>
                      <a:xfrm>
                        <a:ext cx="236220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45" type="#_x0000_t202" style="position:absolute;margin-left:350.5pt;margin-top:35.649999999999999pt;width:186.pt;height:21.350000000000001pt;z-index:-18874405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21" name="Shape 21"/>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986155</wp:posOffset>
              </wp:positionH>
              <wp:positionV relativeFrom="page">
                <wp:posOffset>452755</wp:posOffset>
              </wp:positionV>
              <wp:extent cx="2319655" cy="267970"/>
              <wp:wrapNone/>
              <wp:docPr id="25" name="Shape 25"/>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wps:txbx>
                    <wps:bodyPr wrap="none" lIns="0" tIns="0" rIns="0" bIns="0">
                      <a:spAutoFit/>
                    </wps:bodyPr>
                  </wps:wsp>
                </a:graphicData>
              </a:graphic>
            </wp:anchor>
          </w:drawing>
        </mc:Choice>
        <mc:Fallback>
          <w:pict>
            <v:shape id="_x0000_s1051" type="#_x0000_t202" style="position:absolute;margin-left:77.650000000000006pt;margin-top:35.649999999999999pt;width:182.65000000000001pt;height:21.100000000000001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4451350</wp:posOffset>
              </wp:positionH>
              <wp:positionV relativeFrom="page">
                <wp:posOffset>452755</wp:posOffset>
              </wp:positionV>
              <wp:extent cx="2362200" cy="271145"/>
              <wp:wrapNone/>
              <wp:docPr id="27" name="Shape 27"/>
              <a:graphic xmlns:a="http://schemas.openxmlformats.org/drawingml/2006/main">
                <a:graphicData uri="http://schemas.microsoft.com/office/word/2010/wordprocessingShape">
                  <wps:wsp>
                    <wps:cNvSpPr txBox="1"/>
                    <wps:spPr>
                      <a:xfrm>
                        <a:ext cx="236220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53" type="#_x0000_t202" style="position:absolute;margin-left:350.5pt;margin-top:35.649999999999999pt;width:186.pt;height:21.350000000000001pt;z-index:-188744045;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29" name="Shape 29"/>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986155</wp:posOffset>
              </wp:positionH>
              <wp:positionV relativeFrom="page">
                <wp:posOffset>452755</wp:posOffset>
              </wp:positionV>
              <wp:extent cx="2319655" cy="267970"/>
              <wp:wrapNone/>
              <wp:docPr id="33" name="Shape 33"/>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wps:txbx>
                    <wps:bodyPr wrap="none" lIns="0" tIns="0" rIns="0" bIns="0">
                      <a:spAutoFit/>
                    </wps:bodyPr>
                  </wps:wsp>
                </a:graphicData>
              </a:graphic>
            </wp:anchor>
          </w:drawing>
        </mc:Choice>
        <mc:Fallback>
          <w:pict>
            <v:shape id="_x0000_s1059" type="#_x0000_t202" style="position:absolute;margin-left:77.650000000000006pt;margin-top:35.649999999999999pt;width:182.65000000000001pt;height:21.100000000000001pt;z-index:-18874404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4451350</wp:posOffset>
              </wp:positionH>
              <wp:positionV relativeFrom="page">
                <wp:posOffset>452755</wp:posOffset>
              </wp:positionV>
              <wp:extent cx="2362200" cy="271145"/>
              <wp:wrapNone/>
              <wp:docPr id="35" name="Shape 35"/>
              <a:graphic xmlns:a="http://schemas.openxmlformats.org/drawingml/2006/main">
                <a:graphicData uri="http://schemas.microsoft.com/office/word/2010/wordprocessingShape">
                  <wps:wsp>
                    <wps:cNvSpPr txBox="1"/>
                    <wps:spPr>
                      <a:xfrm>
                        <a:ext cx="236220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61" type="#_x0000_t202" style="position:absolute;margin-left:350.5pt;margin-top:35.649999999999999pt;width:186.pt;height:21.350000000000001pt;z-index:-188744039;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37" name="Shape 37"/>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986155</wp:posOffset>
              </wp:positionH>
              <wp:positionV relativeFrom="page">
                <wp:posOffset>452755</wp:posOffset>
              </wp:positionV>
              <wp:extent cx="2319655" cy="267970"/>
              <wp:wrapNone/>
              <wp:docPr id="41" name="Shape 41"/>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wps:txbx>
                    <wps:bodyPr wrap="none" lIns="0" tIns="0" rIns="0" bIns="0">
                      <a:spAutoFit/>
                    </wps:bodyPr>
                  </wps:wsp>
                </a:graphicData>
              </a:graphic>
            </wp:anchor>
          </w:drawing>
        </mc:Choice>
        <mc:Fallback>
          <w:pict>
            <v:shape id="_x0000_s1067" type="#_x0000_t202" style="position:absolute;margin-left:77.650000000000006pt;margin-top:35.649999999999999pt;width:182.65000000000001pt;height:21.100000000000001pt;z-index:-18874403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4451350</wp:posOffset>
              </wp:positionH>
              <wp:positionV relativeFrom="page">
                <wp:posOffset>452755</wp:posOffset>
              </wp:positionV>
              <wp:extent cx="2362200" cy="271145"/>
              <wp:wrapNone/>
              <wp:docPr id="43" name="Shape 43"/>
              <a:graphic xmlns:a="http://schemas.openxmlformats.org/drawingml/2006/main">
                <a:graphicData uri="http://schemas.microsoft.com/office/word/2010/wordprocessingShape">
                  <wps:wsp>
                    <wps:cNvSpPr txBox="1"/>
                    <wps:spPr>
                      <a:xfrm>
                        <a:ext cx="236220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69" type="#_x0000_t202" style="position:absolute;margin-left:350.5pt;margin-top:35.649999999999999pt;width:186.pt;height:21.350000000000001pt;z-index:-18874403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ZMR-SL-57-2020, 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45" name="Shape 45"/>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973455</wp:posOffset>
              </wp:positionH>
              <wp:positionV relativeFrom="page">
                <wp:posOffset>464820</wp:posOffset>
              </wp:positionV>
              <wp:extent cx="5828030" cy="283210"/>
              <wp:wrapNone/>
              <wp:docPr id="49" name="Shape 49"/>
              <a:graphic xmlns:a="http://schemas.openxmlformats.org/drawingml/2006/main">
                <a:graphicData uri="http://schemas.microsoft.com/office/word/2010/wordprocessingShape">
                  <wps:wsp>
                    <wps:cNvSpPr txBox="1"/>
                    <wps:spPr>
                      <a:xfrm>
                        <a:ext cx="5828030" cy="283210"/>
                      </a:xfrm>
                      <a:prstGeom prst="rect"/>
                      <a:noFill/>
                    </wps:spPr>
                    <wps:txbx>
                      <w:txbxContent>
                        <w:p>
                          <w:pPr>
                            <w:pStyle w:val="Style8"/>
                            <w:keepNext w:val="0"/>
                            <w:keepLines w:val="0"/>
                            <w:widowControl w:val="0"/>
                            <w:shd w:val="clear" w:color="auto" w:fill="auto"/>
                            <w:tabs>
                              <w:tab w:pos="917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tab/>
                            <w:t>Číslo smlouvy objednatele: ZMR-SL-57-2020, I</w:t>
                          </w:r>
                        </w:p>
                        <w:p>
                          <w:pPr>
                            <w:pStyle w:val="Style8"/>
                            <w:keepNext w:val="0"/>
                            <w:keepLines w:val="0"/>
                            <w:widowControl w:val="0"/>
                            <w:shd w:val="clear" w:color="auto" w:fill="auto"/>
                            <w:tabs>
                              <w:tab w:pos="7560" w:val="right"/>
                              <w:tab w:pos="895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tab/>
                            <w:t>Číslo smlouvy zhotovitele:</w:t>
                            <w:tab/>
                          </w:r>
                        </w:p>
                      </w:txbxContent>
                    </wps:txbx>
                    <wps:bodyPr lIns="0" tIns="0" rIns="0" bIns="0">
                      <a:spAutoFit/>
                    </wps:bodyPr>
                  </wps:wsp>
                </a:graphicData>
              </a:graphic>
            </wp:anchor>
          </w:drawing>
        </mc:Choice>
        <mc:Fallback>
          <w:pict>
            <v:shape id="_x0000_s1075" type="#_x0000_t202" style="position:absolute;margin-left:76.650000000000006pt;margin-top:36.600000000000001pt;width:458.89999999999998pt;height:22.300000000000001pt;z-index:-188744029;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917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2020 - II. etapa měření</w:t>
                      <w:tab/>
                      <w:t>Číslo smlouvy objednatele: ZMR-SL-57-2020, I</w:t>
                    </w:r>
                  </w:p>
                  <w:p>
                    <w:pPr>
                      <w:pStyle w:val="Style8"/>
                      <w:keepNext w:val="0"/>
                      <w:keepLines w:val="0"/>
                      <w:widowControl w:val="0"/>
                      <w:shd w:val="clear" w:color="auto" w:fill="auto"/>
                      <w:tabs>
                        <w:tab w:pos="7560" w:val="right"/>
                        <w:tab w:pos="895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Jihlava</w:t>
                      <w:tab/>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894715</wp:posOffset>
              </wp:positionH>
              <wp:positionV relativeFrom="page">
                <wp:posOffset>764540</wp:posOffset>
              </wp:positionV>
              <wp:extent cx="5977255" cy="0"/>
              <wp:wrapNone/>
              <wp:docPr id="51" name="Shape 51"/>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0.450000000000003pt;margin-top:60.200000000000003pt;width:470.64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2"/>
      <w:numFmt w:val="decimal"/>
      <w:lvlText w:val="2.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6"/>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21">
    <w:name w:val="Základní text (2)_"/>
    <w:basedOn w:val="DefaultParagraphFont"/>
    <w:link w:val="Style20"/>
    <w:rPr>
      <w:rFonts w:ascii="Calibri" w:eastAsia="Calibri" w:hAnsi="Calibri" w:cs="Calibri"/>
      <w:b/>
      <w:bCs/>
      <w:i w:val="0"/>
      <w:iCs w:val="0"/>
      <w:smallCaps w:val="0"/>
      <w:strike w:val="0"/>
      <w:sz w:val="20"/>
      <w:szCs w:val="20"/>
      <w:u w:val="none"/>
    </w:rPr>
  </w:style>
  <w:style w:type="character" w:customStyle="1" w:styleId="CharStyle23">
    <w:name w:val="Nadpis #1_"/>
    <w:basedOn w:val="DefaultParagraphFont"/>
    <w:link w:val="Style22"/>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Jiné"/>
    <w:basedOn w:val="Normal"/>
    <w:link w:val="CharStyle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0">
    <w:name w:val="Základní text (2)"/>
    <w:basedOn w:val="Normal"/>
    <w:link w:val="CharStyle21"/>
    <w:pPr>
      <w:widowControl w:val="0"/>
      <w:shd w:val="clear" w:color="auto" w:fill="FFFFFF"/>
      <w:spacing w:after="550"/>
      <w:ind w:left="4090" w:right="240"/>
    </w:pPr>
    <w:rPr>
      <w:rFonts w:ascii="Calibri" w:eastAsia="Calibri" w:hAnsi="Calibri" w:cs="Calibri"/>
      <w:b/>
      <w:bCs/>
      <w:i w:val="0"/>
      <w:iCs w:val="0"/>
      <w:smallCaps w:val="0"/>
      <w:strike w:val="0"/>
      <w:sz w:val="20"/>
      <w:szCs w:val="20"/>
      <w:u w:val="none"/>
    </w:rPr>
  </w:style>
  <w:style w:type="paragraph" w:customStyle="1" w:styleId="Style22">
    <w:name w:val="Nadpis #1"/>
    <w:basedOn w:val="Normal"/>
    <w:link w:val="CharStyle23"/>
    <w:pPr>
      <w:widowControl w:val="0"/>
      <w:shd w:val="clear" w:color="auto" w:fill="FFFFFF"/>
      <w:spacing w:after="560"/>
      <w:ind w:firstLine="32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s>
</file>

<file path=docProps/core.xml><?xml version="1.0" encoding="utf-8"?>
<cp:coreProperties xmlns:cp="http://schemas.openxmlformats.org/package/2006/metadata/core-properties" xmlns:dc="http://purl.org/dc/elements/1.1/">
  <dc:title>Krajská správa a údržba silnic Vysočiny, příspěvková organizace,</dc:title>
  <dc:subject/>
  <dc:creator>zidkova</dc:creator>
  <cp:keywords/>
</cp:coreProperties>
</file>