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D9576B" w:rsidRDefault="00A82839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1C3F6C" w:rsidRPr="00D9576B">
        <w:t>53</w:t>
      </w:r>
      <w:r w:rsidRPr="00D9576B">
        <w:t>/473634/20</w:t>
      </w:r>
      <w:r w:rsidR="001C3F6C" w:rsidRPr="00D9576B">
        <w:t>20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……………..</w:t>
      </w: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C3750B" w:rsidP="00367C48">
      <w:pPr>
        <w:jc w:val="center"/>
        <w:rPr>
          <w:b/>
          <w:bCs/>
        </w:rPr>
      </w:pPr>
      <w:r w:rsidRPr="00D9576B">
        <w:rPr>
          <w:b/>
        </w:rPr>
        <w:t xml:space="preserve">Dodávka </w:t>
      </w:r>
      <w:r w:rsidR="00A3417E" w:rsidRPr="00D9576B">
        <w:rPr>
          <w:b/>
        </w:rPr>
        <w:t>ICT</w:t>
      </w:r>
      <w:r w:rsidR="006E3CF6" w:rsidRPr="00D9576B">
        <w:rPr>
          <w:b/>
        </w:rPr>
        <w:t xml:space="preserve"> </w:t>
      </w:r>
      <w:r w:rsidR="007B2DA9" w:rsidRPr="00D9576B">
        <w:rPr>
          <w:b/>
        </w:rPr>
        <w:t xml:space="preserve">techniky a softwaru pro </w:t>
      </w:r>
      <w:r w:rsidR="00367C48" w:rsidRPr="00D9576B">
        <w:rPr>
          <w:b/>
        </w:rPr>
        <w:t>SOŠ a SOU Kladno</w:t>
      </w:r>
    </w:p>
    <w:p w:rsidR="00367C48" w:rsidRPr="00D9576B" w:rsidRDefault="00367C48" w:rsidP="00367C48">
      <w:pPr>
        <w:autoSpaceDE w:val="0"/>
        <w:ind w:left="360"/>
        <w:jc w:val="center"/>
        <w:rPr>
          <w:b/>
          <w:bCs/>
        </w:rPr>
      </w:pPr>
    </w:p>
    <w:p w:rsidR="000E102E" w:rsidRPr="00D9576B" w:rsidRDefault="000E102E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t xml:space="preserve">xxxxxxxx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A85192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A85192">
        <w:t>xxxxxxx</w:t>
      </w:r>
      <w:r w:rsidR="003771F5" w:rsidRPr="00D9576B">
        <w:t>@sosasoukladno.cz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  <w:t>KB Kladno</w:t>
      </w:r>
      <w:r w:rsidRPr="00D9576B">
        <w:t xml:space="preserve">, číslo účtu: </w:t>
      </w:r>
      <w:r w:rsidR="00A85192">
        <w:t>xxxxxxx</w:t>
      </w:r>
      <w:r w:rsidR="003771F5" w:rsidRPr="00D9576B">
        <w:t>/</w:t>
      </w:r>
      <w:r w:rsidR="00A85192">
        <w:t>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B50965">
        <w:tab/>
        <w:t>TERA SYSTEMS s.r.o.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B50965">
        <w:t>Lidická tř. 1004/139, 370 07 České Budějovice</w:t>
      </w:r>
    </w:p>
    <w:p w:rsidR="000E102E" w:rsidRPr="00D9576B" w:rsidRDefault="000E102E">
      <w:pPr>
        <w:autoSpaceDE w:val="0"/>
      </w:pPr>
      <w:r w:rsidRPr="00D9576B">
        <w:t>zapsaný</w:t>
      </w:r>
      <w:r w:rsidR="00B50965">
        <w:t xml:space="preserve"> v obchodním rejstříku vedeném Krajským </w:t>
      </w:r>
      <w:r w:rsidRPr="00D9576B">
        <w:t>soudem v</w:t>
      </w:r>
      <w:r w:rsidR="00B50965">
        <w:t> Českých Budějovicích</w:t>
      </w:r>
      <w:r w:rsidRPr="00D9576B">
        <w:t xml:space="preserve"> v oddíle </w:t>
      </w:r>
      <w:r w:rsidR="00B50965">
        <w:t>C</w:t>
      </w:r>
      <w:r w:rsidRPr="00D9576B">
        <w:t xml:space="preserve"> vložka </w:t>
      </w:r>
      <w:r w:rsidR="00B50965">
        <w:t>16083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B50965">
        <w:t>Ing. Václav Kostlán, jednatel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</w:r>
      <w:r w:rsidR="00A85192">
        <w:t>xxx xxx xxx</w:t>
      </w:r>
    </w:p>
    <w:p w:rsidR="00A80F0C" w:rsidRPr="00D9576B" w:rsidRDefault="00B50965">
      <w:pPr>
        <w:autoSpaceDE w:val="0"/>
        <w:ind w:left="360" w:hanging="360"/>
      </w:pPr>
      <w:r>
        <w:t>E-mail:</w:t>
      </w:r>
      <w:r>
        <w:tab/>
      </w:r>
      <w:r>
        <w:tab/>
      </w:r>
      <w:r w:rsidR="00A85192">
        <w:t>xxxxxx</w:t>
      </w:r>
      <w:r>
        <w:t>.</w:t>
      </w:r>
      <w:r w:rsidR="00A85192">
        <w:t>xxxxxx</w:t>
      </w:r>
      <w:r>
        <w:t>@tera.cz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B50965">
        <w:t>:</w:t>
      </w:r>
      <w:r w:rsidR="00B50965">
        <w:tab/>
      </w:r>
      <w:r w:rsidR="00B50965">
        <w:tab/>
      </w:r>
      <w:r w:rsidR="00B50965">
        <w:tab/>
        <w:t>28080289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="00B50965">
        <w:t>CZ28080289</w:t>
      </w:r>
    </w:p>
    <w:p w:rsidR="00B50965" w:rsidRDefault="000E102E">
      <w:pPr>
        <w:autoSpaceDE w:val="0"/>
        <w:rPr>
          <w:highlight w:val="yellow"/>
        </w:rPr>
      </w:pPr>
      <w:r w:rsidRPr="00D9576B">
        <w:t xml:space="preserve">Bankovní spojení: </w:t>
      </w:r>
      <w:r w:rsidR="00B50965" w:rsidRPr="00B50965">
        <w:t>ČSOB,</w:t>
      </w:r>
      <w:r w:rsidRPr="00D9576B">
        <w:t xml:space="preserve"> číslo účtu </w:t>
      </w:r>
      <w:r w:rsidR="00A85192">
        <w:t>xxxxxxxxx</w:t>
      </w:r>
      <w:r w:rsidR="00B50965">
        <w:t>/</w:t>
      </w:r>
      <w:r w:rsidR="00A85192">
        <w:t>xxxx</w:t>
      </w:r>
      <w:bookmarkStart w:id="0" w:name="_GoBack"/>
      <w:bookmarkEnd w:id="0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Default="000E102E">
      <w:pPr>
        <w:autoSpaceDE w:val="0"/>
        <w:ind w:left="360"/>
        <w:rPr>
          <w:i/>
          <w:iCs/>
        </w:rPr>
      </w:pPr>
    </w:p>
    <w:p w:rsidR="00B50965" w:rsidRDefault="00B50965">
      <w:pPr>
        <w:autoSpaceDE w:val="0"/>
        <w:ind w:left="360"/>
        <w:rPr>
          <w:i/>
          <w:iCs/>
        </w:rPr>
      </w:pPr>
    </w:p>
    <w:p w:rsidR="00B50965" w:rsidRPr="00D9576B" w:rsidRDefault="00B50965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lastRenderedPageBreak/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C3750B" w:rsidRPr="00D9576B">
        <w:rPr>
          <w:b/>
        </w:rPr>
        <w:t xml:space="preserve">Dodávka </w:t>
      </w:r>
      <w:r w:rsidR="00A3417E" w:rsidRPr="00D9576B">
        <w:rPr>
          <w:b/>
        </w:rPr>
        <w:t>ICT</w:t>
      </w:r>
      <w:r w:rsidR="00C3750B" w:rsidRPr="00D9576B">
        <w:rPr>
          <w:b/>
        </w:rPr>
        <w:t xml:space="preserve"> </w:t>
      </w:r>
      <w:r w:rsidR="007B2DA9" w:rsidRPr="00D9576B">
        <w:rPr>
          <w:b/>
        </w:rPr>
        <w:t xml:space="preserve">techniky a softwaru pro </w:t>
      </w:r>
      <w:r w:rsidRPr="00D9576B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A3417E" w:rsidRPr="00D9576B">
        <w:rPr>
          <w:bCs/>
        </w:rPr>
        <w:t>ICT techniku</w:t>
      </w:r>
      <w:r w:rsidRPr="00D9576B">
        <w:rPr>
          <w:bCs/>
        </w:rPr>
        <w:t xml:space="preserve"> 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C3750B" w:rsidRPr="00D9576B">
        <w:rPr>
          <w:bCs/>
        </w:rPr>
        <w:t xml:space="preserve">Dodávka </w:t>
      </w:r>
      <w:r w:rsidR="00A3417E" w:rsidRPr="00D9576B">
        <w:rPr>
          <w:bCs/>
        </w:rPr>
        <w:t>ICT</w:t>
      </w:r>
      <w:r w:rsidR="00C3750B" w:rsidRPr="00D9576B">
        <w:rPr>
          <w:bCs/>
        </w:rPr>
        <w:t xml:space="preserve"> </w:t>
      </w:r>
      <w:r w:rsidR="007B2DA9" w:rsidRPr="00D9576B">
        <w:rPr>
          <w:bCs/>
        </w:rPr>
        <w:t xml:space="preserve">techniky a softwaru pro </w:t>
      </w:r>
      <w:r w:rsidR="00C3750B" w:rsidRPr="00D9576B">
        <w:rPr>
          <w:bCs/>
        </w:rPr>
        <w:t>S</w:t>
      </w:r>
      <w:r w:rsidRPr="00D9576B">
        <w:rPr>
          <w:bCs/>
        </w:rPr>
        <w:t>OŠ a SOU Kladno.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B50965" w:rsidRPr="00B50965">
        <w:rPr>
          <w:b/>
        </w:rPr>
        <w:t>467.077,-</w:t>
      </w:r>
      <w:r w:rsidRPr="00D9576B">
        <w:rPr>
          <w:b/>
        </w:rPr>
        <w:t xml:space="preserve"> Kč</w:t>
      </w:r>
      <w:r w:rsidRPr="00D9576B">
        <w:t xml:space="preserve"> (slovy: </w:t>
      </w:r>
      <w:r w:rsidR="00B50965">
        <w:t>čtyřistašedesátsedmtisícsedmdesátsedmkorunčeských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je členěna takto:</w:t>
      </w:r>
    </w:p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B50965">
        <w:t>467.077,-</w:t>
      </w:r>
      <w:r w:rsidR="00360A2C">
        <w:t xml:space="preserve">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B50965">
        <w:t xml:space="preserve">  98.086,-</w:t>
      </w:r>
      <w:r w:rsidR="00360A2C">
        <w:t xml:space="preserve">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B50965">
        <w:t>565.163,-</w:t>
      </w:r>
      <w:r w:rsidR="00360A2C">
        <w:t xml:space="preserve"> Kč</w:t>
      </w:r>
    </w:p>
    <w:p w:rsidR="006E3CF6" w:rsidRPr="00D9576B" w:rsidRDefault="006E3CF6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C3750B" w:rsidRPr="00D9576B">
        <w:t xml:space="preserve">Dodávka </w:t>
      </w:r>
      <w:r w:rsidR="00A3417E" w:rsidRPr="00D9576B">
        <w:t>ICT</w:t>
      </w:r>
      <w:r w:rsidRPr="00D9576B">
        <w:t xml:space="preserve"> </w:t>
      </w:r>
      <w:r w:rsidR="007B2DA9" w:rsidRPr="00D9576B">
        <w:t xml:space="preserve">techniky a softwaru pro </w:t>
      </w:r>
      <w:r w:rsidRPr="00D9576B">
        <w:t>SOŠ a SOU Kladno“, a která se stala vítěznou.</w:t>
      </w:r>
    </w:p>
    <w:p w:rsidR="006E3CF6" w:rsidRPr="00D9576B" w:rsidRDefault="006E3CF6" w:rsidP="006E3CF6"/>
    <w:p w:rsidR="000C366D" w:rsidRPr="00D9576B" w:rsidRDefault="000C366D" w:rsidP="006E3CF6"/>
    <w:p w:rsidR="006E3CF6" w:rsidRPr="00D9576B" w:rsidRDefault="006E3CF6" w:rsidP="006E3CF6"/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 w:rsidRPr="00D9576B">
        <w:t>nábytku</w:t>
      </w:r>
      <w:r w:rsidRPr="00D9576B">
        <w:t>, které musí odpovídat parametrům stanoveným v čl. 2.1 této smlouvy.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493A50">
        <w:t xml:space="preserve">do </w:t>
      </w:r>
      <w:r w:rsidR="007B2DA9" w:rsidRPr="00493A50">
        <w:t xml:space="preserve">31. </w:t>
      </w:r>
      <w:r w:rsidR="00CD59C2">
        <w:t>12</w:t>
      </w:r>
      <w:r w:rsidR="007B2DA9" w:rsidRPr="00493A50">
        <w:t>. 2020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 xml:space="preserve">Nahlášení reklamace je možné telefonicky či písemně prodávajícímu na adresu uvedenou v záhlaví této smlouvy. Po nahlášení reklamační závady bude provedena reklamace </w:t>
      </w:r>
      <w:r w:rsidRPr="00D9576B">
        <w:lastRenderedPageBreak/>
        <w:t>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Pr="00D9576B">
        <w:t xml:space="preserve"> dopravu.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D9576B" w:rsidRDefault="006E3CF6" w:rsidP="006E3CF6">
      <w:r w:rsidRPr="00D9576B">
        <w:t>10.1</w:t>
      </w:r>
      <w:r w:rsidRPr="00D9576B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D9576B" w:rsidRDefault="006E3CF6" w:rsidP="006E3CF6"/>
    <w:p w:rsidR="006E3CF6" w:rsidRPr="00D9576B" w:rsidRDefault="006E3CF6" w:rsidP="006E3CF6">
      <w:r w:rsidRPr="00D9576B">
        <w:t>10.2</w:t>
      </w:r>
      <w:r w:rsidRPr="00D9576B"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Pr="00D9576B" w:rsidRDefault="006E3CF6" w:rsidP="006E3CF6">
      <w:r w:rsidRPr="00D9576B">
        <w:t>11.4     Tato smlouva nabývá účinnosti podpisem obou smluvních stran.</w:t>
      </w:r>
    </w:p>
    <w:p w:rsidR="006E3CF6" w:rsidRPr="00D9576B" w:rsidRDefault="006E3CF6" w:rsidP="006E3CF6"/>
    <w:p w:rsidR="006E3CF6" w:rsidRDefault="006E3CF6" w:rsidP="006E3CF6">
      <w:r w:rsidRPr="00D9576B">
        <w:t>11.5    Oprávnění zástupci smluvních stran prohlašují, že si smlouvu přečetli a její text</w:t>
      </w:r>
      <w:r w:rsidR="00D9576B">
        <w:t xml:space="preserve"> </w:t>
      </w:r>
      <w:r w:rsidRPr="00D9576B">
        <w:t>odpovídá pravé a svobodné vůli smluvních stran. Na důkaz toho připojují své podpisy.</w:t>
      </w:r>
    </w:p>
    <w:p w:rsidR="00D9576B" w:rsidRPr="00D9576B" w:rsidRDefault="00D9576B" w:rsidP="006E3CF6"/>
    <w:p w:rsidR="006E3CF6" w:rsidRPr="00D9576B" w:rsidRDefault="006E3CF6" w:rsidP="006E3CF6"/>
    <w:p w:rsidR="00EC3183" w:rsidRPr="00D9576B" w:rsidRDefault="006E3CF6" w:rsidP="00EC3183">
      <w:r w:rsidRPr="00D9576B">
        <w:lastRenderedPageBreak/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V</w:t>
      </w:r>
      <w:r w:rsidR="00B50965">
        <w:t> Českých Budějovicích</w:t>
      </w:r>
      <w:r w:rsidRPr="00D9576B">
        <w:t xml:space="preserve"> dne</w:t>
      </w:r>
      <w:r w:rsidR="00B50965">
        <w:t xml:space="preserve"> </w:t>
      </w:r>
      <w:r w:rsidR="00CD59C2">
        <w:t>8</w:t>
      </w:r>
      <w:r w:rsidR="00B50965">
        <w:t xml:space="preserve">. </w:t>
      </w:r>
      <w:r w:rsidR="00CD59C2">
        <w:t>9</w:t>
      </w:r>
      <w:r w:rsidR="00B50965">
        <w:t>. 2020</w:t>
      </w:r>
      <w:r w:rsidRPr="00D9576B">
        <w:tab/>
      </w:r>
      <w:r w:rsidR="00B50965">
        <w:tab/>
      </w:r>
      <w:r w:rsidR="00B50965">
        <w:tab/>
      </w:r>
      <w:r w:rsidRPr="00D9576B">
        <w:t xml:space="preserve">V Kladně dne </w:t>
      </w:r>
      <w:r w:rsidR="00CD59C2">
        <w:t>8</w:t>
      </w:r>
      <w:r w:rsidR="00B50965">
        <w:t xml:space="preserve">. </w:t>
      </w:r>
      <w:r w:rsidR="00CD59C2">
        <w:t>9</w:t>
      </w:r>
      <w:r w:rsidR="00B50965">
        <w:t>. 2020</w:t>
      </w:r>
    </w:p>
    <w:p w:rsidR="006E3CF6" w:rsidRPr="00D9576B" w:rsidRDefault="006E3CF6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B50965" w:rsidP="00B50965">
      <w:pPr>
        <w:ind w:firstLine="709"/>
      </w:pPr>
      <w:r>
        <w:t>Ing. Václav Kostlán</w:t>
      </w:r>
      <w:r w:rsidR="006E3CF6" w:rsidRPr="00D9576B">
        <w:t xml:space="preserve">          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    Mgr. Petr Paták, DiS.</w:t>
      </w:r>
    </w:p>
    <w:p w:rsidR="006E3CF6" w:rsidRPr="00D9576B" w:rsidRDefault="00B50965" w:rsidP="00B50965">
      <w:r>
        <w:t xml:space="preserve">                     jednatel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</w:t>
      </w:r>
      <w:r>
        <w:t xml:space="preserve">                      </w:t>
      </w:r>
      <w:r w:rsidR="006E3CF6" w:rsidRPr="00D9576B">
        <w:t>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85192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85192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A2C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67C3E"/>
    <w:rsid w:val="00474E8E"/>
    <w:rsid w:val="004810F4"/>
    <w:rsid w:val="0049232C"/>
    <w:rsid w:val="00493A50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3417E"/>
    <w:rsid w:val="00A51086"/>
    <w:rsid w:val="00A54447"/>
    <w:rsid w:val="00A56FCC"/>
    <w:rsid w:val="00A600AA"/>
    <w:rsid w:val="00A73BE6"/>
    <w:rsid w:val="00A80DD4"/>
    <w:rsid w:val="00A80F0C"/>
    <w:rsid w:val="00A82839"/>
    <w:rsid w:val="00A85192"/>
    <w:rsid w:val="00AA1921"/>
    <w:rsid w:val="00AB0927"/>
    <w:rsid w:val="00AC0C78"/>
    <w:rsid w:val="00AC6D31"/>
    <w:rsid w:val="00AF3C9C"/>
    <w:rsid w:val="00AF4107"/>
    <w:rsid w:val="00B2511B"/>
    <w:rsid w:val="00B27E33"/>
    <w:rsid w:val="00B50965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D59C2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6A93-C232-45ED-95AD-1EB65DC6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1227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51</cp:revision>
  <cp:lastPrinted>2016-11-09T08:00:00Z</cp:lastPrinted>
  <dcterms:created xsi:type="dcterms:W3CDTF">2016-11-06T18:15:00Z</dcterms:created>
  <dcterms:modified xsi:type="dcterms:W3CDTF">2020-09-10T06:19:00Z</dcterms:modified>
</cp:coreProperties>
</file>