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9-286/52021/20/RS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České vysoké učení technické v Praze</w:t>
            </w:r>
          </w:p>
          <w:p w:rsidR="00F369D2" w:rsidRPr="002735A2" w:rsidRDefault="00A77BAD" w:rsidP="002F58BF">
            <w:r>
              <w:t>Prof. Ing. Jiří Nožička, CSc</w:t>
            </w:r>
          </w:p>
          <w:p w:rsidR="00F369D2" w:rsidRPr="002735A2" w:rsidRDefault="00A77BAD" w:rsidP="002F58BF">
            <w:r>
              <w:t>Jugoslávských partyzánů 1580/3, 160 00 Praha 6 - Dejvice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68407700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CZ68407700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25.9.2020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 xml:space="preserve">zpracování expertního posouzení protipovodňových čerpadel dle Vaší nabídky. Expertní posudek bude zpracován nejpozději do </w:t>
            </w:r>
            <w:r w:rsidR="009D240B">
              <w:t>31. 10</w:t>
            </w:r>
            <w:r>
              <w:t>.</w:t>
            </w:r>
            <w:r w:rsidR="009D240B">
              <w:t xml:space="preserve"> </w:t>
            </w:r>
            <w:bookmarkStart w:id="0" w:name="_GoBack"/>
            <w:bookmarkEnd w:id="0"/>
            <w:r>
              <w:t>2020.</w:t>
            </w:r>
          </w:p>
          <w:p w:rsidR="00FF2AF2" w:rsidRDefault="00FF2AF2"/>
          <w:p w:rsidR="00FF2AF2" w:rsidRDefault="009D240B">
            <w:r>
              <w:t>Celková cena bez DPH nepřesáhne 460.000,- Kč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212E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D240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8F6D8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AA1D-E55C-4397-AEE6-4ED158C3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3</cp:revision>
  <cp:lastPrinted>2019-02-01T15:06:00Z</cp:lastPrinted>
  <dcterms:created xsi:type="dcterms:W3CDTF">2020-09-09T11:06:00Z</dcterms:created>
  <dcterms:modified xsi:type="dcterms:W3CDTF">2020-09-09T11:06:00Z</dcterms:modified>
</cp:coreProperties>
</file>