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1B3E" w:rsidRPr="00973D3F" w:rsidRDefault="004E182B" w:rsidP="004E182B">
      <w:pPr>
        <w:pStyle w:val="Zkladntext"/>
        <w:pageBreakBefore/>
        <w:jc w:val="right"/>
        <w:rPr>
          <w:rFonts w:asciiTheme="majorHAnsi" w:hAnsiTheme="majorHAnsi" w:cs="Tahoma"/>
          <w:b w:val="0"/>
          <w:bCs w:val="0"/>
          <w:color w:val="000000" w:themeColor="text1"/>
          <w:sz w:val="20"/>
          <w:szCs w:val="20"/>
        </w:rPr>
      </w:pPr>
      <w:bookmarkStart w:id="0" w:name="_GoBack"/>
      <w:bookmarkEnd w:id="0"/>
      <w:r>
        <w:rPr>
          <w:rFonts w:asciiTheme="majorHAnsi" w:hAnsiTheme="majorHAnsi" w:cs="Tahoma"/>
          <w:b w:val="0"/>
          <w:bCs w:val="0"/>
          <w:color w:val="000000" w:themeColor="text1"/>
          <w:sz w:val="20"/>
          <w:szCs w:val="20"/>
        </w:rPr>
        <w:t xml:space="preserve"> </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EC5EF9">
        <w:rPr>
          <w:rFonts w:asciiTheme="majorHAnsi" w:hAnsiTheme="majorHAnsi" w:cs="Tahoma"/>
          <w:b w:val="0"/>
          <w:bCs w:val="0"/>
          <w:color w:val="000000" w:themeColor="text1"/>
          <w:sz w:val="20"/>
          <w:szCs w:val="20"/>
        </w:rPr>
        <w:t>040</w:t>
      </w:r>
      <w:r w:rsidR="00291CCE">
        <w:rPr>
          <w:rFonts w:asciiTheme="majorHAnsi" w:hAnsiTheme="majorHAnsi" w:cs="Tahoma"/>
          <w:b w:val="0"/>
          <w:bCs w:val="0"/>
          <w:color w:val="000000" w:themeColor="text1"/>
          <w:sz w:val="20"/>
          <w:szCs w:val="20"/>
        </w:rPr>
        <w:t>/</w:t>
      </w:r>
      <w:r w:rsidR="00EC5EF9">
        <w:rPr>
          <w:rFonts w:asciiTheme="majorHAnsi" w:hAnsiTheme="majorHAnsi" w:cs="Tahoma"/>
          <w:b w:val="0"/>
          <w:bCs w:val="0"/>
          <w:color w:val="000000" w:themeColor="text1"/>
          <w:sz w:val="20"/>
          <w:szCs w:val="20"/>
        </w:rPr>
        <w:t>20</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7055CF">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7055CF">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7F3308">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EndoTech s.r.o.</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7F3308">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7F3308">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7F3308">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7F3308">
        <w:rPr>
          <w:rFonts w:ascii="Tahoma" w:hAnsi="Tahoma" w:cs="Tahoma"/>
          <w:color w:val="000000" w:themeColor="text1"/>
          <w:sz w:val="20"/>
          <w:szCs w:val="20"/>
        </w:rPr>
        <w:t>252340</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7F3308">
        <w:rPr>
          <w:rFonts w:ascii="Tahoma" w:hAnsi="Tahoma" w:cs="Tahoma"/>
          <w:color w:val="000000" w:themeColor="text1"/>
          <w:sz w:val="20"/>
          <w:szCs w:val="20"/>
        </w:rPr>
        <w:t>Třebonická 243, 252 19 Chrášťany</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7F3308">
        <w:rPr>
          <w:rFonts w:ascii="Tahoma" w:hAnsi="Tahoma" w:cs="Tahoma"/>
          <w:color w:val="000000" w:themeColor="text1"/>
          <w:sz w:val="20"/>
          <w:szCs w:val="20"/>
        </w:rPr>
        <w:t>04704894</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7F3308">
        <w:rPr>
          <w:rFonts w:ascii="Tahoma" w:hAnsi="Tahoma" w:cs="Tahoma"/>
          <w:color w:val="000000" w:themeColor="text1"/>
          <w:sz w:val="20"/>
          <w:szCs w:val="20"/>
        </w:rPr>
        <w:t>CZ04704894</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7F3308">
        <w:rPr>
          <w:rFonts w:ascii="Tahoma" w:hAnsi="Tahoma" w:cs="Tahoma"/>
          <w:color w:val="000000" w:themeColor="text1"/>
          <w:sz w:val="20"/>
          <w:szCs w:val="20"/>
        </w:rPr>
        <w:t>Mgr. Petr Jeřábek</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7F3308">
        <w:rPr>
          <w:rFonts w:ascii="Tahoma" w:hAnsi="Tahoma" w:cs="Tahoma"/>
          <w:color w:val="000000" w:themeColor="text1"/>
          <w:sz w:val="20"/>
          <w:szCs w:val="20"/>
        </w:rPr>
        <w:t>ČSOB</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7055CF">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7055CF">
        <w:rPr>
          <w:rFonts w:ascii="Tahoma" w:hAnsi="Tahoma" w:cs="Tahoma"/>
          <w:color w:val="000000" w:themeColor="text1"/>
          <w:sz w:val="20"/>
          <w:szCs w:val="20"/>
        </w:rPr>
        <w:t>xxx</w:t>
      </w:r>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Předm</w:t>
      </w:r>
      <w:r w:rsidRPr="00EC5EF9">
        <w:rPr>
          <w:rFonts w:ascii="Tahoma" w:hAnsi="Tahoma" w:cs="Tahoma"/>
          <w:color w:val="000000" w:themeColor="text1"/>
          <w:sz w:val="20"/>
          <w:szCs w:val="20"/>
        </w:rPr>
        <w:t xml:space="preserve">ětem této dohody je realizace veřejné zakázky s názvem </w:t>
      </w:r>
      <w:r w:rsidR="009C67CD" w:rsidRPr="00EC5EF9">
        <w:rPr>
          <w:rFonts w:ascii="Tahoma" w:hAnsi="Tahoma" w:cs="Tahoma"/>
          <w:b/>
          <w:color w:val="000000" w:themeColor="text1"/>
          <w:sz w:val="20"/>
          <w:szCs w:val="20"/>
        </w:rPr>
        <w:t>„</w:t>
      </w:r>
      <w:r w:rsidR="00EC5EF9" w:rsidRPr="00EC5EF9">
        <w:rPr>
          <w:rFonts w:ascii="Tahoma" w:hAnsi="Tahoma" w:cs="Tahoma"/>
          <w:b/>
          <w:color w:val="000000"/>
          <w:sz w:val="20"/>
          <w:szCs w:val="20"/>
        </w:rPr>
        <w:t>Dodávky balónkových katétrů pro radiologii</w:t>
      </w:r>
      <w:r w:rsidR="009C67CD" w:rsidRPr="00EC5EF9">
        <w:rPr>
          <w:rFonts w:ascii="Tahoma" w:hAnsi="Tahoma" w:cs="Tahoma"/>
          <w:b/>
          <w:color w:val="000000" w:themeColor="text1"/>
          <w:sz w:val="20"/>
          <w:szCs w:val="20"/>
        </w:rPr>
        <w:t>“</w:t>
      </w:r>
      <w:r w:rsidRPr="00EC5EF9">
        <w:rPr>
          <w:rFonts w:ascii="Tahoma" w:hAnsi="Tahoma" w:cs="Tahoma"/>
          <w:color w:val="000000" w:themeColor="text1"/>
          <w:sz w:val="20"/>
          <w:szCs w:val="20"/>
        </w:rPr>
        <w:t xml:space="preserve"> </w:t>
      </w:r>
      <w:r w:rsidR="00AB4C1C" w:rsidRPr="00EC5EF9">
        <w:rPr>
          <w:rFonts w:ascii="Tahoma" w:hAnsi="Tahoma" w:cs="Tahoma"/>
          <w:color w:val="000000" w:themeColor="text1"/>
          <w:sz w:val="20"/>
          <w:szCs w:val="20"/>
        </w:rPr>
        <w:t xml:space="preserve">– </w:t>
      </w:r>
      <w:r w:rsidR="00AB4C1C" w:rsidRPr="004E182B">
        <w:rPr>
          <w:rFonts w:ascii="Tahoma" w:hAnsi="Tahoma" w:cs="Tahoma"/>
          <w:b/>
          <w:color w:val="000000" w:themeColor="text1"/>
          <w:sz w:val="20"/>
          <w:szCs w:val="20"/>
        </w:rPr>
        <w:t>část</w:t>
      </w:r>
      <w:r w:rsidR="004E182B" w:rsidRPr="004E182B">
        <w:rPr>
          <w:rFonts w:ascii="Tahoma" w:hAnsi="Tahoma" w:cs="Tahoma"/>
          <w:b/>
          <w:color w:val="000000" w:themeColor="text1"/>
          <w:sz w:val="20"/>
          <w:szCs w:val="20"/>
        </w:rPr>
        <w:t xml:space="preserve"> 7</w:t>
      </w:r>
      <w:r w:rsidR="00AB4C1C" w:rsidRPr="004E182B">
        <w:rPr>
          <w:rFonts w:ascii="Tahoma" w:hAnsi="Tahoma" w:cs="Tahoma"/>
          <w:b/>
          <w:color w:val="000000" w:themeColor="text1"/>
          <w:sz w:val="20"/>
          <w:szCs w:val="20"/>
        </w:rPr>
        <w:t xml:space="preserve"> </w:t>
      </w:r>
      <w:r w:rsidR="004E182B" w:rsidRPr="004E182B">
        <w:rPr>
          <w:rFonts w:ascii="Tahoma" w:hAnsi="Tahoma" w:cs="Tahoma"/>
          <w:b/>
          <w:color w:val="000000" w:themeColor="text1"/>
          <w:sz w:val="20"/>
          <w:szCs w:val="20"/>
        </w:rPr>
        <w:t xml:space="preserve">Balónkový dilatační katétr </w:t>
      </w:r>
      <w:r w:rsidR="004E182B">
        <w:rPr>
          <w:rFonts w:ascii="Tahoma" w:hAnsi="Tahoma" w:cs="Tahoma"/>
          <w:b/>
          <w:color w:val="000000" w:themeColor="text1"/>
          <w:sz w:val="20"/>
          <w:szCs w:val="20"/>
        </w:rPr>
        <w:t>monorail s profilem 0,018"</w:t>
      </w:r>
      <w:r w:rsidR="00AB4C1C" w:rsidRPr="00EC5EF9">
        <w:rPr>
          <w:rFonts w:ascii="Tahoma" w:hAnsi="Tahoma" w:cs="Tahoma"/>
          <w:color w:val="000000" w:themeColor="text1"/>
          <w:sz w:val="20"/>
          <w:szCs w:val="20"/>
        </w:rPr>
        <w:t xml:space="preserve"> </w:t>
      </w:r>
      <w:r w:rsidRPr="00EC5EF9">
        <w:rPr>
          <w:rFonts w:ascii="Tahoma" w:hAnsi="Tahoma" w:cs="Tahoma"/>
          <w:color w:val="000000" w:themeColor="text1"/>
          <w:sz w:val="20"/>
          <w:szCs w:val="20"/>
        </w:rPr>
        <w:t>(dále jen „</w:t>
      </w:r>
      <w:r w:rsidRPr="00EC5EF9">
        <w:rPr>
          <w:rFonts w:ascii="Tahoma" w:hAnsi="Tahoma" w:cs="Tahoma"/>
          <w:b/>
          <w:color w:val="000000" w:themeColor="text1"/>
          <w:sz w:val="20"/>
          <w:szCs w:val="20"/>
        </w:rPr>
        <w:t>Veřejná zakázka</w:t>
      </w:r>
      <w:r w:rsidRPr="00EC5EF9">
        <w:rPr>
          <w:rFonts w:ascii="Tahoma" w:hAnsi="Tahoma" w:cs="Tahoma"/>
          <w:color w:val="000000" w:themeColor="text1"/>
          <w:sz w:val="20"/>
          <w:szCs w:val="20"/>
        </w:rPr>
        <w:t xml:space="preserve">“) dle výsledku jejího zadávání. </w:t>
      </w:r>
      <w:r w:rsidR="00012D46" w:rsidRPr="00EC5EF9">
        <w:rPr>
          <w:rFonts w:ascii="Tahoma" w:hAnsi="Tahoma" w:cs="Tahoma"/>
          <w:color w:val="000000" w:themeColor="text1"/>
          <w:sz w:val="20"/>
          <w:szCs w:val="20"/>
        </w:rPr>
        <w:t>Veřejná zakázka byla zadána v rámci otevře</w:t>
      </w:r>
      <w:r w:rsidR="00012D46" w:rsidRPr="00AB4C1C">
        <w:rPr>
          <w:rFonts w:ascii="Tahoma" w:hAnsi="Tahoma" w:cs="Tahoma"/>
          <w:color w:val="000000" w:themeColor="text1"/>
          <w:sz w:val="20"/>
          <w:szCs w:val="20"/>
        </w:rPr>
        <w:t xml:space="preserv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4671C1">
        <w:rPr>
          <w:rFonts w:ascii="Tahoma" w:hAnsi="Tahoma" w:cs="Tahoma"/>
          <w:strike/>
          <w:color w:val="000000" w:themeColor="text1"/>
          <w:sz w:val="20"/>
          <w:szCs w:val="20"/>
          <w:lang w:eastAsia="en-US" w:bidi="en-US"/>
        </w:rPr>
        <w:t xml:space="preserve">výrobcem </w:t>
      </w:r>
      <w:r w:rsidR="00291CCE" w:rsidRPr="002B6122">
        <w:rPr>
          <w:rFonts w:ascii="Tahoma" w:hAnsi="Tahoma" w:cs="Tahoma"/>
          <w:color w:val="000000" w:themeColor="text1"/>
          <w:sz w:val="20"/>
          <w:szCs w:val="20"/>
          <w:lang w:eastAsia="en-US" w:bidi="en-US"/>
        </w:rPr>
        <w:t>*/dovozcem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lastRenderedPageBreak/>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lastRenderedPageBreak/>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1B1222">
        <w:rPr>
          <w:rFonts w:ascii="Tahoma" w:hAnsi="Tahoma" w:cs="Tahoma"/>
          <w:color w:val="000000" w:themeColor="text1"/>
          <w:sz w:val="20"/>
          <w:szCs w:val="20"/>
          <w:lang w:eastAsia="en-US" w:bidi="en-US"/>
        </w:rPr>
        <w:t>info@endotech.cz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995F44" w:rsidRDefault="00995F44" w:rsidP="00995F44">
      <w:pPr>
        <w:pStyle w:val="Odstavecseseznamem1"/>
        <w:numPr>
          <w:ilvl w:val="0"/>
          <w:numId w:val="14"/>
        </w:numPr>
        <w:spacing w:before="120"/>
        <w:ind w:left="426" w:hanging="426"/>
        <w:jc w:val="both"/>
        <w:rPr>
          <w:rFonts w:ascii="Tahoma" w:hAnsi="Tahoma" w:cs="Tahoma"/>
          <w:color w:val="000000"/>
          <w:sz w:val="20"/>
          <w:szCs w:val="20"/>
          <w:lang w:eastAsia="en-US" w:bidi="en-US"/>
        </w:rPr>
      </w:pPr>
      <w:r>
        <w:rPr>
          <w:rFonts w:ascii="Tahoma" w:hAnsi="Tahoma" w:cs="Tahoma"/>
          <w:color w:val="000000"/>
          <w:sz w:val="20"/>
          <w:szCs w:val="20"/>
          <w:lang w:eastAsia="en-US" w:bidi="en-US"/>
        </w:rPr>
        <w:t xml:space="preserve">Tato dohoda se uzavírá na dobu 48 měsíců počínající ode dne účinnosti této dohody. </w:t>
      </w:r>
      <w:r>
        <w:rPr>
          <w:rFonts w:ascii="Tahoma" w:hAnsi="Tahoma" w:cs="Tahoma"/>
          <w:color w:val="000000"/>
          <w:sz w:val="20"/>
          <w:szCs w:val="20"/>
        </w:rPr>
        <w:t xml:space="preserve">Před uplynutím této doby skončí bez dalšího platnost této dohody v případě, že souhrn dodávek zboží dle dílčích KS, které byly realizovány na základě této dohody, dosáhne výše předpokládané hodnoty, t.j. částky </w:t>
      </w:r>
      <w:r w:rsidR="004C7C70">
        <w:rPr>
          <w:rFonts w:ascii="Tahoma" w:hAnsi="Tahoma" w:cs="Tahoma"/>
          <w:color w:val="000000"/>
          <w:sz w:val="20"/>
          <w:szCs w:val="20"/>
        </w:rPr>
        <w:t>1 600 000,-</w:t>
      </w:r>
      <w:r>
        <w:rPr>
          <w:rFonts w:ascii="Tahoma" w:hAnsi="Tahoma" w:cs="Tahoma"/>
          <w:color w:val="000000"/>
          <w:sz w:val="20"/>
          <w:szCs w:val="20"/>
        </w:rPr>
        <w:t xml:space="preserve"> Kč bez DPH, a to dnem, ve kterém bylo uvedeného finančního limitu dosaženo uzavřením poslední (dílčí) KS.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 </w:t>
      </w:r>
      <w:r>
        <w:rPr>
          <w:rFonts w:ascii="Tahoma" w:hAnsi="Tahoma" w:cs="Tahoma"/>
          <w:color w:val="000000"/>
          <w:sz w:val="20"/>
          <w:szCs w:val="20"/>
          <w:lang w:eastAsia="en-US" w:bidi="en-US"/>
        </w:rPr>
        <w:t>Účinnost dohody může být rovněž ukončena písemnou dohodou stran dohody.</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227CEF">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227CEF">
        <w:rPr>
          <w:rFonts w:ascii="Tahoma" w:hAnsi="Tahoma" w:cs="Tahoma"/>
          <w:color w:val="000000" w:themeColor="text1"/>
          <w:sz w:val="20"/>
          <w:szCs w:val="20"/>
        </w:rPr>
        <w:t>14.7.2020</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227CEF">
        <w:rPr>
          <w:rFonts w:ascii="Tahoma" w:hAnsi="Tahoma" w:cs="Tahoma"/>
          <w:color w:val="000000" w:themeColor="text1"/>
          <w:sz w:val="20"/>
          <w:szCs w:val="20"/>
        </w:rPr>
        <w:t xml:space="preserve">         Mgr. Petr Jeřábek</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227CEF">
        <w:rPr>
          <w:rFonts w:ascii="Tahoma" w:hAnsi="Tahoma" w:cs="Tahoma"/>
          <w:color w:val="000000" w:themeColor="text1"/>
          <w:sz w:val="20"/>
          <w:szCs w:val="20"/>
        </w:rPr>
        <w:t xml:space="preserve">           </w:t>
      </w:r>
      <w:r w:rsidRPr="002B6122">
        <w:rPr>
          <w:rFonts w:ascii="Tahoma" w:hAnsi="Tahoma" w:cs="Tahoma"/>
          <w:color w:val="000000" w:themeColor="text1"/>
          <w:sz w:val="20"/>
          <w:szCs w:val="20"/>
        </w:rPr>
        <w:t>jednatel</w:t>
      </w:r>
    </w:p>
    <w:p w:rsidR="00227CEF" w:rsidRDefault="00662D3B" w:rsidP="007D4DCB">
      <w:pPr>
        <w:pStyle w:val="Bezmezer"/>
        <w:rPr>
          <w:rFonts w:ascii="Tahoma" w:hAnsi="Tahoma" w:cs="Tahoma"/>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227CEF">
        <w:rPr>
          <w:rFonts w:ascii="Tahoma" w:hAnsi="Tahoma" w:cs="Tahoma"/>
          <w:bCs/>
          <w:color w:val="000000" w:themeColor="text1"/>
          <w:sz w:val="20"/>
          <w:szCs w:val="20"/>
        </w:rPr>
        <w:t xml:space="preserve">          EndoTech s.r.o.</w:t>
      </w:r>
      <w:r w:rsidRPr="002B6122">
        <w:rPr>
          <w:rFonts w:ascii="Tahoma" w:hAnsi="Tahoma" w:cs="Tahoma"/>
          <w:color w:val="000000" w:themeColor="text1"/>
          <w:sz w:val="20"/>
          <w:szCs w:val="20"/>
        </w:rPr>
        <w:t xml:space="preserve">               </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227CEF">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Kupující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227CEF">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005D41" w:rsidP="00642CDE">
      <w:pPr>
        <w:suppressAutoHyphens w:val="0"/>
        <w:rPr>
          <w:rFonts w:asciiTheme="majorHAnsi" w:hAnsiTheme="majorHAnsi" w:cs="Tahoma"/>
          <w:b/>
          <w:bCs/>
          <w:color w:val="000000" w:themeColor="text1"/>
          <w:sz w:val="22"/>
          <w:szCs w:val="22"/>
          <w:lang w:eastAsia="cs-CZ"/>
        </w:rPr>
      </w:pPr>
      <w:r w:rsidRPr="00005D41">
        <w:rPr>
          <w:noProof/>
          <w:lang w:eastAsia="cs-CZ"/>
        </w:rPr>
        <w:drawing>
          <wp:inline distT="0" distB="0" distL="0" distR="0">
            <wp:extent cx="6192520" cy="5970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5970905"/>
                    </a:xfrm>
                    <a:prstGeom prst="rect">
                      <a:avLst/>
                    </a:prstGeom>
                    <a:noFill/>
                    <a:ln>
                      <a:noFill/>
                    </a:ln>
                  </pic:spPr>
                </pic:pic>
              </a:graphicData>
            </a:graphic>
          </wp:inline>
        </w:drawing>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Default="00D86319" w:rsidP="00642CDE">
      <w:pPr>
        <w:suppressAutoHyphens w:val="0"/>
        <w:rPr>
          <w:rFonts w:asciiTheme="majorHAnsi" w:hAnsiTheme="majorHAnsi" w:cs="Tahoma"/>
          <w:b/>
          <w:bCs/>
          <w:color w:val="000000" w:themeColor="text1"/>
          <w:sz w:val="22"/>
          <w:szCs w:val="22"/>
          <w:lang w:eastAsia="cs-CZ"/>
        </w:rPr>
      </w:pPr>
      <w:r w:rsidRPr="00973D3F">
        <w:rPr>
          <w:rFonts w:asciiTheme="majorHAnsi" w:hAnsiTheme="majorHAnsi" w:cs="Tahoma"/>
          <w:b/>
          <w:bCs/>
          <w:color w:val="000000" w:themeColor="text1"/>
          <w:sz w:val="22"/>
          <w:szCs w:val="22"/>
          <w:lang w:eastAsia="cs-CZ"/>
        </w:rPr>
        <w:t>Příloha č. 2: Seznam poddodavatelů / Čestné prohlášení</w:t>
      </w: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Pr="00277632" w:rsidRDefault="00277632" w:rsidP="00642CDE">
      <w:pPr>
        <w:suppressAutoHyphens w:val="0"/>
        <w:rPr>
          <w:rFonts w:asciiTheme="majorHAnsi" w:hAnsiTheme="majorHAnsi" w:cs="Tahoma"/>
          <w:color w:val="000000" w:themeColor="text1"/>
          <w:sz w:val="22"/>
          <w:szCs w:val="22"/>
          <w:lang w:eastAsia="cs-CZ"/>
        </w:rPr>
      </w:pPr>
      <w:r w:rsidRPr="00277632">
        <w:rPr>
          <w:rFonts w:asciiTheme="majorHAnsi" w:hAnsiTheme="majorHAnsi" w:cs="Tahoma"/>
          <w:color w:val="000000" w:themeColor="text1"/>
          <w:sz w:val="22"/>
          <w:szCs w:val="22"/>
          <w:lang w:eastAsia="cs-CZ"/>
        </w:rPr>
        <w:t>Společnost EndoTech s.r.o., se sídlem Třebonick</w:t>
      </w:r>
      <w:r>
        <w:rPr>
          <w:rFonts w:asciiTheme="majorHAnsi" w:hAnsiTheme="majorHAnsi" w:cs="Tahoma"/>
          <w:color w:val="000000" w:themeColor="text1"/>
          <w:sz w:val="22"/>
          <w:szCs w:val="22"/>
          <w:lang w:eastAsia="cs-CZ"/>
        </w:rPr>
        <w:t>á</w:t>
      </w:r>
      <w:r w:rsidRPr="00277632">
        <w:rPr>
          <w:rFonts w:asciiTheme="majorHAnsi" w:hAnsiTheme="majorHAnsi" w:cs="Tahoma"/>
          <w:color w:val="000000" w:themeColor="text1"/>
          <w:sz w:val="22"/>
          <w:szCs w:val="22"/>
          <w:lang w:eastAsia="cs-CZ"/>
        </w:rPr>
        <w:t xml:space="preserve"> 243, 252 19 Chrášťany, čestně prohlašuje, že neplní a nebude plnit veřejnou zakázku pomocí poddodavatele.</w:t>
      </w: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Pr="00973D3F" w:rsidRDefault="00277632" w:rsidP="00642CDE">
      <w:pPr>
        <w:suppressAutoHyphens w:val="0"/>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 …………………….dne……………….</w:t>
      </w:r>
    </w:p>
    <w:p w:rsidR="00D86319" w:rsidRPr="00973D3F"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642CDE">
      <w:footerReference w:type="default" r:id="rId9"/>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D72" w:rsidRDefault="00E72D72">
      <w:r>
        <w:separator/>
      </w:r>
    </w:p>
  </w:endnote>
  <w:endnote w:type="continuationSeparator" w:id="0">
    <w:p w:rsidR="00E72D72" w:rsidRDefault="00E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a B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C" w:rsidRDefault="00AB4C1C" w:rsidP="002735A2">
    <w:pPr>
      <w:ind w:left="7788"/>
      <w:jc w:val="right"/>
    </w:pPr>
    <w:r>
      <w:rPr>
        <w:sz w:val="18"/>
        <w:szCs w:val="18"/>
      </w:rPr>
      <w:t xml:space="preserve">Stránka </w:t>
    </w:r>
    <w:r w:rsidR="00056BA5">
      <w:rPr>
        <w:sz w:val="18"/>
        <w:szCs w:val="18"/>
      </w:rPr>
      <w:fldChar w:fldCharType="begin"/>
    </w:r>
    <w:r>
      <w:rPr>
        <w:sz w:val="18"/>
        <w:szCs w:val="18"/>
      </w:rPr>
      <w:instrText xml:space="preserve"> PAGE </w:instrText>
    </w:r>
    <w:r w:rsidR="00056BA5">
      <w:rPr>
        <w:sz w:val="18"/>
        <w:szCs w:val="18"/>
      </w:rPr>
      <w:fldChar w:fldCharType="separate"/>
    </w:r>
    <w:r w:rsidR="0043696C">
      <w:rPr>
        <w:noProof/>
        <w:sz w:val="18"/>
        <w:szCs w:val="18"/>
      </w:rPr>
      <w:t>2</w:t>
    </w:r>
    <w:r w:rsidR="00056BA5">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D72" w:rsidRDefault="00E72D72">
      <w:r>
        <w:separator/>
      </w:r>
    </w:p>
  </w:footnote>
  <w:footnote w:type="continuationSeparator" w:id="0">
    <w:p w:rsidR="00E72D72" w:rsidRDefault="00E7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3"/>
    <w:rsid w:val="00005D41"/>
    <w:rsid w:val="000070AB"/>
    <w:rsid w:val="00011916"/>
    <w:rsid w:val="000120D5"/>
    <w:rsid w:val="000120DD"/>
    <w:rsid w:val="00012D46"/>
    <w:rsid w:val="00014214"/>
    <w:rsid w:val="0001434E"/>
    <w:rsid w:val="00023E18"/>
    <w:rsid w:val="00025B9A"/>
    <w:rsid w:val="00027461"/>
    <w:rsid w:val="00027694"/>
    <w:rsid w:val="0003272D"/>
    <w:rsid w:val="00032CE1"/>
    <w:rsid w:val="00033C58"/>
    <w:rsid w:val="000349A0"/>
    <w:rsid w:val="00044077"/>
    <w:rsid w:val="00045030"/>
    <w:rsid w:val="00051A3A"/>
    <w:rsid w:val="00056BA5"/>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08B7"/>
    <w:rsid w:val="0018296A"/>
    <w:rsid w:val="0018307D"/>
    <w:rsid w:val="00192734"/>
    <w:rsid w:val="001967BF"/>
    <w:rsid w:val="001A3289"/>
    <w:rsid w:val="001A5049"/>
    <w:rsid w:val="001A5776"/>
    <w:rsid w:val="001B1222"/>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27CEF"/>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632"/>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2D6A"/>
    <w:rsid w:val="00356FBA"/>
    <w:rsid w:val="00373DF4"/>
    <w:rsid w:val="00375BC4"/>
    <w:rsid w:val="00377342"/>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3696C"/>
    <w:rsid w:val="00443430"/>
    <w:rsid w:val="00451FF8"/>
    <w:rsid w:val="0045339D"/>
    <w:rsid w:val="00457364"/>
    <w:rsid w:val="004616D5"/>
    <w:rsid w:val="004653A9"/>
    <w:rsid w:val="004671C1"/>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C70"/>
    <w:rsid w:val="004C7D49"/>
    <w:rsid w:val="004E182B"/>
    <w:rsid w:val="00500796"/>
    <w:rsid w:val="00504C6E"/>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083C"/>
    <w:rsid w:val="006C2E51"/>
    <w:rsid w:val="006C49D4"/>
    <w:rsid w:val="006C6889"/>
    <w:rsid w:val="006D13A6"/>
    <w:rsid w:val="006D1880"/>
    <w:rsid w:val="006E07E8"/>
    <w:rsid w:val="006E4EC8"/>
    <w:rsid w:val="00701019"/>
    <w:rsid w:val="00701B7A"/>
    <w:rsid w:val="00704FA2"/>
    <w:rsid w:val="007055CF"/>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7F3308"/>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5F44"/>
    <w:rsid w:val="009961C1"/>
    <w:rsid w:val="009966C3"/>
    <w:rsid w:val="00996B76"/>
    <w:rsid w:val="00996E35"/>
    <w:rsid w:val="009A1AC3"/>
    <w:rsid w:val="009A30A0"/>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2BDB"/>
    <w:rsid w:val="00A73498"/>
    <w:rsid w:val="00A7713C"/>
    <w:rsid w:val="00A81A4F"/>
    <w:rsid w:val="00A8563A"/>
    <w:rsid w:val="00A87D3E"/>
    <w:rsid w:val="00A9047C"/>
    <w:rsid w:val="00A93006"/>
    <w:rsid w:val="00A97BC4"/>
    <w:rsid w:val="00AA03F3"/>
    <w:rsid w:val="00AA7608"/>
    <w:rsid w:val="00AB280A"/>
    <w:rsid w:val="00AB3221"/>
    <w:rsid w:val="00AB4C1C"/>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0B97"/>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2D72"/>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5EF9"/>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DFC6E98-3F3F-4F53-9046-1CDF39CB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088768796">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97768-50BB-47D5-A301-8BBB3D82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3376</Words>
  <Characters>19921</Characters>
  <Application>Microsoft Office Word</Application>
  <DocSecurity>0</DocSecurity>
  <Lines>166</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23251</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Chyba Radim, Ing. PhDr.</cp:lastModifiedBy>
  <cp:revision>2</cp:revision>
  <cp:lastPrinted>2020-07-15T09:02:00Z</cp:lastPrinted>
  <dcterms:created xsi:type="dcterms:W3CDTF">2020-09-08T12:12:00Z</dcterms:created>
  <dcterms:modified xsi:type="dcterms:W3CDTF">2020-09-08T12:12:00Z</dcterms:modified>
</cp:coreProperties>
</file>