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</w:t>
      </w:r>
      <w:proofErr w:type="gramStart"/>
      <w:r w:rsidRPr="0024479C">
        <w:rPr>
          <w:rFonts w:ascii="Arial" w:hAnsi="Arial" w:cs="Arial"/>
          <w:sz w:val="18"/>
          <w:szCs w:val="20"/>
        </w:rPr>
        <w:t xml:space="preserve">číslo 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</w:t>
      </w:r>
      <w:proofErr w:type="gramEnd"/>
      <w:r w:rsidRPr="0024479C">
        <w:rPr>
          <w:rFonts w:ascii="Arial" w:hAnsi="Arial" w:cs="Arial"/>
          <w:sz w:val="18"/>
          <w:szCs w:val="20"/>
        </w:rPr>
        <w:t>:</w:t>
      </w:r>
      <w:r w:rsidR="00D62FE2">
        <w:rPr>
          <w:rFonts w:ascii="Arial" w:hAnsi="Arial" w:cs="Arial"/>
          <w:sz w:val="18"/>
          <w:szCs w:val="20"/>
        </w:rPr>
        <w:t xml:space="preserve"> 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</w:t>
      </w:r>
      <w:proofErr w:type="gramStart"/>
      <w:r w:rsidRPr="0024479C">
        <w:rPr>
          <w:rFonts w:ascii="Arial" w:hAnsi="Arial" w:cs="Arial"/>
          <w:sz w:val="18"/>
          <w:szCs w:val="20"/>
        </w:rPr>
        <w:t xml:space="preserve">číslo 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</w:t>
      </w:r>
      <w:proofErr w:type="gramEnd"/>
      <w:r w:rsidRPr="0024479C">
        <w:rPr>
          <w:rFonts w:ascii="Arial" w:hAnsi="Arial" w:cs="Arial"/>
          <w:sz w:val="18"/>
          <w:szCs w:val="20"/>
        </w:rPr>
        <w:t>:</w:t>
      </w:r>
      <w:r w:rsidR="008057A6">
        <w:rPr>
          <w:rFonts w:ascii="Arial" w:hAnsi="Arial" w:cs="Arial"/>
          <w:sz w:val="18"/>
          <w:szCs w:val="20"/>
        </w:rPr>
        <w:t xml:space="preserve"> 46/2017</w:t>
      </w:r>
      <w:bookmarkStart w:id="0" w:name="_GoBack"/>
      <w:bookmarkEnd w:id="0"/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952805" w:rsidRDefault="00C64BE6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VODNÍ DÍLA – TBD a. s. 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C64BE6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Hybernská 1617/40, </w:t>
            </w:r>
            <w:proofErr w:type="gramStart"/>
            <w:r>
              <w:rPr>
                <w:rFonts w:ascii="Arial" w:hAnsi="Arial" w:cs="Arial"/>
                <w:sz w:val="18"/>
                <w:szCs w:val="36"/>
              </w:rPr>
              <w:t>110 00  Praha</w:t>
            </w:r>
            <w:proofErr w:type="gramEnd"/>
            <w:r>
              <w:rPr>
                <w:rFonts w:ascii="Arial" w:hAnsi="Arial" w:cs="Arial"/>
                <w:sz w:val="18"/>
                <w:szCs w:val="36"/>
              </w:rPr>
              <w:t xml:space="preserve"> 1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Jiří Nedoma</w:t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24479C" w:rsidRPr="00952805" w:rsidRDefault="00C64BE6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Ing. Miloš Sedláček</w:t>
            </w:r>
            <w:r>
              <w:rPr>
                <w:rFonts w:ascii="Arial" w:hAnsi="Arial" w:cs="Arial"/>
                <w:sz w:val="18"/>
                <w:szCs w:val="36"/>
              </w:rPr>
              <w:br/>
              <w:t>ředitel a prokurista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6F1EAF" w:rsidRPr="00952805" w:rsidRDefault="006F1EAF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3544" w:type="dxa"/>
          </w:tcPr>
          <w:p w:rsidR="0024479C" w:rsidRPr="00952805" w:rsidRDefault="0024479C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C64BE6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C64BE6">
              <w:rPr>
                <w:rFonts w:ascii="Arial" w:hAnsi="Arial" w:cs="Arial"/>
                <w:sz w:val="18"/>
                <w:szCs w:val="36"/>
              </w:rPr>
              <w:t>49241648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C64BE6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C64BE6">
              <w:rPr>
                <w:rFonts w:ascii="Arial" w:hAnsi="Arial" w:cs="Arial"/>
                <w:sz w:val="18"/>
                <w:szCs w:val="36"/>
              </w:rPr>
              <w:t>CZ49241648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24479C" w:rsidRPr="00952805" w:rsidRDefault="00C64BE6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color w:val="58585A"/>
                <w:sz w:val="18"/>
                <w:szCs w:val="18"/>
              </w:rPr>
              <w:t xml:space="preserve">Městský soud v Praze oddíl B, </w:t>
            </w:r>
            <w:r>
              <w:rPr>
                <w:rFonts w:ascii="Arial" w:hAnsi="Arial" w:cs="Arial"/>
                <w:color w:val="58585A"/>
                <w:sz w:val="18"/>
                <w:szCs w:val="18"/>
              </w:rPr>
              <w:br/>
              <w:t>vložka 2154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24479C" w:rsidRPr="00952805" w:rsidRDefault="0024479C" w:rsidP="00DB2610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:rsidR="0024479C" w:rsidRPr="00C64BE6" w:rsidRDefault="0024479C" w:rsidP="00C64BE6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24479C" w:rsidRPr="00952805" w:rsidRDefault="0024479C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417 515 778, 417 515 </w:t>
            </w:r>
            <w:r w:rsidR="00827550">
              <w:rPr>
                <w:rFonts w:ascii="Arial" w:hAnsi="Arial" w:cs="Arial"/>
                <w:sz w:val="18"/>
                <w:szCs w:val="36"/>
              </w:rPr>
              <w:t>7</w:t>
            </w:r>
            <w:r w:rsidRPr="00952805">
              <w:rPr>
                <w:rFonts w:ascii="Arial" w:hAnsi="Arial" w:cs="Arial"/>
                <w:sz w:val="18"/>
                <w:szCs w:val="36"/>
              </w:rPr>
              <w:t>52</w:t>
            </w:r>
          </w:p>
        </w:tc>
        <w:tc>
          <w:tcPr>
            <w:tcW w:w="3544" w:type="dxa"/>
          </w:tcPr>
          <w:p w:rsidR="0024479C" w:rsidRPr="00952805" w:rsidRDefault="0024479C" w:rsidP="008057A6">
            <w:pPr>
              <w:spacing w:before="40" w:after="40"/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3544" w:type="dxa"/>
          </w:tcPr>
          <w:p w:rsidR="0024479C" w:rsidRPr="00952805" w:rsidRDefault="0024479C" w:rsidP="00C64BE6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</w:p>
        </w:tc>
      </w:tr>
    </w:tbl>
    <w:p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:rsidR="00CB2EBE" w:rsidRDefault="00CB2EBE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Kontaktní osobou za VODNÍ DÍLA – TBD a.s. je </w:t>
      </w:r>
      <w:r w:rsidRPr="008057A6">
        <w:rPr>
          <w:rFonts w:ascii="Courier" w:hAnsi="Courier" w:cs="Courier"/>
          <w:color w:val="000000"/>
          <w:sz w:val="20"/>
          <w:szCs w:val="20"/>
          <w:highlight w:val="black"/>
        </w:rPr>
        <w:t>Ing. Ludevít Vlk</w:t>
      </w:r>
      <w:r>
        <w:rPr>
          <w:rFonts w:ascii="Courier" w:hAnsi="Courier" w:cs="Courier"/>
          <w:color w:val="000000"/>
          <w:sz w:val="20"/>
          <w:szCs w:val="20"/>
        </w:rPr>
        <w:t xml:space="preserve">, tel.: </w:t>
      </w:r>
      <w:r w:rsidRPr="008057A6">
        <w:rPr>
          <w:rFonts w:ascii="Courier" w:hAnsi="Courier" w:cs="Courier"/>
          <w:color w:val="000000"/>
          <w:sz w:val="20"/>
          <w:szCs w:val="20"/>
          <w:highlight w:val="black"/>
        </w:rPr>
        <w:t>777 769 332</w:t>
      </w:r>
      <w:r>
        <w:rPr>
          <w:rFonts w:ascii="Courier" w:hAnsi="Courier" w:cs="Courier"/>
          <w:color w:val="000000"/>
          <w:sz w:val="20"/>
          <w:szCs w:val="20"/>
        </w:rPr>
        <w:t>.</w:t>
      </w:r>
      <w:r>
        <w:rPr>
          <w:rFonts w:ascii="Courier" w:hAnsi="Courier" w:cs="Courier"/>
          <w:color w:val="000000"/>
          <w:sz w:val="20"/>
          <w:szCs w:val="20"/>
        </w:rPr>
        <w:br/>
        <w:t xml:space="preserve">Kontaktní osobou v místě odběru je </w:t>
      </w:r>
      <w:r w:rsidRPr="008057A6">
        <w:rPr>
          <w:rFonts w:ascii="Courier" w:hAnsi="Courier" w:cs="Courier"/>
          <w:color w:val="000000"/>
          <w:sz w:val="20"/>
          <w:szCs w:val="20"/>
          <w:highlight w:val="black"/>
        </w:rPr>
        <w:t>Věra Čandová</w:t>
      </w:r>
      <w:r>
        <w:rPr>
          <w:rFonts w:ascii="Courier" w:hAnsi="Courier" w:cs="Courier"/>
          <w:color w:val="000000"/>
          <w:sz w:val="20"/>
          <w:szCs w:val="20"/>
        </w:rPr>
        <w:t xml:space="preserve"> (ČEZ, a.s., OJ Elektrárny Prunéřov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č.p.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375), tel.: </w:t>
      </w:r>
      <w:r w:rsidRPr="008057A6">
        <w:rPr>
          <w:rFonts w:ascii="Courier" w:hAnsi="Courier" w:cs="Courier"/>
          <w:color w:val="000000"/>
          <w:sz w:val="20"/>
          <w:szCs w:val="20"/>
          <w:highlight w:val="black"/>
        </w:rPr>
        <w:t>602 518 875</w:t>
      </w:r>
      <w:r>
        <w:rPr>
          <w:rFonts w:ascii="Courier" w:hAnsi="Courier" w:cs="Courier"/>
          <w:color w:val="000000"/>
          <w:sz w:val="20"/>
          <w:szCs w:val="20"/>
        </w:rPr>
        <w:t>.</w:t>
      </w: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</w:t>
      </w:r>
      <w:r w:rsidR="00CD244A" w:rsidRPr="00C64BE6">
        <w:rPr>
          <w:rFonts w:ascii="Arial" w:hAnsi="Arial" w:cs="Arial"/>
          <w:strike/>
          <w:sz w:val="18"/>
          <w:szCs w:val="20"/>
        </w:rPr>
        <w:t xml:space="preserve">určitou do </w:t>
      </w:r>
      <w:r w:rsidR="00CD244A">
        <w:rPr>
          <w:rFonts w:ascii="Arial" w:hAnsi="Arial" w:cs="Arial"/>
          <w:sz w:val="18"/>
          <w:szCs w:val="20"/>
        </w:rPr>
        <w:t xml:space="preserve">……. / neurčitou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C64BE6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47545">
              <w:rPr>
                <w:rFonts w:ascii="Times New Roman" w:hAnsi="Times New Roman"/>
                <w:color w:val="000000"/>
                <w:sz w:val="24"/>
              </w:rPr>
              <w:t>Prunéřov, odkaliště AIII, výtok z potrubí průsakových vod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C64BE6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47545">
              <w:rPr>
                <w:rFonts w:ascii="Times New Roman" w:hAnsi="Times New Roman"/>
                <w:color w:val="000000"/>
                <w:sz w:val="24"/>
              </w:rPr>
              <w:t>prostý bodový vzorek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730E11" w:rsidRPr="00730E11" w:rsidRDefault="00C64BE6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47545">
              <w:rPr>
                <w:rFonts w:ascii="Times New Roman" w:hAnsi="Times New Roman"/>
                <w:color w:val="000000"/>
                <w:sz w:val="24"/>
              </w:rPr>
              <w:t>pH, NL a RAS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730E11" w:rsidRPr="00730E11" w:rsidRDefault="00C64BE6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D47545">
              <w:rPr>
                <w:rFonts w:ascii="Times New Roman" w:hAnsi="Times New Roman"/>
                <w:color w:val="000000"/>
                <w:sz w:val="24"/>
              </w:rPr>
              <w:t>1 × za čtvrtletí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(únor, květen, srpen, listopad)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E57B35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průsaková voda</w:t>
            </w: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F1EAF" w:rsidRPr="00E57B35" w:rsidRDefault="00730E11" w:rsidP="00E57B35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E57B35">
        <w:rPr>
          <w:rFonts w:ascii="Arial" w:hAnsi="Arial" w:cs="Arial"/>
          <w:b/>
          <w:sz w:val="18"/>
          <w:szCs w:val="18"/>
        </w:rPr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>004 Sb. o dani z přidané hodnoty, ve znění pozdějších předpisů. Faktura je splatná do 14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</w:t>
      </w:r>
      <w:r w:rsidR="00CD5045">
        <w:rPr>
          <w:rFonts w:ascii="Arial" w:hAnsi="Arial" w:cs="Arial"/>
          <w:sz w:val="18"/>
          <w:szCs w:val="18"/>
        </w:rPr>
        <w:t>objednávky</w:t>
      </w:r>
      <w:r w:rsidR="00AB2FD2" w:rsidRPr="00551BB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04498A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Objednat</w:t>
      </w:r>
      <w:r w:rsidR="00ED1D84" w:rsidRPr="00551BB7">
        <w:rPr>
          <w:rFonts w:ascii="Arial" w:hAnsi="Arial" w:cs="Arial"/>
          <w:sz w:val="18"/>
          <w:szCs w:val="18"/>
        </w:rPr>
        <w:t>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="00ED1D84"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</w:t>
      </w:r>
      <w:r w:rsidR="00CD5045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 xml:space="preserve">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Veškerá sdělení a veškeré úkony podle této </w:t>
      </w:r>
      <w:r w:rsidR="00CD5045">
        <w:rPr>
          <w:rFonts w:ascii="Arial" w:hAnsi="Arial" w:cs="Arial"/>
          <w:sz w:val="18"/>
          <w:szCs w:val="18"/>
        </w:rPr>
        <w:t>objednávky</w:t>
      </w:r>
      <w:r w:rsidRPr="00551BB7">
        <w:rPr>
          <w:rFonts w:ascii="Arial" w:hAnsi="Arial" w:cs="Arial"/>
          <w:sz w:val="18"/>
          <w:szCs w:val="18"/>
        </w:rPr>
        <w:t xml:space="preserve"> budou předávány nebo zasílány osobně, poštou, faxem nebo e-mailem na adresy uvedené v úvodu této </w:t>
      </w:r>
      <w:r w:rsidR="00CD5045">
        <w:rPr>
          <w:rFonts w:ascii="Arial" w:hAnsi="Arial" w:cs="Arial"/>
          <w:sz w:val="18"/>
          <w:szCs w:val="18"/>
        </w:rPr>
        <w:t>objednávky</w:t>
      </w:r>
      <w:r w:rsidRPr="00551BB7">
        <w:rPr>
          <w:rFonts w:ascii="Arial" w:hAnsi="Arial" w:cs="Arial"/>
          <w:sz w:val="18"/>
          <w:szCs w:val="18"/>
        </w:rPr>
        <w:t>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</w:t>
      </w:r>
      <w:r w:rsidR="00CD5045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>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51BB7" w:rsidRPr="00551BB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 w:rsidRPr="00551BB7">
        <w:rPr>
          <w:rFonts w:ascii="Arial" w:hAnsi="Arial" w:cs="Arial"/>
          <w:sz w:val="18"/>
          <w:szCs w:val="18"/>
        </w:rPr>
        <w:t>V ……</w:t>
      </w:r>
      <w:proofErr w:type="gramStart"/>
      <w:r w:rsidRPr="00551BB7">
        <w:rPr>
          <w:rFonts w:ascii="Arial" w:hAnsi="Arial" w:cs="Arial"/>
          <w:sz w:val="18"/>
          <w:szCs w:val="18"/>
        </w:rPr>
        <w:t>…..…</w:t>
      </w:r>
      <w:proofErr w:type="gramEnd"/>
      <w:r w:rsidRPr="00551BB7">
        <w:rPr>
          <w:rFonts w:ascii="Arial" w:hAnsi="Arial" w:cs="Arial"/>
          <w:sz w:val="18"/>
          <w:szCs w:val="18"/>
        </w:rPr>
        <w:t>……dne</w:t>
      </w:r>
      <w:r w:rsidRPr="00551BB7">
        <w:rPr>
          <w:rFonts w:ascii="Arial" w:hAnsi="Arial" w:cs="Arial"/>
          <w:sz w:val="18"/>
          <w:szCs w:val="18"/>
        </w:rPr>
        <w:tab/>
        <w:t>V ………..………dne</w:t>
      </w: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04498A"/>
    <w:rsid w:val="0014042B"/>
    <w:rsid w:val="00154287"/>
    <w:rsid w:val="00172014"/>
    <w:rsid w:val="002245CC"/>
    <w:rsid w:val="00227B3B"/>
    <w:rsid w:val="0024479C"/>
    <w:rsid w:val="00273098"/>
    <w:rsid w:val="003066BE"/>
    <w:rsid w:val="00372096"/>
    <w:rsid w:val="00377A07"/>
    <w:rsid w:val="00390F32"/>
    <w:rsid w:val="00420697"/>
    <w:rsid w:val="00521BF9"/>
    <w:rsid w:val="00551BB7"/>
    <w:rsid w:val="005544AA"/>
    <w:rsid w:val="005C5717"/>
    <w:rsid w:val="005F733F"/>
    <w:rsid w:val="00601D4B"/>
    <w:rsid w:val="00674AAF"/>
    <w:rsid w:val="00675240"/>
    <w:rsid w:val="006D0711"/>
    <w:rsid w:val="006F1EAF"/>
    <w:rsid w:val="00730E11"/>
    <w:rsid w:val="00756338"/>
    <w:rsid w:val="008057A6"/>
    <w:rsid w:val="008118DA"/>
    <w:rsid w:val="00813F3B"/>
    <w:rsid w:val="00827550"/>
    <w:rsid w:val="00853CA1"/>
    <w:rsid w:val="0089253C"/>
    <w:rsid w:val="008B3062"/>
    <w:rsid w:val="00920755"/>
    <w:rsid w:val="00945822"/>
    <w:rsid w:val="00952805"/>
    <w:rsid w:val="00A06AD3"/>
    <w:rsid w:val="00A736EE"/>
    <w:rsid w:val="00AA6924"/>
    <w:rsid w:val="00AB2FD2"/>
    <w:rsid w:val="00B71D5D"/>
    <w:rsid w:val="00B919EF"/>
    <w:rsid w:val="00C4254D"/>
    <w:rsid w:val="00C64BE6"/>
    <w:rsid w:val="00C752E1"/>
    <w:rsid w:val="00CB2EBE"/>
    <w:rsid w:val="00CD244A"/>
    <w:rsid w:val="00CD5045"/>
    <w:rsid w:val="00D45AD0"/>
    <w:rsid w:val="00D62FE2"/>
    <w:rsid w:val="00D63BCA"/>
    <w:rsid w:val="00DB2610"/>
    <w:rsid w:val="00DD5712"/>
    <w:rsid w:val="00E56559"/>
    <w:rsid w:val="00E57B35"/>
    <w:rsid w:val="00ED1D84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3</cp:revision>
  <dcterms:created xsi:type="dcterms:W3CDTF">2017-02-06T12:51:00Z</dcterms:created>
  <dcterms:modified xsi:type="dcterms:W3CDTF">2017-02-06T12:53:00Z</dcterms:modified>
</cp:coreProperties>
</file>