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96BBB" w:rsidRDefault="00655314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996BBB" w:rsidRDefault="0065531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996BBB" w:rsidRDefault="0065531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996BBB" w:rsidRDefault="00655314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jc w:val="right"/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96BBB" w:rsidRDefault="00655314">
            <w:r>
              <w:rPr>
                <w:b/>
              </w:rPr>
              <w:t xml:space="preserve">Sdružení zdravotnických zařízení II </w:t>
            </w:r>
            <w:proofErr w:type="spellStart"/>
            <w:r>
              <w:rPr>
                <w:b/>
              </w:rPr>
              <w:t>Brno,příspěvková</w:t>
            </w:r>
            <w:proofErr w:type="spellEnd"/>
            <w:r>
              <w:rPr>
                <w:b/>
              </w:rPr>
              <w:t xml:space="preserve"> organizace</w:t>
            </w:r>
          </w:p>
          <w:p w:rsidR="00996BBB" w:rsidRDefault="00655314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ZAHRADNÍKOVA 494/2, BRNO, PSČ 602 00, ČR</w:t>
            </w:r>
          </w:p>
          <w:p w:rsidR="00996BBB" w:rsidRDefault="00655314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00344648</w:t>
            </w:r>
          </w:p>
          <w:p w:rsidR="00996BBB" w:rsidRDefault="00655314">
            <w:r>
              <w:t xml:space="preserve">Zápis v obchodním rejstříku či jiné evidenci: </w:t>
            </w:r>
            <w:r>
              <w:rPr>
                <w:b/>
              </w:rPr>
              <w:t xml:space="preserve">Výpis z rejstříku ČR, číslo: oddíl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vložka 8, Česká republika, Krajský soud v Brně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BB" w:rsidRDefault="00655314">
            <w:pPr>
              <w:jc w:val="both"/>
            </w:pPr>
            <w:r>
              <w:t xml:space="preserve">Velice si vážíme vašeho zájmu o produkty Komerční banky. Za účelem uspokojení vašich přání a potřeb uzavíráme s vámi tuto smlouvu, na základě které vám, jako našemu klientovi, poskytneme následující běžný </w:t>
            </w:r>
            <w:r>
              <w:t>účet.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96BBB" w:rsidRDefault="00655314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123-2269200207/0100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IBAN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keepNext/>
              <w:spacing w:before="40" w:after="40"/>
            </w:pPr>
            <w:r>
              <w:rPr>
                <w:rFonts w:cs="Arial"/>
                <w:szCs w:val="18"/>
              </w:rPr>
              <w:t>CZ11 0100 0001 2322 6920 0207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keepNext/>
              <w:ind w:right="-170"/>
              <w:jc w:val="right"/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996BBB" w:rsidRDefault="00996BBB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</w:pPr>
            <w:r>
              <w:rPr>
                <w:color w:val="000000"/>
                <w:szCs w:val="16"/>
              </w:rPr>
              <w:t>SDRUŽENÍ ZDRAVOTNICKÝCH ZAŘÍZENÍ II BRNO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</w:pPr>
            <w:r>
              <w:t>razítko s názvem RAZÍTKO, RAZÍTKO 1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55"/>
            </w:tblGrid>
            <w:tr w:rsidR="00996B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6BBB" w:rsidRDefault="0065531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996BBB" w:rsidRDefault="0065531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996BBB" w:rsidRDefault="00655314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996BBB" w:rsidRDefault="00996BBB">
            <w:pPr>
              <w:spacing w:before="40" w:after="40"/>
              <w:jc w:val="both"/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96BBB" w:rsidRDefault="00655314">
            <w:pPr>
              <w:tabs>
                <w:tab w:val="left" w:pos="425"/>
              </w:tabs>
              <w:spacing w:before="40" w:after="40"/>
            </w:pPr>
            <w:r>
              <w:t>Zřizujeme vám službu Transparentní účet, v rámci které budeme na našich internetových stánkách (</w:t>
            </w:r>
            <w:r>
              <w:rPr>
                <w:iCs/>
              </w:rPr>
              <w:t>www.kb.cz</w:t>
            </w:r>
            <w:r>
              <w:t>) zveřejňovat vaše identifikační údaje, číslo účtu, a následující i</w:t>
            </w:r>
            <w:r>
              <w:t xml:space="preserve">nformace o všech platebních transakcích na účtu </w:t>
            </w:r>
            <w:bookmarkStart w:id="1" w:name="S_D1_optObdobi2_1"/>
            <w:r>
              <w:t>v období poskytování této služby</w:t>
            </w:r>
            <w:bookmarkEnd w:id="1"/>
            <w:r>
              <w:t>:</w:t>
            </w:r>
          </w:p>
          <w:p w:rsidR="00996BBB" w:rsidRDefault="00655314">
            <w:pPr>
              <w:pStyle w:val="Odstavecseseznamem"/>
              <w:numPr>
                <w:ilvl w:val="0"/>
                <w:numId w:val="2"/>
              </w:numPr>
              <w:suppressAutoHyphens w:val="0"/>
              <w:ind w:left="227" w:hanging="227"/>
              <w:jc w:val="both"/>
              <w:rPr>
                <w:iCs/>
              </w:rPr>
            </w:pPr>
            <w:r>
              <w:rPr>
                <w:iCs/>
              </w:rPr>
              <w:t>výše a měna platby,</w:t>
            </w:r>
          </w:p>
          <w:p w:rsidR="00996BBB" w:rsidRDefault="00655314">
            <w:pPr>
              <w:pStyle w:val="Odstavecseseznamem"/>
              <w:numPr>
                <w:ilvl w:val="0"/>
                <w:numId w:val="2"/>
              </w:numPr>
              <w:suppressAutoHyphens w:val="0"/>
              <w:ind w:left="227" w:hanging="227"/>
              <w:jc w:val="both"/>
              <w:rPr>
                <w:iCs/>
              </w:rPr>
            </w:pPr>
            <w:r>
              <w:rPr>
                <w:iCs/>
              </w:rPr>
              <w:t>datum připsání či odepsání platby,</w:t>
            </w:r>
          </w:p>
          <w:p w:rsidR="00996BBB" w:rsidRDefault="00655314">
            <w:pPr>
              <w:pStyle w:val="Odstavecseseznamem"/>
              <w:numPr>
                <w:ilvl w:val="0"/>
                <w:numId w:val="2"/>
              </w:numPr>
              <w:suppressAutoHyphens w:val="0"/>
              <w:ind w:left="227" w:hanging="227"/>
              <w:jc w:val="both"/>
              <w:rPr>
                <w:iCs/>
              </w:rPr>
            </w:pPr>
            <w:r>
              <w:rPr>
                <w:iCs/>
              </w:rPr>
              <w:t>popis platby,</w:t>
            </w:r>
          </w:p>
          <w:p w:rsidR="00996BBB" w:rsidRDefault="00655314">
            <w:pPr>
              <w:pStyle w:val="Odstavecseseznamem"/>
              <w:numPr>
                <w:ilvl w:val="0"/>
                <w:numId w:val="2"/>
              </w:numPr>
              <w:suppressAutoHyphens w:val="0"/>
              <w:ind w:left="227" w:hanging="227"/>
              <w:jc w:val="both"/>
              <w:rPr>
                <w:iCs/>
              </w:rPr>
            </w:pPr>
            <w:r>
              <w:rPr>
                <w:iCs/>
              </w:rPr>
              <w:t>název účtu plátce, byl-li bankou plátce předán,</w:t>
            </w:r>
          </w:p>
          <w:p w:rsidR="00996BBB" w:rsidRDefault="00655314">
            <w:pPr>
              <w:pStyle w:val="Odstavecseseznamem"/>
              <w:numPr>
                <w:ilvl w:val="0"/>
                <w:numId w:val="2"/>
              </w:numPr>
              <w:suppressAutoHyphens w:val="0"/>
              <w:ind w:left="227" w:hanging="227"/>
              <w:jc w:val="both"/>
              <w:rPr>
                <w:iCs/>
              </w:rPr>
            </w:pPr>
            <w:r>
              <w:rPr>
                <w:iCs/>
              </w:rPr>
              <w:t xml:space="preserve">zpráva pro příjemce, variabilní, konstantní a specifický </w:t>
            </w:r>
            <w:r>
              <w:rPr>
                <w:iCs/>
              </w:rPr>
              <w:t>symbol, byly</w:t>
            </w:r>
            <w:r>
              <w:rPr>
                <w:iCs/>
              </w:rPr>
              <w:noBreakHyphen/>
              <w:t>li plátcem uvedeny.</w:t>
            </w:r>
          </w:p>
          <w:p w:rsidR="00996BBB" w:rsidRDefault="00655314">
            <w:pPr>
              <w:tabs>
                <w:tab w:val="left" w:pos="425"/>
              </w:tabs>
              <w:spacing w:before="40" w:after="40"/>
            </w:pPr>
            <w:r>
              <w:t>Podpisem smlouvy berete na vědomí, že jsme oprávněni zveřejňovat tyto informace a zároveň se zavazujete:</w:t>
            </w:r>
          </w:p>
          <w:p w:rsidR="00996BBB" w:rsidRDefault="00655314">
            <w:pPr>
              <w:numPr>
                <w:ilvl w:val="1"/>
                <w:numId w:val="3"/>
              </w:numPr>
              <w:suppressAutoHyphens w:val="0"/>
              <w:overflowPunct/>
              <w:autoSpaceDE/>
              <w:ind w:left="227" w:hanging="227"/>
              <w:jc w:val="both"/>
              <w:textAlignment w:val="auto"/>
            </w:pPr>
            <w:r>
              <w:t>o tomto zveřejnění vhodným způsobem poučit plátce,</w:t>
            </w:r>
          </w:p>
          <w:p w:rsidR="00996BBB" w:rsidRDefault="00655314">
            <w:pPr>
              <w:numPr>
                <w:ilvl w:val="1"/>
                <w:numId w:val="3"/>
              </w:numPr>
              <w:suppressAutoHyphens w:val="0"/>
              <w:overflowPunct/>
              <w:autoSpaceDE/>
              <w:ind w:left="227" w:hanging="227"/>
              <w:jc w:val="both"/>
              <w:textAlignment w:val="auto"/>
            </w:pPr>
            <w:r>
              <w:t xml:space="preserve">provést danou platbu z jiného svého běžného účtu a s tím </w:t>
            </w:r>
            <w:r>
              <w:t>souvisej</w:t>
            </w:r>
            <w:r>
              <w:t>í</w:t>
            </w:r>
            <w:r>
              <w:t>cí převod peněz mezi běžným účtem a tímto transparentním účtem pouze označit účelem dané platby, pokud by provedení konkrétní platby z účtu mohlo vést k neoprávněnému</w:t>
            </w:r>
            <w:r>
              <w:rPr>
                <w:iCs/>
              </w:rPr>
              <w:t xml:space="preserve"> zveřejnění osobních údajů příjemce.</w:t>
            </w:r>
          </w:p>
          <w:p w:rsidR="00996BBB" w:rsidRDefault="00655314">
            <w:pPr>
              <w:spacing w:before="40" w:after="40"/>
              <w:jc w:val="both"/>
            </w:pPr>
            <w:r>
              <w:t>Podmínkou poskytnutí služby Transparentní úč</w:t>
            </w:r>
            <w:r>
              <w:t>et je zřízení Expresní linky KB.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jc w:val="right"/>
              <w:rPr>
                <w:sz w:val="10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96BBB" w:rsidRDefault="00655314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lastRenderedPageBreak/>
              <w:t>Společná ustanovení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keepNext/>
              <w:jc w:val="right"/>
              <w:rPr>
                <w:sz w:val="10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pStyle w:val="Odstavecseseznamem"/>
              <w:numPr>
                <w:ilvl w:val="0"/>
                <w:numId w:val="4"/>
              </w:numPr>
              <w:tabs>
                <w:tab w:val="left" w:pos="1307"/>
              </w:tabs>
              <w:jc w:val="both"/>
            </w:pPr>
            <w:r>
              <w:t>Všeobecné obchodní podmínky banky (dále jen „VOP“),</w:t>
            </w:r>
          </w:p>
          <w:p w:rsidR="00996BBB" w:rsidRDefault="00655314">
            <w:pPr>
              <w:pStyle w:val="Odstavecseseznamem"/>
              <w:numPr>
                <w:ilvl w:val="0"/>
                <w:numId w:val="4"/>
              </w:numPr>
              <w:tabs>
                <w:tab w:val="left" w:pos="1307"/>
              </w:tabs>
              <w:jc w:val="both"/>
            </w:pPr>
            <w:r>
              <w:t>Oznámení o provádění platebního styku,</w:t>
            </w:r>
          </w:p>
          <w:p w:rsidR="00996BBB" w:rsidRDefault="00655314">
            <w:pPr>
              <w:pStyle w:val="Odstavecseseznamem"/>
              <w:numPr>
                <w:ilvl w:val="0"/>
                <w:numId w:val="4"/>
              </w:numPr>
              <w:tabs>
                <w:tab w:val="left" w:pos="1307"/>
              </w:tabs>
              <w:jc w:val="both"/>
            </w:pPr>
            <w:r>
              <w:t>Sazebník (v rozsahu relevantním k této smlouvě).</w:t>
            </w:r>
          </w:p>
          <w:p w:rsidR="00996BBB" w:rsidRDefault="00996BBB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Podpisem této </w:t>
            </w:r>
            <w:r>
              <w:rPr>
                <w:rFonts w:cs="Arial"/>
                <w:b/>
                <w:bCs/>
                <w:szCs w:val="18"/>
              </w:rPr>
              <w:t>smlouvy potvrzujete, že: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>jsme vás upozornili na ustanovení, která odkazují na shora</w:t>
            </w:r>
            <w:r>
              <w:t xml:space="preserve"> uvedené dokumenty stojící mimo vlastní text smlouvy a jejich význam vám byl dostatečně vysvětlen,</w:t>
            </w:r>
          </w:p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</w:t>
            </w:r>
            <w:r>
              <w:t>://www.kb.cz/pojistenivkladu,</w:t>
            </w:r>
          </w:p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</w:t>
            </w:r>
            <w:r>
              <w:rPr>
                <w:rStyle w:val="Hypertextovodkaz"/>
              </w:rPr>
              <w:t>www.kb.cz</w:t>
            </w:r>
            <w:r>
              <w:t>),</w:t>
            </w:r>
          </w:p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>berete na vědomí, že nejen smlouva,</w:t>
            </w:r>
            <w:r>
              <w:t xml:space="preserve">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996BBB" w:rsidRDefault="00996BBB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 xml:space="preserve">berete na </w:t>
            </w:r>
            <w:r>
              <w:t xml:space="preserve">vědomí, že jsme oprávněni nakládat s údaji podléhajícími bankovnímu tajemství způsobem dle článku 28 VOP, </w:t>
            </w:r>
          </w:p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996BBB" w:rsidRDefault="00655314">
            <w:pPr>
              <w:pStyle w:val="Odstavecseseznamem"/>
              <w:numPr>
                <w:ilvl w:val="0"/>
                <w:numId w:val="5"/>
              </w:numPr>
              <w:tabs>
                <w:tab w:val="left" w:pos="1706"/>
              </w:tabs>
              <w:jc w:val="both"/>
            </w:pPr>
            <w:r>
              <w:t>udělujete souhlas s tím, že jsme oprávněni započítávat své pohledávky za vámi v r</w:t>
            </w:r>
            <w:r>
              <w:t>ozsahu a způsobem stanoveným ve VOP.</w:t>
            </w:r>
          </w:p>
          <w:p w:rsidR="00996BBB" w:rsidRDefault="00996BBB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996BBB" w:rsidRDefault="00996BBB">
            <w:pPr>
              <w:pStyle w:val="Odstavecseseznamem"/>
              <w:ind w:left="0"/>
              <w:jc w:val="both"/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jc w:val="both"/>
            </w:pPr>
            <w:r>
              <w:rPr>
                <w:rFonts w:eastAsia="ArialMT" w:cs="Arial"/>
                <w:szCs w:val="18"/>
              </w:rPr>
              <w:t xml:space="preserve">Pojmy s velkým počátečním písmenem mají v této smlouvě význam stanovený v tomto </w:t>
            </w:r>
            <w:r>
              <w:rPr>
                <w:rFonts w:eastAsia="ArialMT" w:cs="Arial"/>
                <w:szCs w:val="18"/>
              </w:rPr>
              <w:t>dokumentu a v dokumentech, jež jsou nedílnou součástí této smlouvy.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jc w:val="right"/>
              <w:rPr>
                <w:sz w:val="10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96BBB" w:rsidRDefault="00655314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keepNext/>
              <w:jc w:val="right"/>
              <w:rPr>
                <w:sz w:val="10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655314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jc w:val="right"/>
              <w:rPr>
                <w:sz w:val="10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jc w:val="right"/>
              <w:rPr>
                <w:sz w:val="10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96BBB" w:rsidRDefault="00655314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V Brně dne 22.7.2020</w:t>
            </w:r>
          </w:p>
          <w:p w:rsidR="00996BBB" w:rsidRDefault="00655314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996BBB" w:rsidRDefault="00996BBB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996BBB" w:rsidRDefault="00996BBB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996BBB" w:rsidRDefault="00996BBB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996BBB" w:rsidRDefault="00996BBB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996BBB" w:rsidRDefault="0065531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996BBB" w:rsidRDefault="00655314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996BBB" w:rsidRDefault="00655314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996BBB" w:rsidRDefault="00655314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96BBB" w:rsidRDefault="00996BBB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96BBB" w:rsidRDefault="00996BBB">
            <w:pPr>
              <w:keepNext/>
              <w:jc w:val="right"/>
              <w:rPr>
                <w:szCs w:val="18"/>
              </w:rPr>
            </w:pPr>
          </w:p>
        </w:tc>
      </w:tr>
      <w:tr w:rsidR="00996B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996BBB" w:rsidRDefault="00655314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Brně </w:t>
            </w:r>
            <w:r>
              <w:rPr>
                <w:rFonts w:cs="Arial"/>
                <w:szCs w:val="18"/>
              </w:rPr>
              <w:t>dne 22.7.2020</w:t>
            </w:r>
          </w:p>
          <w:p w:rsidR="00996BBB" w:rsidRDefault="00655314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Sdružení zdravotnických zařízení II </w:t>
            </w:r>
            <w:proofErr w:type="spellStart"/>
            <w:r>
              <w:rPr>
                <w:b/>
                <w:szCs w:val="18"/>
              </w:rPr>
              <w:t>Brno,příspěvková</w:t>
            </w:r>
            <w:proofErr w:type="spellEnd"/>
            <w:r>
              <w:rPr>
                <w:b/>
                <w:szCs w:val="18"/>
              </w:rPr>
              <w:t xml:space="preserve"> organizace</w:t>
            </w:r>
          </w:p>
          <w:p w:rsidR="00996BBB" w:rsidRDefault="00996BBB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996BBB" w:rsidRDefault="00996BBB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996BBB" w:rsidRDefault="00996BBB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996BBB" w:rsidRDefault="00996BBB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996BBB" w:rsidRDefault="0065531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996BBB" w:rsidRDefault="00655314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996BBB" w:rsidRDefault="00655314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MUDR. KAMILA KRAUSOVÁ</w:t>
            </w:r>
          </w:p>
          <w:p w:rsidR="00996BBB" w:rsidRDefault="00655314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996BBB" w:rsidRDefault="00996BBB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655314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996BBB" w:rsidRDefault="00996BBB">
      <w:pPr>
        <w:rPr>
          <w:vanish/>
          <w:color w:val="FF0000"/>
          <w:szCs w:val="6"/>
        </w:rPr>
      </w:pPr>
    </w:p>
    <w:sectPr w:rsidR="00996BBB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14" w:rsidRDefault="00655314">
      <w:r>
        <w:separator/>
      </w:r>
    </w:p>
  </w:endnote>
  <w:endnote w:type="continuationSeparator" w:id="0">
    <w:p w:rsidR="00655314" w:rsidRDefault="0065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DD0E63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D0E63" w:rsidRDefault="00655314">
          <w:pPr>
            <w:pStyle w:val="kbFixedtext"/>
            <w:spacing w:before="100"/>
          </w:pPr>
          <w:r>
            <w:t>Komerční banka, a. s., se sídlem:</w:t>
          </w:r>
        </w:p>
        <w:p w:rsidR="00DD0E63" w:rsidRDefault="00655314">
          <w:pPr>
            <w:pStyle w:val="kbFixedtext"/>
          </w:pPr>
          <w:r>
            <w:t>Praha 1, Na Příkopě 33 čp. 969, PSČ 114 07, IČO: 45317054</w:t>
          </w:r>
        </w:p>
        <w:p w:rsidR="00DD0E63" w:rsidRDefault="00655314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D0E63" w:rsidRDefault="0065531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A037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A037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DD0E63" w:rsidRDefault="00655314">
          <w:pPr>
            <w:pStyle w:val="Registration"/>
            <w:jc w:val="right"/>
          </w:pPr>
          <w:r>
            <w:t xml:space="preserve">Datum účinnosti šablony  3. </w:t>
          </w:r>
          <w:r>
            <w:t>7. 2017  tss_ckagreb.docM  22.07.2020  9:47:15</w:t>
          </w:r>
        </w:p>
      </w:tc>
    </w:tr>
  </w:tbl>
  <w:p w:rsidR="00DD0E63" w:rsidRDefault="00655314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DD0E63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D0E63" w:rsidRDefault="00655314">
          <w:pPr>
            <w:pStyle w:val="kbFixedtext"/>
            <w:spacing w:before="100"/>
          </w:pPr>
          <w:r>
            <w:t>Komerční banka, a. s., se sídlem:</w:t>
          </w:r>
        </w:p>
        <w:p w:rsidR="00DD0E63" w:rsidRDefault="00655314">
          <w:pPr>
            <w:pStyle w:val="kbFixedtext"/>
          </w:pPr>
          <w:r>
            <w:t>Praha 1, Na Příkopě 33 čp. 969, PSČ 114 07, IČO: 45317054</w:t>
          </w:r>
        </w:p>
        <w:p w:rsidR="00DD0E63" w:rsidRDefault="00655314">
          <w:pPr>
            <w:pStyle w:val="kbRegistration"/>
          </w:pPr>
          <w:r>
            <w:t xml:space="preserve">ZAPSANÁ V OBCHODNÍM REJSTŘÍKU VEDENÉM MĚSTSKÝm SOUDEM V PRAZE, ODDÍL B, </w:t>
          </w:r>
          <w:r>
            <w:t>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D0E63" w:rsidRDefault="0065531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A03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A03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DD0E63" w:rsidRDefault="00655314">
          <w:pPr>
            <w:pStyle w:val="Registration"/>
            <w:jc w:val="right"/>
          </w:pPr>
          <w:r>
            <w:t>Datum účinnosti šablony  3. 7. 2015  tss_ckagreb.docM  22.07.2020  9:47:15</w:t>
          </w:r>
        </w:p>
      </w:tc>
    </w:tr>
  </w:tbl>
  <w:p w:rsidR="00DD0E63" w:rsidRDefault="00655314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14" w:rsidRDefault="00655314">
      <w:r>
        <w:rPr>
          <w:color w:val="000000"/>
        </w:rPr>
        <w:separator/>
      </w:r>
    </w:p>
  </w:footnote>
  <w:footnote w:type="continuationSeparator" w:id="0">
    <w:p w:rsidR="00655314" w:rsidRDefault="0065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DD0E63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E63" w:rsidRDefault="00655314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DD0E63" w:rsidRDefault="006553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DD0E63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71600" cy="457200"/>
                <wp:effectExtent l="0" t="0" r="0" b="0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DD0E63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</w:pPr>
        </w:p>
      </w:tc>
    </w:tr>
    <w:tr w:rsidR="00DD0E63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0E63" w:rsidRDefault="00655314">
          <w:pPr>
            <w:pStyle w:val="Nadpis1"/>
          </w:pPr>
        </w:p>
      </w:tc>
    </w:tr>
    <w:tr w:rsidR="00DD0E63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DD0E63" w:rsidRDefault="00655314">
          <w:pPr>
            <w:rPr>
              <w:rFonts w:cs="Arial"/>
              <w:szCs w:val="18"/>
            </w:rPr>
          </w:pPr>
        </w:p>
      </w:tc>
    </w:tr>
  </w:tbl>
  <w:p w:rsidR="00DD0E63" w:rsidRDefault="00655314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935"/>
    <w:multiLevelType w:val="multilevel"/>
    <w:tmpl w:val="A98259F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8584F71"/>
    <w:multiLevelType w:val="multilevel"/>
    <w:tmpl w:val="BEB8461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E677E56"/>
    <w:multiLevelType w:val="multilevel"/>
    <w:tmpl w:val="DA768EB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B7824"/>
    <w:multiLevelType w:val="multilevel"/>
    <w:tmpl w:val="7C74ECA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3886ED8"/>
    <w:multiLevelType w:val="multilevel"/>
    <w:tmpl w:val="465A402E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BBB"/>
    <w:rsid w:val="00655314"/>
    <w:rsid w:val="006A0379"/>
    <w:rsid w:val="009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1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1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běžné účty (FOP/PO)</vt:lpstr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běžné účty (FOP/PO)</dc:title>
  <dc:creator>administrator</dc:creator>
  <cp:lastModifiedBy>PC</cp:lastModifiedBy>
  <cp:revision>2</cp:revision>
  <cp:lastPrinted>2005-01-20T11:29:00Z</cp:lastPrinted>
  <dcterms:created xsi:type="dcterms:W3CDTF">2020-09-03T13:28:00Z</dcterms:created>
  <dcterms:modified xsi:type="dcterms:W3CDTF">2020-09-03T13:28:00Z</dcterms:modified>
</cp:coreProperties>
</file>