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61A" w:rsidRPr="003015B0" w:rsidRDefault="003015B0">
      <w:pPr>
        <w:rPr>
          <w:b/>
          <w:sz w:val="28"/>
          <w:szCs w:val="28"/>
        </w:rPr>
      </w:pPr>
      <w:r w:rsidRPr="003015B0">
        <w:rPr>
          <w:b/>
          <w:sz w:val="28"/>
          <w:szCs w:val="28"/>
        </w:rPr>
        <w:t xml:space="preserve">Příloha A </w:t>
      </w:r>
      <w:r w:rsidR="00D565AD">
        <w:rPr>
          <w:b/>
          <w:sz w:val="28"/>
          <w:szCs w:val="28"/>
        </w:rPr>
        <w:t>(Technická specifikace)</w:t>
      </w:r>
      <w:r w:rsidRPr="003015B0">
        <w:rPr>
          <w:b/>
          <w:sz w:val="28"/>
          <w:szCs w:val="28"/>
        </w:rPr>
        <w:t xml:space="preserve"> VZ ČVUT – CIIRC: </w:t>
      </w:r>
      <w:r w:rsidR="00302844">
        <w:rPr>
          <w:b/>
          <w:sz w:val="28"/>
          <w:szCs w:val="28"/>
        </w:rPr>
        <w:t>Průmyslové robotické manipulátory, d</w:t>
      </w:r>
      <w:r>
        <w:rPr>
          <w:b/>
          <w:sz w:val="28"/>
          <w:szCs w:val="28"/>
        </w:rPr>
        <w:t xml:space="preserve">ílčí část </w:t>
      </w:r>
      <w:r w:rsidR="00DF23E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– </w:t>
      </w:r>
      <w:r w:rsidR="00DF23E3">
        <w:rPr>
          <w:b/>
          <w:sz w:val="28"/>
          <w:szCs w:val="28"/>
        </w:rPr>
        <w:t>Šestiosý robot s nosností 8 kg a dosahem 1600 mm (R95g</w:t>
      </w:r>
      <w:r>
        <w:rPr>
          <w:b/>
          <w:sz w:val="28"/>
          <w:szCs w:val="28"/>
        </w:rPr>
        <w:t>)</w:t>
      </w:r>
    </w:p>
    <w:tbl>
      <w:tblPr>
        <w:tblStyle w:val="Mkatabulky"/>
        <w:tblW w:w="9363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213"/>
        <w:gridCol w:w="4161"/>
        <w:gridCol w:w="1701"/>
        <w:gridCol w:w="1278"/>
        <w:gridCol w:w="10"/>
      </w:tblGrid>
      <w:tr w:rsidR="003015B0" w:rsidRPr="00BD3083" w:rsidTr="001F3866">
        <w:tc>
          <w:tcPr>
            <w:tcW w:w="2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5B0" w:rsidRPr="00BD3083" w:rsidRDefault="003015B0" w:rsidP="00C71F4D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>Odborná</w:t>
            </w:r>
            <w:proofErr w:type="spellEnd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>charakteristika</w:t>
            </w:r>
            <w:proofErr w:type="spellEnd"/>
            <w:r w:rsidRPr="00BD30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D3083">
              <w:rPr>
                <w:rFonts w:asciiTheme="minorHAnsi" w:hAnsiTheme="minorHAnsi" w:cstheme="minorHAnsi"/>
                <w:sz w:val="20"/>
                <w:szCs w:val="20"/>
              </w:rPr>
              <w:t>pořizovaného</w:t>
            </w:r>
            <w:proofErr w:type="spellEnd"/>
            <w:r w:rsidRPr="00BD30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D3083">
              <w:rPr>
                <w:rFonts w:asciiTheme="minorHAnsi" w:hAnsiTheme="minorHAnsi" w:cstheme="minorHAnsi"/>
                <w:sz w:val="20"/>
                <w:szCs w:val="20"/>
              </w:rPr>
              <w:t>vybavení</w:t>
            </w:r>
            <w:proofErr w:type="spellEnd"/>
          </w:p>
          <w:p w:rsidR="003015B0" w:rsidRPr="00BD3083" w:rsidRDefault="003015B0" w:rsidP="00C71F4D">
            <w:pPr>
              <w:pStyle w:val="Standard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50" w:type="dxa"/>
            <w:gridSpan w:val="4"/>
            <w:tcBorders>
              <w:bottom w:val="single" w:sz="4" w:space="0" w:color="auto"/>
            </w:tcBorders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Předmětem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dodávky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jsou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roboty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dvouosý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polohovací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stůl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výměníky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nástrojů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uchopovače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Šestiosý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průmyslový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robot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neboli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manipulátor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je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základním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stavebním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kamenem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výrobních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linek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díky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možnosti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vytvářet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robotické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programy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míru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potřebám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linky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výrobního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postupu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. V 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případě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Testbedu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je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nutné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, aby robot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splňoval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následující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požadavky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DF23E3" w:rsidRPr="002429B0" w:rsidRDefault="00DF23E3" w:rsidP="00DF23E3">
            <w:pPr>
              <w:pStyle w:val="Standard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Komunikace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Profinet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jako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IO-Device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jako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IO-Controller pro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připojení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periferií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přímo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ovládatelných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z 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robotického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programu</w:t>
            </w:r>
            <w:proofErr w:type="spellEnd"/>
          </w:p>
          <w:p w:rsidR="00DF23E3" w:rsidRPr="002429B0" w:rsidRDefault="00DF23E3" w:rsidP="00DF23E3">
            <w:pPr>
              <w:pStyle w:val="Standard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Vedení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tlakového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vzduchu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datových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signálů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v 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připraveném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vedení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druhé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rameno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(za 4.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osou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DF23E3" w:rsidRPr="002429B0" w:rsidRDefault="00DF23E3" w:rsidP="00DF23E3">
            <w:pPr>
              <w:pStyle w:val="Standard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PROFIsafe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možnost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vymezení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zón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v 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pracovním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prostoru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v 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kartézských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souřadnicích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které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umožní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flexibilně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spolupracovat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s 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bezpečnostním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skenerem</w:t>
            </w:r>
            <w:proofErr w:type="spellEnd"/>
          </w:p>
          <w:p w:rsidR="00DF23E3" w:rsidRPr="002429B0" w:rsidRDefault="00DF23E3" w:rsidP="00DF23E3">
            <w:pPr>
              <w:pStyle w:val="Standard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Možnost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vizualizace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bezpečnostních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signálů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bezpečnostně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monitorovaných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kartézských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prostorů</w:t>
            </w:r>
            <w:proofErr w:type="spellEnd"/>
          </w:p>
          <w:p w:rsidR="00DF23E3" w:rsidRPr="00DF23E3" w:rsidRDefault="00DF23E3" w:rsidP="00DF23E3">
            <w:pPr>
              <w:pStyle w:val="Standard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DF23E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PROFIenergy</w:t>
            </w:r>
            <w:proofErr w:type="spellEnd"/>
            <w:r w:rsidRPr="00DF23E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pro </w:t>
            </w:r>
            <w:proofErr w:type="spellStart"/>
            <w:r w:rsidRPr="00DF23E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úsporu</w:t>
            </w:r>
            <w:proofErr w:type="spellEnd"/>
            <w:r w:rsidRPr="00DF23E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F23E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energie</w:t>
            </w:r>
            <w:proofErr w:type="spellEnd"/>
            <w:r w:rsidRPr="00DF23E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F23E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mimo</w:t>
            </w:r>
            <w:proofErr w:type="spellEnd"/>
            <w:r w:rsidRPr="00DF23E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F23E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dobu</w:t>
            </w:r>
            <w:proofErr w:type="spellEnd"/>
            <w:r w:rsidRPr="00DF23E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F23E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vykonávání</w:t>
            </w:r>
            <w:proofErr w:type="spellEnd"/>
            <w:r w:rsidRPr="00DF23E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F23E3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operací</w:t>
            </w:r>
            <w:proofErr w:type="spellEnd"/>
          </w:p>
          <w:p w:rsidR="00DF23E3" w:rsidRPr="002429B0" w:rsidRDefault="00DF23E3" w:rsidP="00DF23E3">
            <w:pPr>
              <w:pStyle w:val="Standard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Podpora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spolupráce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dvou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robotů</w:t>
            </w:r>
            <w:proofErr w:type="spellEnd"/>
          </w:p>
          <w:p w:rsidR="00DF23E3" w:rsidRPr="002429B0" w:rsidRDefault="00DF23E3" w:rsidP="00DF23E3">
            <w:pPr>
              <w:pStyle w:val="Standard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Možnost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přímého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řízení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robotických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operací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z 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nadřazeného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PLC Siemens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Simatic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mimo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standardní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robotický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program a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vazba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simulace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v 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Tecnomatix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Process Simulate</w:t>
            </w:r>
          </w:p>
          <w:p w:rsidR="00DF23E3" w:rsidRPr="002429B0" w:rsidRDefault="00DF23E3" w:rsidP="00DF23E3">
            <w:pPr>
              <w:pStyle w:val="Standard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Možnost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nasazení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OPC UA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serveru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přímo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robotickém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kontroléru</w:t>
            </w:r>
            <w:proofErr w:type="spellEnd"/>
          </w:p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Uvedené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parametry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které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jsou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dány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aktuální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konfigurací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Testbedu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záměrem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jeho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další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rozvoj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splňuje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jediný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dodavatel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, a to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výrobce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KUKA.</w:t>
            </w:r>
          </w:p>
          <w:p w:rsidR="003015B0" w:rsidRPr="00DF23E3" w:rsidRDefault="00DF23E3" w:rsidP="00DF23E3">
            <w:pPr>
              <w:rPr>
                <w:rFonts w:cstheme="minorHAnsi"/>
                <w:b/>
                <w:sz w:val="20"/>
                <w:szCs w:val="20"/>
                <w:lang w:val="cs-CZ"/>
              </w:rPr>
            </w:pPr>
            <w:proofErr w:type="spellStart"/>
            <w:r w:rsidRPr="002429B0">
              <w:rPr>
                <w:rFonts w:cstheme="minorHAnsi"/>
                <w:sz w:val="20"/>
                <w:szCs w:val="20"/>
              </w:rPr>
              <w:t>Jeden</w:t>
            </w:r>
            <w:proofErr w:type="spellEnd"/>
            <w:r w:rsidRPr="002429B0">
              <w:rPr>
                <w:rFonts w:cstheme="minorHAnsi"/>
                <w:sz w:val="20"/>
                <w:szCs w:val="20"/>
              </w:rPr>
              <w:t xml:space="preserve"> z </w:t>
            </w:r>
            <w:proofErr w:type="spellStart"/>
            <w:r w:rsidRPr="002429B0">
              <w:rPr>
                <w:rFonts w:cstheme="minorHAnsi"/>
                <w:sz w:val="20"/>
                <w:szCs w:val="20"/>
              </w:rPr>
              <w:t>robotů</w:t>
            </w:r>
            <w:proofErr w:type="spellEnd"/>
            <w:r w:rsidRPr="002429B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cstheme="minorHAnsi"/>
                <w:sz w:val="20"/>
                <w:szCs w:val="20"/>
              </w:rPr>
              <w:t>bude</w:t>
            </w:r>
            <w:proofErr w:type="spellEnd"/>
            <w:r w:rsidRPr="002429B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cstheme="minorHAnsi"/>
                <w:sz w:val="20"/>
                <w:szCs w:val="20"/>
              </w:rPr>
              <w:t>vybaven</w:t>
            </w:r>
            <w:proofErr w:type="spellEnd"/>
            <w:r w:rsidRPr="002429B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cstheme="minorHAnsi"/>
                <w:sz w:val="20"/>
                <w:szCs w:val="20"/>
              </w:rPr>
              <w:t>dvouosým</w:t>
            </w:r>
            <w:proofErr w:type="spellEnd"/>
            <w:r w:rsidRPr="002429B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cstheme="minorHAnsi"/>
                <w:sz w:val="20"/>
                <w:szCs w:val="20"/>
              </w:rPr>
              <w:t>otočným</w:t>
            </w:r>
            <w:proofErr w:type="spellEnd"/>
            <w:r w:rsidRPr="002429B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cstheme="minorHAnsi"/>
                <w:sz w:val="20"/>
                <w:szCs w:val="20"/>
              </w:rPr>
              <w:t>stolem</w:t>
            </w:r>
            <w:proofErr w:type="spellEnd"/>
            <w:r w:rsidRPr="002429B0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2429B0">
              <w:rPr>
                <w:rFonts w:cstheme="minorHAnsi"/>
                <w:sz w:val="20"/>
                <w:szCs w:val="20"/>
              </w:rPr>
              <w:t>který</w:t>
            </w:r>
            <w:proofErr w:type="spellEnd"/>
            <w:r w:rsidRPr="002429B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cstheme="minorHAnsi"/>
                <w:sz w:val="20"/>
                <w:szCs w:val="20"/>
              </w:rPr>
              <w:t>bude</w:t>
            </w:r>
            <w:proofErr w:type="spellEnd"/>
            <w:r w:rsidRPr="002429B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cstheme="minorHAnsi"/>
                <w:sz w:val="20"/>
                <w:szCs w:val="20"/>
              </w:rPr>
              <w:t>integrován</w:t>
            </w:r>
            <w:proofErr w:type="spellEnd"/>
            <w:r w:rsidRPr="002429B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cstheme="minorHAnsi"/>
                <w:sz w:val="20"/>
                <w:szCs w:val="20"/>
              </w:rPr>
              <w:t>jako</w:t>
            </w:r>
            <w:proofErr w:type="spellEnd"/>
            <w:r w:rsidRPr="002429B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cstheme="minorHAnsi"/>
                <w:sz w:val="20"/>
                <w:szCs w:val="20"/>
              </w:rPr>
              <w:t>externí</w:t>
            </w:r>
            <w:proofErr w:type="spellEnd"/>
            <w:r w:rsidRPr="002429B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cstheme="minorHAnsi"/>
                <w:sz w:val="20"/>
                <w:szCs w:val="20"/>
              </w:rPr>
              <w:t>dvouosé</w:t>
            </w:r>
            <w:proofErr w:type="spellEnd"/>
            <w:r w:rsidRPr="002429B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cstheme="minorHAnsi"/>
                <w:sz w:val="20"/>
                <w:szCs w:val="20"/>
              </w:rPr>
              <w:t>zařízení</w:t>
            </w:r>
            <w:proofErr w:type="spellEnd"/>
            <w:r w:rsidRPr="002429B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cstheme="minorHAnsi"/>
                <w:sz w:val="20"/>
                <w:szCs w:val="20"/>
              </w:rPr>
              <w:t>synchronně</w:t>
            </w:r>
            <w:proofErr w:type="spellEnd"/>
            <w:r w:rsidRPr="002429B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cstheme="minorHAnsi"/>
                <w:sz w:val="20"/>
                <w:szCs w:val="20"/>
              </w:rPr>
              <w:t>řízené</w:t>
            </w:r>
            <w:proofErr w:type="spellEnd"/>
            <w:r w:rsidRPr="002429B0">
              <w:rPr>
                <w:rFonts w:cstheme="minorHAnsi"/>
                <w:sz w:val="20"/>
                <w:szCs w:val="20"/>
              </w:rPr>
              <w:t xml:space="preserve"> z </w:t>
            </w:r>
            <w:proofErr w:type="spellStart"/>
            <w:r w:rsidRPr="002429B0">
              <w:rPr>
                <w:rFonts w:cstheme="minorHAnsi"/>
                <w:sz w:val="20"/>
                <w:szCs w:val="20"/>
              </w:rPr>
              <w:t>kontroléru</w:t>
            </w:r>
            <w:proofErr w:type="spellEnd"/>
            <w:r w:rsidRPr="002429B0">
              <w:rPr>
                <w:rFonts w:cstheme="minorHAnsi"/>
                <w:sz w:val="20"/>
                <w:szCs w:val="20"/>
              </w:rPr>
              <w:t xml:space="preserve"> z </w:t>
            </w:r>
            <w:proofErr w:type="spellStart"/>
            <w:r w:rsidRPr="002429B0">
              <w:rPr>
                <w:rFonts w:cstheme="minorHAnsi"/>
                <w:sz w:val="20"/>
                <w:szCs w:val="20"/>
              </w:rPr>
              <w:t>robota</w:t>
            </w:r>
            <w:proofErr w:type="spellEnd"/>
            <w:r w:rsidRPr="002429B0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E4242" w:rsidRPr="004C0F1E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</w:tcPr>
          <w:p w:rsidR="003015B0" w:rsidRPr="001C05AE" w:rsidRDefault="001C05AE" w:rsidP="002D0656">
            <w:pPr>
              <w:pStyle w:val="Standard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1C05AE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Počet kusů </w:t>
            </w:r>
            <w:r w:rsidR="002D0656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montážního kolaborativního robota</w:t>
            </w:r>
            <w:r w:rsidR="00C27E81" w:rsidRPr="001C05AE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4161" w:type="dxa"/>
          </w:tcPr>
          <w:p w:rsidR="003015B0" w:rsidRPr="00C27E81" w:rsidRDefault="00DF23E3" w:rsidP="003015B0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015B0" w:rsidRPr="00BD3083" w:rsidRDefault="003015B0" w:rsidP="003015B0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>Požadovaná</w:t>
            </w:r>
            <w:proofErr w:type="spellEnd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>hodnota</w:t>
            </w:r>
            <w:proofErr w:type="spellEnd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278" w:type="dxa"/>
          </w:tcPr>
          <w:p w:rsidR="003015B0" w:rsidRPr="00BD3083" w:rsidRDefault="003015B0" w:rsidP="003015B0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>Závaznost</w:t>
            </w:r>
            <w:proofErr w:type="spellEnd"/>
            <w:r w:rsidRPr="00BD3083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BE4242" w:rsidRPr="00BD308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</w:tcPr>
          <w:p w:rsidR="003015B0" w:rsidRPr="00BD3083" w:rsidRDefault="002D0656" w:rsidP="002D0656">
            <w:pPr>
              <w:pStyle w:val="Standard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Dodávka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včetně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instalace</w:t>
            </w:r>
            <w:proofErr w:type="spellEnd"/>
          </w:p>
        </w:tc>
        <w:tc>
          <w:tcPr>
            <w:tcW w:w="4161" w:type="dxa"/>
          </w:tcPr>
          <w:p w:rsidR="003015B0" w:rsidRPr="00BD3083" w:rsidRDefault="003015B0" w:rsidP="003015B0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Doprava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školení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instalace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v 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místě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3083">
              <w:rPr>
                <w:rFonts w:cstheme="minorHAnsi"/>
                <w:color w:val="000000"/>
                <w:sz w:val="20"/>
                <w:szCs w:val="20"/>
              </w:rPr>
              <w:t>provozu</w:t>
            </w:r>
            <w:proofErr w:type="spellEnd"/>
          </w:p>
        </w:tc>
        <w:tc>
          <w:tcPr>
            <w:tcW w:w="1701" w:type="dxa"/>
          </w:tcPr>
          <w:p w:rsidR="003015B0" w:rsidRPr="00BD3083" w:rsidRDefault="003015B0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3015B0" w:rsidRPr="00BD3083" w:rsidRDefault="00BE4242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3015B0">
              <w:rPr>
                <w:rFonts w:asciiTheme="minorHAnsi" w:hAnsiTheme="minorHAnsi" w:cstheme="minorHAnsi"/>
                <w:sz w:val="20"/>
                <w:szCs w:val="20"/>
              </w:rPr>
              <w:t>odmínka</w:t>
            </w:r>
            <w:proofErr w:type="spellEnd"/>
          </w:p>
        </w:tc>
      </w:tr>
      <w:tr w:rsidR="001C05AE" w:rsidRPr="00BD308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</w:tcPr>
          <w:p w:rsidR="001C05AE" w:rsidRPr="00BD3083" w:rsidRDefault="001C05AE" w:rsidP="003015B0">
            <w:pPr>
              <w:pStyle w:val="Standard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Podrobnosti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servisu</w:t>
            </w:r>
            <w:proofErr w:type="spellEnd"/>
          </w:p>
        </w:tc>
        <w:tc>
          <w:tcPr>
            <w:tcW w:w="4161" w:type="dxa"/>
          </w:tcPr>
          <w:p w:rsidR="001C05AE" w:rsidRDefault="001C05AE" w:rsidP="003015B0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Reakční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doba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prodávajícího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do 48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hodin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="00DF23E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Oprava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místě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nebo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návrh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řešení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opravy</w:t>
            </w:r>
            <w:proofErr w:type="spellEnd"/>
          </w:p>
        </w:tc>
        <w:tc>
          <w:tcPr>
            <w:tcW w:w="1701" w:type="dxa"/>
          </w:tcPr>
          <w:p w:rsidR="001C05AE" w:rsidRDefault="001C05AE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1C05AE" w:rsidRDefault="001C05AE" w:rsidP="003015B0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BE4242" w:rsidRPr="00BD308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 w:val="restart"/>
            <w:vAlign w:val="center"/>
          </w:tcPr>
          <w:p w:rsidR="00BE4242" w:rsidRPr="00BE4242" w:rsidRDefault="00BE4242" w:rsidP="00BE4242">
            <w:pPr>
              <w:pStyle w:val="Standard"/>
              <w:contextualSpacing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BE4242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 xml:space="preserve">Technické parametry: </w:t>
            </w:r>
          </w:p>
          <w:p w:rsidR="00BE4242" w:rsidRPr="00BE4242" w:rsidRDefault="00BE4242" w:rsidP="00BE4242">
            <w:pPr>
              <w:pStyle w:val="Standard"/>
              <w:contextualSpacing/>
              <w:rPr>
                <w:sz w:val="20"/>
                <w:szCs w:val="20"/>
                <w:lang w:val="cs-CZ"/>
              </w:rPr>
            </w:pPr>
            <w:r w:rsidRPr="00BE4242">
              <w:rPr>
                <w:rFonts w:asciiTheme="minorHAnsi" w:hAnsiTheme="minorHAnsi"/>
                <w:sz w:val="20"/>
                <w:szCs w:val="20"/>
                <w:lang w:val="cs-CZ"/>
              </w:rPr>
              <w:t>- nejdůležitější minimální vč. konkrétních hodnot</w:t>
            </w:r>
          </w:p>
          <w:p w:rsidR="00BE4242" w:rsidRPr="00BE4242" w:rsidRDefault="00BE4242" w:rsidP="00BE4242">
            <w:pPr>
              <w:pStyle w:val="Standard"/>
              <w:contextualSpacing/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4161" w:type="dxa"/>
          </w:tcPr>
          <w:p w:rsidR="00BE4242" w:rsidRPr="00794C2E" w:rsidRDefault="00BE4242" w:rsidP="00BE4242">
            <w:pPr>
              <w:pStyle w:val="Standard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794C2E">
              <w:rPr>
                <w:rFonts w:asciiTheme="minorHAnsi" w:hAnsiTheme="minorHAnsi"/>
                <w:b/>
                <w:sz w:val="20"/>
                <w:szCs w:val="20"/>
              </w:rPr>
              <w:t>Popis</w:t>
            </w:r>
            <w:proofErr w:type="spellEnd"/>
            <w:r w:rsidRPr="00794C2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94C2E">
              <w:rPr>
                <w:rFonts w:asciiTheme="minorHAnsi" w:hAnsiTheme="minorHAnsi"/>
                <w:b/>
                <w:sz w:val="20"/>
                <w:szCs w:val="20"/>
              </w:rPr>
              <w:t>parametru</w:t>
            </w:r>
            <w:proofErr w:type="spellEnd"/>
            <w:r w:rsidRPr="00794C2E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:rsidR="00BE4242" w:rsidRPr="00794C2E" w:rsidRDefault="00BE4242" w:rsidP="00BE4242">
            <w:pPr>
              <w:pStyle w:val="Standard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794C2E">
              <w:rPr>
                <w:rFonts w:asciiTheme="minorHAnsi" w:hAnsiTheme="minorHAnsi"/>
                <w:b/>
                <w:sz w:val="20"/>
                <w:szCs w:val="20"/>
              </w:rPr>
              <w:t>Požadovaná</w:t>
            </w:r>
            <w:proofErr w:type="spellEnd"/>
            <w:r w:rsidRPr="00794C2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94C2E">
              <w:rPr>
                <w:rFonts w:asciiTheme="minorHAnsi" w:hAnsiTheme="minorHAnsi"/>
                <w:b/>
                <w:sz w:val="20"/>
                <w:szCs w:val="20"/>
              </w:rPr>
              <w:t>hodnota</w:t>
            </w:r>
            <w:proofErr w:type="spellEnd"/>
            <w:r w:rsidRPr="00794C2E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1278" w:type="dxa"/>
          </w:tcPr>
          <w:p w:rsidR="00BE4242" w:rsidRPr="00794C2E" w:rsidRDefault="00BE4242" w:rsidP="00BE4242">
            <w:pPr>
              <w:pStyle w:val="Standard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Závaznost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</w:tr>
      <w:tr w:rsidR="00DF23E3" w:rsidRPr="00BD308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DF23E3" w:rsidRPr="00BD3083" w:rsidRDefault="00DF23E3" w:rsidP="00DF23E3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Komunikační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rozhraní</w:t>
            </w:r>
            <w:proofErr w:type="spellEnd"/>
          </w:p>
        </w:tc>
        <w:tc>
          <w:tcPr>
            <w:tcW w:w="170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PROFINET IO-D, IO-C</w:t>
            </w:r>
          </w:p>
        </w:tc>
        <w:tc>
          <w:tcPr>
            <w:tcW w:w="1278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DF23E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DF23E3" w:rsidRPr="00BD3083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Bezpečnost</w:t>
            </w:r>
            <w:proofErr w:type="spellEnd"/>
          </w:p>
        </w:tc>
        <w:tc>
          <w:tcPr>
            <w:tcW w:w="170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PROFIsafe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SafeOperation</w:t>
            </w:r>
            <w:proofErr w:type="spellEnd"/>
          </w:p>
        </w:tc>
        <w:tc>
          <w:tcPr>
            <w:tcW w:w="1278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DF23E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DF23E3" w:rsidRPr="00BD3083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Úspora</w:t>
            </w:r>
            <w:proofErr w:type="spellEnd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energie</w:t>
            </w:r>
            <w:proofErr w:type="spellEnd"/>
          </w:p>
        </w:tc>
        <w:tc>
          <w:tcPr>
            <w:tcW w:w="170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PROFIenergy</w:t>
            </w:r>
            <w:proofErr w:type="spellEnd"/>
          </w:p>
        </w:tc>
        <w:tc>
          <w:tcPr>
            <w:tcW w:w="1278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DF23E3" w:rsidRPr="00BD308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DF23E3" w:rsidRPr="00BD3083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Vedení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energie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datové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signály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osy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4 - 6</w:t>
            </w:r>
          </w:p>
        </w:tc>
        <w:tc>
          <w:tcPr>
            <w:tcW w:w="170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DF23E3" w:rsidRPr="00BD308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DF23E3" w:rsidRPr="00BD3083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Dosah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robota</w:t>
            </w:r>
            <w:proofErr w:type="spellEnd"/>
          </w:p>
        </w:tc>
        <w:tc>
          <w:tcPr>
            <w:tcW w:w="170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min 1600 mm</w:t>
            </w:r>
          </w:p>
        </w:tc>
        <w:tc>
          <w:tcPr>
            <w:tcW w:w="1278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DF23E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DF23E3" w:rsidRPr="00BD3083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Nosnost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robota</w:t>
            </w:r>
            <w:proofErr w:type="spellEnd"/>
          </w:p>
        </w:tc>
        <w:tc>
          <w:tcPr>
            <w:tcW w:w="170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min 8 kg</w:t>
            </w:r>
          </w:p>
        </w:tc>
        <w:tc>
          <w:tcPr>
            <w:tcW w:w="1278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DF23E3" w:rsidRPr="00BD308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DF23E3" w:rsidRPr="00BD3083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Přesnost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opakování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polohy</w:t>
            </w:r>
            <w:proofErr w:type="spellEnd"/>
          </w:p>
        </w:tc>
        <w:tc>
          <w:tcPr>
            <w:tcW w:w="170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max 0,04 mm</w:t>
            </w:r>
          </w:p>
        </w:tc>
        <w:tc>
          <w:tcPr>
            <w:tcW w:w="1278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DF23E3" w:rsidRPr="00BD308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DF23E3" w:rsidRPr="00BD3083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Absolutní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přesnost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polohování</w:t>
            </w:r>
            <w:proofErr w:type="spellEnd"/>
          </w:p>
        </w:tc>
        <w:tc>
          <w:tcPr>
            <w:tcW w:w="170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max 0,5 mm</w:t>
            </w:r>
          </w:p>
        </w:tc>
        <w:tc>
          <w:tcPr>
            <w:tcW w:w="1278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DF23E3" w:rsidRPr="00BD308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DF23E3" w:rsidRPr="00BD3083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Absolutní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kalibrace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pohybových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parametrů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robota</w:t>
            </w:r>
            <w:proofErr w:type="spellEnd"/>
          </w:p>
        </w:tc>
        <w:tc>
          <w:tcPr>
            <w:tcW w:w="170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DF23E3" w:rsidRPr="00BD308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DF23E3" w:rsidRPr="00BD3083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Možností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přímého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řízení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robotických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operací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 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nadřazeného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PLC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Simatic</w:t>
            </w:r>
            <w:proofErr w:type="spellEnd"/>
          </w:p>
        </w:tc>
        <w:tc>
          <w:tcPr>
            <w:tcW w:w="170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DF23E3" w:rsidRPr="00BD308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DF23E3" w:rsidRPr="00BD3083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Ovládací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panel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robota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(Teach Pendant) –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dotykový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displej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tlačítka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6D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myš</w:t>
            </w:r>
            <w:proofErr w:type="spellEnd"/>
          </w:p>
        </w:tc>
        <w:tc>
          <w:tcPr>
            <w:tcW w:w="170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DF23E3" w:rsidRPr="00BD308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DF23E3" w:rsidRPr="00BD3083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Možnost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změny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montážní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polohy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instalaci</w:t>
            </w:r>
            <w:proofErr w:type="spellEnd"/>
          </w:p>
        </w:tc>
        <w:tc>
          <w:tcPr>
            <w:tcW w:w="170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DF23E3" w:rsidRPr="00BD308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DF23E3" w:rsidRPr="00BD3083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Možnost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kalibrace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elektronickou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sondou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na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všech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6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osách</w:t>
            </w:r>
            <w:proofErr w:type="spellEnd"/>
          </w:p>
        </w:tc>
        <w:tc>
          <w:tcPr>
            <w:tcW w:w="170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DF23E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DF23E3" w:rsidRPr="00BD3083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Maximální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doba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mezi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požadovanými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výměnami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oleje</w:t>
            </w:r>
            <w:proofErr w:type="spellEnd"/>
          </w:p>
        </w:tc>
        <w:tc>
          <w:tcPr>
            <w:tcW w:w="170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min po 20 000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hodinách</w:t>
            </w:r>
            <w:proofErr w:type="spellEnd"/>
          </w:p>
        </w:tc>
        <w:tc>
          <w:tcPr>
            <w:tcW w:w="1278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DF23E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DF23E3" w:rsidRPr="00BD3083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278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23E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DF23E3" w:rsidRPr="00BD3083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Dvouosoý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polohovací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stůl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připojený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 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jednomu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 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robotů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 pro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synchronizované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řízení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jako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externí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osy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robotického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kontroléru</w:t>
            </w:r>
            <w:proofErr w:type="spellEnd"/>
          </w:p>
        </w:tc>
        <w:tc>
          <w:tcPr>
            <w:tcW w:w="170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  <w:proofErr w:type="spellEnd"/>
          </w:p>
        </w:tc>
        <w:tc>
          <w:tcPr>
            <w:tcW w:w="1278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DF23E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DF23E3" w:rsidRPr="00BD3083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Maximální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nosnost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polohovacího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stolu</w:t>
            </w:r>
            <w:proofErr w:type="spellEnd"/>
          </w:p>
        </w:tc>
        <w:tc>
          <w:tcPr>
            <w:tcW w:w="170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min 400 kg</w:t>
            </w:r>
          </w:p>
        </w:tc>
        <w:tc>
          <w:tcPr>
            <w:tcW w:w="1278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DF23E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DF23E3" w:rsidRPr="00BD3083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Přesnost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opakování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polohy</w:t>
            </w:r>
            <w:proofErr w:type="spellEnd"/>
          </w:p>
        </w:tc>
        <w:tc>
          <w:tcPr>
            <w:tcW w:w="170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max 0,06 mm</w:t>
            </w:r>
          </w:p>
        </w:tc>
        <w:tc>
          <w:tcPr>
            <w:tcW w:w="1278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DF23E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Merge/>
            <w:vAlign w:val="center"/>
          </w:tcPr>
          <w:p w:rsidR="00DF23E3" w:rsidRPr="00BD3083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Přívod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energie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napájení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komunikace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stlačený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vzduch</w:t>
            </w:r>
            <w:proofErr w:type="spellEnd"/>
          </w:p>
        </w:tc>
        <w:tc>
          <w:tcPr>
            <w:tcW w:w="170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DF23E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Align w:val="center"/>
          </w:tcPr>
          <w:p w:rsidR="00DF23E3" w:rsidRPr="00BD3083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Paralelní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pneumatický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nebo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elektrický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(8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ks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uchopovač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opakovatelnou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přesností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lepší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než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0,05 mm a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dobou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zavření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čelistí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lepší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než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0,5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vteřiny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minimální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silou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stisku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30 N,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rozjezdem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minimálně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5 mm,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včetně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4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výměníků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nástrojů</w:t>
            </w:r>
            <w:proofErr w:type="spellEnd"/>
          </w:p>
        </w:tc>
        <w:tc>
          <w:tcPr>
            <w:tcW w:w="170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2429B0">
              <w:rPr>
                <w:rFonts w:asciiTheme="minorHAnsi" w:hAnsiTheme="minorHAnsi" w:cstheme="minorHAnsi"/>
                <w:sz w:val="20"/>
                <w:szCs w:val="20"/>
              </w:rPr>
              <w:t xml:space="preserve">8 </w:t>
            </w: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kusů</w:t>
            </w:r>
            <w:proofErr w:type="spellEnd"/>
          </w:p>
        </w:tc>
        <w:tc>
          <w:tcPr>
            <w:tcW w:w="1278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DF23E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Align w:val="center"/>
          </w:tcPr>
          <w:p w:rsidR="00DF23E3" w:rsidRPr="00BD3083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Instalace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sady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uchopovačů</w:t>
            </w:r>
            <w:proofErr w:type="spellEnd"/>
          </w:p>
        </w:tc>
        <w:tc>
          <w:tcPr>
            <w:tcW w:w="170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DF23E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Align w:val="center"/>
          </w:tcPr>
          <w:p w:rsidR="00DF23E3" w:rsidRPr="00BD3083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Dodávka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HW a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uvedení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provozu</w:t>
            </w:r>
            <w:proofErr w:type="spellEnd"/>
          </w:p>
        </w:tc>
        <w:tc>
          <w:tcPr>
            <w:tcW w:w="170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  <w:tr w:rsidR="00DF23E3" w:rsidTr="00BE4242">
        <w:tblPrEx>
          <w:tblCellMar>
            <w:bottom w:w="0" w:type="dxa"/>
          </w:tblCellMar>
        </w:tblPrEx>
        <w:trPr>
          <w:gridAfter w:val="1"/>
          <w:wAfter w:w="10" w:type="dxa"/>
        </w:trPr>
        <w:tc>
          <w:tcPr>
            <w:tcW w:w="2213" w:type="dxa"/>
            <w:vAlign w:val="center"/>
          </w:tcPr>
          <w:p w:rsidR="00DF23E3" w:rsidRPr="00BD3083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Počáteční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školení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 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místě</w:t>
            </w:r>
            <w:proofErr w:type="spellEnd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429B0">
              <w:rPr>
                <w:rFonts w:asciiTheme="minorHAnsi" w:hAnsiTheme="minorHAnsi" w:cstheme="minorHAnsi"/>
                <w:bCs/>
                <w:sz w:val="20"/>
                <w:szCs w:val="20"/>
              </w:rPr>
              <w:t>instalace</w:t>
            </w:r>
            <w:proofErr w:type="spellEnd"/>
          </w:p>
        </w:tc>
        <w:tc>
          <w:tcPr>
            <w:tcW w:w="1701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8" w:type="dxa"/>
          </w:tcPr>
          <w:p w:rsidR="00DF23E3" w:rsidRPr="002429B0" w:rsidRDefault="00DF23E3" w:rsidP="00DF23E3">
            <w:pPr>
              <w:pStyle w:val="Standard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429B0">
              <w:rPr>
                <w:rFonts w:asciiTheme="minorHAnsi" w:hAnsiTheme="minorHAnsi" w:cstheme="minorHAnsi"/>
                <w:sz w:val="20"/>
                <w:szCs w:val="20"/>
              </w:rPr>
              <w:t>Podmínka</w:t>
            </w:r>
            <w:proofErr w:type="spellEnd"/>
          </w:p>
        </w:tc>
      </w:tr>
    </w:tbl>
    <w:p w:rsidR="003015B0" w:rsidRDefault="003015B0"/>
    <w:p w:rsidR="003015B0" w:rsidRDefault="003015B0">
      <w:r>
        <w:t>Svým podpisem stvrzuji, že výše uvedené plnění splňuje všechny požadované hodnoty a má zde uvedené vlastnosti.</w:t>
      </w:r>
    </w:p>
    <w:p w:rsidR="00287F1A" w:rsidRDefault="003015B0" w:rsidP="00287F1A">
      <w:r w:rsidRPr="00D405E8">
        <w:t>V</w:t>
      </w:r>
      <w:r w:rsidR="00D405E8" w:rsidRPr="00D405E8">
        <w:t xml:space="preserve">e Zdibech </w:t>
      </w:r>
      <w:r w:rsidRPr="00D405E8">
        <w:t>dne</w:t>
      </w:r>
      <w:r w:rsidR="00D405E8" w:rsidRPr="00D405E8">
        <w:t xml:space="preserve"> </w:t>
      </w:r>
      <w:r w:rsidR="009164DE">
        <w:t>12</w:t>
      </w:r>
      <w:r w:rsidR="00D405E8" w:rsidRPr="00D405E8">
        <w:t>.</w:t>
      </w:r>
      <w:r w:rsidR="00F17E00">
        <w:t>6</w:t>
      </w:r>
      <w:r w:rsidR="00D405E8" w:rsidRPr="00D405E8">
        <w:t>.2020</w:t>
      </w:r>
      <w:r w:rsidR="00D405E8">
        <w:tab/>
      </w:r>
      <w:r w:rsidR="00D405E8">
        <w:tab/>
      </w:r>
      <w:r w:rsidR="00D405E8">
        <w:tab/>
      </w:r>
      <w:r w:rsidR="00D405E8">
        <w:tab/>
      </w:r>
      <w:r w:rsidR="00D405E8">
        <w:tab/>
      </w:r>
      <w:r w:rsidR="00D405E8">
        <w:tab/>
      </w:r>
      <w:bookmarkStart w:id="0" w:name="_GoBack"/>
      <w:bookmarkEnd w:id="0"/>
    </w:p>
    <w:p w:rsidR="003015B0" w:rsidRDefault="003015B0" w:rsidP="003015B0">
      <w:pPr>
        <w:jc w:val="right"/>
      </w:pPr>
    </w:p>
    <w:sectPr w:rsidR="003015B0" w:rsidSect="003015B0">
      <w:headerReference w:type="default" r:id="rId7"/>
      <w:pgSz w:w="11906" w:h="16838"/>
      <w:pgMar w:top="23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683" w:rsidRDefault="00187683" w:rsidP="003015B0">
      <w:pPr>
        <w:spacing w:after="0" w:line="240" w:lineRule="auto"/>
      </w:pPr>
      <w:r>
        <w:separator/>
      </w:r>
    </w:p>
  </w:endnote>
  <w:endnote w:type="continuationSeparator" w:id="0">
    <w:p w:rsidR="00187683" w:rsidRDefault="00187683" w:rsidP="00301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ka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683" w:rsidRDefault="00187683" w:rsidP="003015B0">
      <w:pPr>
        <w:spacing w:after="0" w:line="240" w:lineRule="auto"/>
      </w:pPr>
      <w:r>
        <w:separator/>
      </w:r>
    </w:p>
  </w:footnote>
  <w:footnote w:type="continuationSeparator" w:id="0">
    <w:p w:rsidR="00187683" w:rsidRDefault="00187683" w:rsidP="00301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5B0" w:rsidRDefault="003015B0">
    <w:pPr>
      <w:pStyle w:val="Zhlav"/>
    </w:pPr>
    <w:r>
      <w:rPr>
        <w:rFonts w:ascii="Technika" w:hAnsi="Technika"/>
        <w:caps/>
        <w:noProof/>
        <w:spacing w:val="8"/>
        <w:kern w:val="20"/>
        <w:sz w:val="14"/>
        <w:szCs w:val="14"/>
        <w:lang w:eastAsia="cs-CZ"/>
      </w:rPr>
      <w:drawing>
        <wp:anchor distT="0" distB="0" distL="114300" distR="114300" simplePos="0" relativeHeight="251659264" behindDoc="0" locked="0" layoutInCell="1" allowOverlap="1" wp14:anchorId="7DC4632A" wp14:editId="721D3C9D">
          <wp:simplePos x="0" y="0"/>
          <wp:positionH relativeFrom="column">
            <wp:posOffset>3971925</wp:posOffset>
          </wp:positionH>
          <wp:positionV relativeFrom="paragraph">
            <wp:posOffset>8890</wp:posOffset>
          </wp:positionV>
          <wp:extent cx="2307562" cy="720000"/>
          <wp:effectExtent l="0" t="0" r="0" b="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CAIP_logo_RGB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562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2B93">
      <w:rPr>
        <w:rFonts w:ascii="Technika" w:hAnsi="Technika"/>
        <w:caps/>
        <w:noProof/>
        <w:spacing w:val="8"/>
        <w:kern w:val="20"/>
        <w:sz w:val="14"/>
        <w:szCs w:val="14"/>
        <w:lang w:eastAsia="cs-CZ"/>
      </w:rPr>
      <w:drawing>
        <wp:inline distT="0" distB="0" distL="0" distR="0" wp14:anchorId="5FAC99DF" wp14:editId="7B97F3D9">
          <wp:extent cx="2005200" cy="720000"/>
          <wp:effectExtent l="0" t="0" r="0" b="4445"/>
          <wp:docPr id="26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CIIR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D2288"/>
    <w:multiLevelType w:val="hybridMultilevel"/>
    <w:tmpl w:val="24368972"/>
    <w:lvl w:ilvl="0" w:tplc="44D02D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B0"/>
    <w:rsid w:val="00187683"/>
    <w:rsid w:val="001C05AE"/>
    <w:rsid w:val="001F4353"/>
    <w:rsid w:val="002513EA"/>
    <w:rsid w:val="00287F1A"/>
    <w:rsid w:val="002B5540"/>
    <w:rsid w:val="002D0656"/>
    <w:rsid w:val="003015B0"/>
    <w:rsid w:val="00302844"/>
    <w:rsid w:val="003C3EBD"/>
    <w:rsid w:val="004902A4"/>
    <w:rsid w:val="006A38BF"/>
    <w:rsid w:val="007C4109"/>
    <w:rsid w:val="009164DE"/>
    <w:rsid w:val="009A61DD"/>
    <w:rsid w:val="009B43E6"/>
    <w:rsid w:val="00AB6641"/>
    <w:rsid w:val="00B8472F"/>
    <w:rsid w:val="00BE4242"/>
    <w:rsid w:val="00C27E81"/>
    <w:rsid w:val="00CE5197"/>
    <w:rsid w:val="00D405E8"/>
    <w:rsid w:val="00D565AD"/>
    <w:rsid w:val="00DF23E3"/>
    <w:rsid w:val="00EE62C1"/>
    <w:rsid w:val="00F00B91"/>
    <w:rsid w:val="00F17E00"/>
    <w:rsid w:val="00F61339"/>
    <w:rsid w:val="00FA42DF"/>
    <w:rsid w:val="00FB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9CA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015B0"/>
  </w:style>
  <w:style w:type="paragraph" w:styleId="Zpat">
    <w:name w:val="footer"/>
    <w:basedOn w:val="Normln"/>
    <w:link w:val="ZpatChar"/>
    <w:uiPriority w:val="99"/>
    <w:unhideWhenUsed/>
    <w:rsid w:val="00301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5B0"/>
  </w:style>
  <w:style w:type="table" w:styleId="Mkatabulky">
    <w:name w:val="Table Grid"/>
    <w:basedOn w:val="Normlntabulka"/>
    <w:uiPriority w:val="39"/>
    <w:rsid w:val="003015B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015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2020-09-04T10:21:00Z</dcterms:created>
  <dcterms:modified xsi:type="dcterms:W3CDTF">2020-09-04T10:21:00Z</dcterms:modified>
</cp:coreProperties>
</file>