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61A" w:rsidRPr="003015B0" w:rsidRDefault="003015B0">
      <w:pPr>
        <w:rPr>
          <w:b/>
          <w:sz w:val="28"/>
          <w:szCs w:val="28"/>
        </w:rPr>
      </w:pPr>
      <w:r w:rsidRPr="003015B0">
        <w:rPr>
          <w:b/>
          <w:sz w:val="28"/>
          <w:szCs w:val="28"/>
        </w:rPr>
        <w:t xml:space="preserve">Příloha A </w:t>
      </w:r>
      <w:r w:rsidR="00D565AD">
        <w:rPr>
          <w:b/>
          <w:sz w:val="28"/>
          <w:szCs w:val="28"/>
        </w:rPr>
        <w:t>(Technická specifikace)</w:t>
      </w:r>
      <w:r w:rsidRPr="003015B0">
        <w:rPr>
          <w:b/>
          <w:sz w:val="28"/>
          <w:szCs w:val="28"/>
        </w:rPr>
        <w:t xml:space="preserve"> VZ ČVUT – CIIRC: </w:t>
      </w:r>
      <w:r w:rsidR="00B11F64">
        <w:rPr>
          <w:b/>
          <w:sz w:val="28"/>
          <w:szCs w:val="28"/>
        </w:rPr>
        <w:t xml:space="preserve">Průmyslové robotické manipulátory: </w:t>
      </w:r>
      <w:r>
        <w:rPr>
          <w:b/>
          <w:sz w:val="28"/>
          <w:szCs w:val="28"/>
        </w:rPr>
        <w:t xml:space="preserve">Dílčí část </w:t>
      </w:r>
      <w:r w:rsidR="001C05A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</w:t>
      </w:r>
      <w:r w:rsidR="001C05AE">
        <w:rPr>
          <w:b/>
          <w:sz w:val="28"/>
          <w:szCs w:val="28"/>
        </w:rPr>
        <w:t>Mobilní robotická platforma</w:t>
      </w:r>
      <w:r>
        <w:rPr>
          <w:b/>
          <w:sz w:val="28"/>
          <w:szCs w:val="28"/>
        </w:rPr>
        <w:t xml:space="preserve"> </w:t>
      </w:r>
      <w:r w:rsidR="001C05AE">
        <w:rPr>
          <w:b/>
          <w:sz w:val="28"/>
          <w:szCs w:val="28"/>
        </w:rPr>
        <w:t>(R95c</w:t>
      </w:r>
      <w:r>
        <w:rPr>
          <w:b/>
          <w:sz w:val="28"/>
          <w:szCs w:val="28"/>
        </w:rPr>
        <w:t>)</w:t>
      </w:r>
    </w:p>
    <w:tbl>
      <w:tblPr>
        <w:tblStyle w:val="Mkatabulky"/>
        <w:tblW w:w="9363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213"/>
        <w:gridCol w:w="4161"/>
        <w:gridCol w:w="1701"/>
        <w:gridCol w:w="1278"/>
        <w:gridCol w:w="10"/>
      </w:tblGrid>
      <w:tr w:rsidR="003015B0" w:rsidRPr="00BD3083" w:rsidTr="001F3866"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5B0" w:rsidRPr="00BD3083" w:rsidRDefault="003015B0" w:rsidP="00C71F4D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Odborná</w:t>
            </w:r>
            <w:proofErr w:type="spellEnd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charakteristika</w:t>
            </w:r>
            <w:proofErr w:type="spellEnd"/>
            <w:r w:rsidRPr="00BD30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D3083">
              <w:rPr>
                <w:rFonts w:asciiTheme="minorHAnsi" w:hAnsiTheme="minorHAnsi" w:cstheme="minorHAnsi"/>
                <w:sz w:val="20"/>
                <w:szCs w:val="20"/>
              </w:rPr>
              <w:t>pořizovaného</w:t>
            </w:r>
            <w:proofErr w:type="spellEnd"/>
            <w:r w:rsidRPr="00BD30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D3083">
              <w:rPr>
                <w:rFonts w:asciiTheme="minorHAnsi" w:hAnsiTheme="minorHAnsi" w:cstheme="minorHAnsi"/>
                <w:sz w:val="20"/>
                <w:szCs w:val="20"/>
              </w:rPr>
              <w:t>vybavení</w:t>
            </w:r>
            <w:proofErr w:type="spellEnd"/>
          </w:p>
          <w:p w:rsidR="003015B0" w:rsidRPr="00BD3083" w:rsidRDefault="003015B0" w:rsidP="00C71F4D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50" w:type="dxa"/>
            <w:gridSpan w:val="4"/>
            <w:tcBorders>
              <w:bottom w:val="single" w:sz="4" w:space="0" w:color="auto"/>
            </w:tcBorders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Vozítko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KUKA s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kolaborativním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robotem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LBR,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označované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KMR (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Kuka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Mobile Robot) je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plně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autonomní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mobilní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robot se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schopností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samostatné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navigace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prostoru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plně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bezpečným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provozem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reagujícím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přítomnost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osob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dráze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robota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senzitivním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robotem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Kuka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LBR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schopným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spolupráce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s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člověkem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. Na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trhu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není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jiný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produkt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těchto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parametrů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, a to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dokonce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ani v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experimentálním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provedení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. KMR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má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všesměrová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kola a je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schopen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dosáhnout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požadované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polohy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s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přesností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1 mm,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pokud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se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implementují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nadřazené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algoritmy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nad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stávajícím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autonomním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systémem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. Robot je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schopen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komunikovat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s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externími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systémy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jako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například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Enterprise Resource Planning a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vykonávat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svou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funkci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souladu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s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požadavky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těchto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systémů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. Je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otevřený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pro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další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rozvoj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integraci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vlastních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například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optimalizačních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či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plánovacích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algoritmů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Stacionární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kooperativní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robot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bude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přirozeným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partnerem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robota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mobilního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Bude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určen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pro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montážní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či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jiné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operace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samostatně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nebo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spolupráci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s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člověkem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především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citlivost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robota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díky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jeho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senzorům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síly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každé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pohybové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ose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skýtá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velký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prostor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pro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řešení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různých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výzkumných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úkolů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015B0" w:rsidRPr="002513EA" w:rsidRDefault="001C05AE" w:rsidP="001C05AE">
            <w:pPr>
              <w:rPr>
                <w:rFonts w:cstheme="minorHAnsi"/>
                <w:sz w:val="20"/>
                <w:szCs w:val="20"/>
                <w:lang w:val="cs-CZ"/>
              </w:rPr>
            </w:pPr>
            <w:proofErr w:type="spellStart"/>
            <w:r w:rsidRPr="00F732FC">
              <w:rPr>
                <w:rFonts w:cstheme="minorHAnsi"/>
                <w:sz w:val="20"/>
                <w:szCs w:val="20"/>
              </w:rPr>
              <w:t>Součástí</w:t>
            </w:r>
            <w:proofErr w:type="spellEnd"/>
            <w:r w:rsidRPr="00F732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cstheme="minorHAnsi"/>
                <w:sz w:val="20"/>
                <w:szCs w:val="20"/>
              </w:rPr>
              <w:t>dodávky</w:t>
            </w:r>
            <w:proofErr w:type="spellEnd"/>
            <w:r w:rsidRPr="00F732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cstheme="minorHAnsi"/>
                <w:sz w:val="20"/>
                <w:szCs w:val="20"/>
              </w:rPr>
              <w:t>musí</w:t>
            </w:r>
            <w:proofErr w:type="spellEnd"/>
            <w:r w:rsidRPr="00F732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cstheme="minorHAnsi"/>
                <w:sz w:val="20"/>
                <w:szCs w:val="20"/>
              </w:rPr>
              <w:t>být</w:t>
            </w:r>
            <w:proofErr w:type="spellEnd"/>
            <w:r w:rsidRPr="00F732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cstheme="minorHAnsi"/>
                <w:sz w:val="20"/>
                <w:szCs w:val="20"/>
              </w:rPr>
              <w:t>dva</w:t>
            </w:r>
            <w:proofErr w:type="spellEnd"/>
            <w:r w:rsidRPr="00F732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cstheme="minorHAnsi"/>
                <w:sz w:val="20"/>
                <w:szCs w:val="20"/>
              </w:rPr>
              <w:t>elektrické</w:t>
            </w:r>
            <w:proofErr w:type="spellEnd"/>
            <w:r w:rsidRPr="00F732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cstheme="minorHAnsi"/>
                <w:sz w:val="20"/>
                <w:szCs w:val="20"/>
              </w:rPr>
              <w:t>uchopovače</w:t>
            </w:r>
            <w:proofErr w:type="spellEnd"/>
            <w:r w:rsidRPr="00F732FC">
              <w:rPr>
                <w:rFonts w:cstheme="minorHAnsi"/>
                <w:sz w:val="20"/>
                <w:szCs w:val="20"/>
              </w:rPr>
              <w:t xml:space="preserve"> s </w:t>
            </w:r>
            <w:proofErr w:type="spellStart"/>
            <w:r w:rsidRPr="00F732FC">
              <w:rPr>
                <w:rFonts w:cstheme="minorHAnsi"/>
                <w:sz w:val="20"/>
                <w:szCs w:val="20"/>
              </w:rPr>
              <w:t>výměníkem</w:t>
            </w:r>
            <w:proofErr w:type="spellEnd"/>
            <w:r w:rsidRPr="00F732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cstheme="minorHAnsi"/>
                <w:sz w:val="20"/>
                <w:szCs w:val="20"/>
              </w:rPr>
              <w:t>nástrojů</w:t>
            </w:r>
            <w:proofErr w:type="spellEnd"/>
            <w:r w:rsidRPr="00F732FC">
              <w:rPr>
                <w:rFonts w:cstheme="minorHAnsi"/>
                <w:sz w:val="20"/>
                <w:szCs w:val="20"/>
              </w:rPr>
              <w:t xml:space="preserve"> pro </w:t>
            </w:r>
            <w:proofErr w:type="spellStart"/>
            <w:r w:rsidRPr="00F732FC">
              <w:rPr>
                <w:rFonts w:cstheme="minorHAnsi"/>
                <w:sz w:val="20"/>
                <w:szCs w:val="20"/>
              </w:rPr>
              <w:t>každé</w:t>
            </w:r>
            <w:proofErr w:type="spellEnd"/>
            <w:r w:rsidRPr="00F732FC">
              <w:rPr>
                <w:rFonts w:cstheme="minorHAnsi"/>
                <w:sz w:val="20"/>
                <w:szCs w:val="20"/>
              </w:rPr>
              <w:t xml:space="preserve"> KMR, aby se </w:t>
            </w:r>
            <w:proofErr w:type="spellStart"/>
            <w:r w:rsidRPr="00F732FC">
              <w:rPr>
                <w:rFonts w:cstheme="minorHAnsi"/>
                <w:sz w:val="20"/>
                <w:szCs w:val="20"/>
              </w:rPr>
              <w:t>zvýšila</w:t>
            </w:r>
            <w:proofErr w:type="spellEnd"/>
            <w:r w:rsidRPr="00F732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cstheme="minorHAnsi"/>
                <w:sz w:val="20"/>
                <w:szCs w:val="20"/>
              </w:rPr>
              <w:t>variabilita</w:t>
            </w:r>
            <w:proofErr w:type="spellEnd"/>
            <w:r w:rsidRPr="00F732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cstheme="minorHAnsi"/>
                <w:sz w:val="20"/>
                <w:szCs w:val="20"/>
              </w:rPr>
              <w:t>předmětů</w:t>
            </w:r>
            <w:proofErr w:type="spellEnd"/>
            <w:r w:rsidRPr="00F732FC">
              <w:rPr>
                <w:rFonts w:cstheme="minorHAnsi"/>
                <w:sz w:val="20"/>
                <w:szCs w:val="20"/>
              </w:rPr>
              <w:t xml:space="preserve">, se </w:t>
            </w:r>
            <w:proofErr w:type="spellStart"/>
            <w:r w:rsidRPr="00F732FC">
              <w:rPr>
                <w:rFonts w:cstheme="minorHAnsi"/>
                <w:sz w:val="20"/>
                <w:szCs w:val="20"/>
              </w:rPr>
              <w:t>kterými</w:t>
            </w:r>
            <w:proofErr w:type="spellEnd"/>
            <w:r w:rsidRPr="00F732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cstheme="minorHAnsi"/>
                <w:sz w:val="20"/>
                <w:szCs w:val="20"/>
              </w:rPr>
              <w:t>může</w:t>
            </w:r>
            <w:proofErr w:type="spellEnd"/>
            <w:r w:rsidRPr="00F732FC">
              <w:rPr>
                <w:rFonts w:cstheme="minorHAnsi"/>
                <w:sz w:val="20"/>
                <w:szCs w:val="20"/>
              </w:rPr>
              <w:t xml:space="preserve"> robot </w:t>
            </w:r>
            <w:proofErr w:type="spellStart"/>
            <w:r w:rsidRPr="00F732FC">
              <w:rPr>
                <w:rFonts w:cstheme="minorHAnsi"/>
                <w:sz w:val="20"/>
                <w:szCs w:val="20"/>
              </w:rPr>
              <w:t>manipulovat</w:t>
            </w:r>
            <w:proofErr w:type="spellEnd"/>
            <w:r w:rsidRPr="00F732FC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E4242" w:rsidRPr="004C0F1E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</w:tcPr>
          <w:p w:rsidR="003015B0" w:rsidRPr="001C05AE" w:rsidRDefault="001C05AE" w:rsidP="003015B0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1C05AE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Počet kusů mobilní robotické platformy</w:t>
            </w:r>
            <w:r w:rsidR="00C27E81" w:rsidRPr="001C05AE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4161" w:type="dxa"/>
          </w:tcPr>
          <w:p w:rsidR="003015B0" w:rsidRPr="00C27E81" w:rsidRDefault="00C27E81" w:rsidP="003015B0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27E81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015B0" w:rsidRPr="00BD3083" w:rsidRDefault="003015B0" w:rsidP="003015B0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Požadovaná</w:t>
            </w:r>
            <w:proofErr w:type="spellEnd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hodnota</w:t>
            </w:r>
            <w:proofErr w:type="spellEnd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278" w:type="dxa"/>
          </w:tcPr>
          <w:p w:rsidR="003015B0" w:rsidRPr="00BD3083" w:rsidRDefault="003015B0" w:rsidP="003015B0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Závaznost</w:t>
            </w:r>
            <w:proofErr w:type="spellEnd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BE4242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</w:tcPr>
          <w:p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Dodávka</w:t>
            </w:r>
            <w:proofErr w:type="spellEnd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včetně</w:t>
            </w:r>
            <w:proofErr w:type="spellEnd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/bez </w:t>
            </w:r>
            <w:proofErr w:type="spellStart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instalace</w:t>
            </w:r>
            <w:proofErr w:type="spellEnd"/>
          </w:p>
        </w:tc>
        <w:tc>
          <w:tcPr>
            <w:tcW w:w="4161" w:type="dxa"/>
          </w:tcPr>
          <w:p w:rsidR="003015B0" w:rsidRPr="00BD3083" w:rsidRDefault="003015B0" w:rsidP="003015B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Doprava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školení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instalace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místě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3083">
              <w:rPr>
                <w:rFonts w:cstheme="minorHAnsi"/>
                <w:color w:val="000000"/>
                <w:sz w:val="20"/>
                <w:szCs w:val="20"/>
              </w:rPr>
              <w:t>provozu</w:t>
            </w:r>
            <w:proofErr w:type="spellEnd"/>
          </w:p>
        </w:tc>
        <w:tc>
          <w:tcPr>
            <w:tcW w:w="1701" w:type="dxa"/>
          </w:tcPr>
          <w:p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3015B0" w:rsidRPr="00BD3083" w:rsidRDefault="00BE4242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3015B0">
              <w:rPr>
                <w:rFonts w:asciiTheme="minorHAnsi" w:hAnsiTheme="minorHAnsi" w:cstheme="minorHAnsi"/>
                <w:sz w:val="20"/>
                <w:szCs w:val="20"/>
              </w:rPr>
              <w:t>odmínka</w:t>
            </w:r>
            <w:proofErr w:type="spellEnd"/>
          </w:p>
        </w:tc>
      </w:tr>
      <w:tr w:rsidR="001C05AE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</w:tcPr>
          <w:p w:rsidR="001C05AE" w:rsidRPr="00BD3083" w:rsidRDefault="001C05AE" w:rsidP="003015B0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Podrobnosti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servisu</w:t>
            </w:r>
            <w:proofErr w:type="spellEnd"/>
          </w:p>
        </w:tc>
        <w:tc>
          <w:tcPr>
            <w:tcW w:w="4161" w:type="dxa"/>
          </w:tcPr>
          <w:p w:rsidR="001C05AE" w:rsidRDefault="001C05AE" w:rsidP="003015B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Reakční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doba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prodávajícího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do 48 </w:t>
            </w:r>
            <w:proofErr w:type="spellStart"/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hodin.Oprava</w:t>
            </w:r>
            <w:proofErr w:type="spellEnd"/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místě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nebo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návrh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řešení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opravy</w:t>
            </w:r>
            <w:proofErr w:type="spellEnd"/>
          </w:p>
        </w:tc>
        <w:tc>
          <w:tcPr>
            <w:tcW w:w="1701" w:type="dxa"/>
          </w:tcPr>
          <w:p w:rsidR="001C05AE" w:rsidRDefault="001C05AE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1C05AE" w:rsidRDefault="001C05AE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BE4242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 w:val="restart"/>
            <w:vAlign w:val="center"/>
          </w:tcPr>
          <w:p w:rsidR="00BE4242" w:rsidRPr="00BE4242" w:rsidRDefault="00BE4242" w:rsidP="00BE4242">
            <w:pPr>
              <w:pStyle w:val="Standard"/>
              <w:contextualSpacing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BE4242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 xml:space="preserve">Technické parametry: </w:t>
            </w:r>
          </w:p>
          <w:p w:rsidR="00BE4242" w:rsidRPr="00BE4242" w:rsidRDefault="00BE4242" w:rsidP="00BE4242">
            <w:pPr>
              <w:pStyle w:val="Standard"/>
              <w:contextualSpacing/>
              <w:rPr>
                <w:sz w:val="20"/>
                <w:szCs w:val="20"/>
                <w:lang w:val="cs-CZ"/>
              </w:rPr>
            </w:pPr>
            <w:r w:rsidRPr="00BE4242">
              <w:rPr>
                <w:rFonts w:asciiTheme="minorHAnsi" w:hAnsiTheme="minorHAnsi"/>
                <w:sz w:val="20"/>
                <w:szCs w:val="20"/>
                <w:lang w:val="cs-CZ"/>
              </w:rPr>
              <w:t>- nejdůležitější minimální vč. konkrétních hodnot</w:t>
            </w:r>
          </w:p>
          <w:p w:rsidR="00BE4242" w:rsidRPr="00BE4242" w:rsidRDefault="00BE4242" w:rsidP="00BE42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4161" w:type="dxa"/>
          </w:tcPr>
          <w:p w:rsidR="00BE4242" w:rsidRPr="00794C2E" w:rsidRDefault="00BE4242" w:rsidP="00BE4242">
            <w:pPr>
              <w:pStyle w:val="Standard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94C2E">
              <w:rPr>
                <w:rFonts w:asciiTheme="minorHAnsi" w:hAnsiTheme="minorHAnsi"/>
                <w:b/>
                <w:sz w:val="20"/>
                <w:szCs w:val="20"/>
              </w:rPr>
              <w:t>Popis</w:t>
            </w:r>
            <w:proofErr w:type="spellEnd"/>
            <w:r w:rsidRPr="00794C2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94C2E">
              <w:rPr>
                <w:rFonts w:asciiTheme="minorHAnsi" w:hAnsiTheme="minorHAnsi"/>
                <w:b/>
                <w:sz w:val="20"/>
                <w:szCs w:val="20"/>
              </w:rPr>
              <w:t>parametru</w:t>
            </w:r>
            <w:proofErr w:type="spellEnd"/>
            <w:r w:rsidRPr="00794C2E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BE4242" w:rsidRPr="00794C2E" w:rsidRDefault="00BE4242" w:rsidP="00BE4242">
            <w:pPr>
              <w:pStyle w:val="Standard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94C2E">
              <w:rPr>
                <w:rFonts w:asciiTheme="minorHAnsi" w:hAnsiTheme="minorHAnsi"/>
                <w:b/>
                <w:sz w:val="20"/>
                <w:szCs w:val="20"/>
              </w:rPr>
              <w:t>Požadovaná</w:t>
            </w:r>
            <w:proofErr w:type="spellEnd"/>
            <w:r w:rsidRPr="00794C2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94C2E">
              <w:rPr>
                <w:rFonts w:asciiTheme="minorHAnsi" w:hAnsiTheme="minorHAnsi"/>
                <w:b/>
                <w:sz w:val="20"/>
                <w:szCs w:val="20"/>
              </w:rPr>
              <w:t>hodnota</w:t>
            </w:r>
            <w:proofErr w:type="spellEnd"/>
            <w:r w:rsidRPr="00794C2E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1278" w:type="dxa"/>
          </w:tcPr>
          <w:p w:rsidR="00BE4242" w:rsidRPr="00794C2E" w:rsidRDefault="00BE4242" w:rsidP="00BE4242">
            <w:pPr>
              <w:pStyle w:val="Standard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Závaznost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1C05AE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1C05AE" w:rsidRPr="00BD3083" w:rsidRDefault="001C05AE" w:rsidP="001C05AE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Bezpečnostní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laserový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scanner v 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dopředném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zpětném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směru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pohybu</w:t>
            </w:r>
            <w:proofErr w:type="spellEnd"/>
          </w:p>
        </w:tc>
        <w:tc>
          <w:tcPr>
            <w:tcW w:w="170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1C05AE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1C05AE" w:rsidRPr="00BD3083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Bezpečný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pohyb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 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prostředí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kde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pohybují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lidé</w:t>
            </w:r>
            <w:proofErr w:type="spellEnd"/>
          </w:p>
        </w:tc>
        <w:tc>
          <w:tcPr>
            <w:tcW w:w="170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1C05AE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1C05AE" w:rsidRPr="00BD3083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Dynamicky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měnící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velikost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bezpečnostních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polí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scannerů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 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závislosti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rychlosti</w:t>
            </w:r>
            <w:proofErr w:type="spellEnd"/>
          </w:p>
        </w:tc>
        <w:tc>
          <w:tcPr>
            <w:tcW w:w="170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1C05AE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1C05AE" w:rsidRPr="00BD3083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Řídicí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systém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je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přímo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součástí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vozítka</w:t>
            </w:r>
            <w:proofErr w:type="spellEnd"/>
          </w:p>
        </w:tc>
        <w:tc>
          <w:tcPr>
            <w:tcW w:w="170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1C05AE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1C05AE" w:rsidRPr="00BD3083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Operační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systém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vozítka</w:t>
            </w:r>
            <w:proofErr w:type="spellEnd"/>
          </w:p>
        </w:tc>
        <w:tc>
          <w:tcPr>
            <w:tcW w:w="170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Sunrise OS (z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důvodů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kompatibility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s 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již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existujícími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systémy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78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1C05AE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1C05AE" w:rsidRPr="00BD3083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Plný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přístup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 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řídicímu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systému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bezpečnostnímu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systému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vozítka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tvorbu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vlastních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SW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HW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rozšíření</w:t>
            </w:r>
            <w:proofErr w:type="spellEnd"/>
          </w:p>
        </w:tc>
        <w:tc>
          <w:tcPr>
            <w:tcW w:w="170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1C05AE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1C05AE" w:rsidRPr="00BD3083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Plně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autonomní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provoz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vozítka</w:t>
            </w:r>
            <w:proofErr w:type="spellEnd"/>
          </w:p>
        </w:tc>
        <w:tc>
          <w:tcPr>
            <w:tcW w:w="170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1C05AE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1C05AE" w:rsidRPr="00BD3083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Navigační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systém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vozítka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kompatibilní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 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aplikací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KUKA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FleetManager</w:t>
            </w:r>
            <w:proofErr w:type="spellEnd"/>
          </w:p>
        </w:tc>
        <w:tc>
          <w:tcPr>
            <w:tcW w:w="170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1C05AE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1C05AE" w:rsidRPr="00BD3083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Ovládací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panel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připojený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 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vozítku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 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možnosti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učení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pohybu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pomocí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6D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myši</w:t>
            </w:r>
            <w:proofErr w:type="spellEnd"/>
          </w:p>
        </w:tc>
        <w:tc>
          <w:tcPr>
            <w:tcW w:w="170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1C05AE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1C05AE" w:rsidRPr="00BD3083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1C05AE" w:rsidRPr="00B11F64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</w:pPr>
            <w:proofErr w:type="spellStart"/>
            <w:r w:rsidRPr="00B11F64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Doba</w:t>
            </w:r>
            <w:proofErr w:type="spellEnd"/>
            <w:r w:rsidRPr="00B11F64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1F64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provozu</w:t>
            </w:r>
            <w:proofErr w:type="spellEnd"/>
            <w:r w:rsidRPr="00B11F64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1F64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vozítka</w:t>
            </w:r>
            <w:proofErr w:type="spellEnd"/>
            <w:r w:rsidRPr="00B11F64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 xml:space="preserve"> na </w:t>
            </w:r>
            <w:proofErr w:type="spellStart"/>
            <w:r w:rsidRPr="00B11F64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jedno</w:t>
            </w:r>
            <w:proofErr w:type="spellEnd"/>
            <w:r w:rsidRPr="00B11F64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1F64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nabití</w:t>
            </w:r>
            <w:proofErr w:type="spellEnd"/>
          </w:p>
        </w:tc>
        <w:tc>
          <w:tcPr>
            <w:tcW w:w="170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Alespoň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4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hodiny</w:t>
            </w:r>
            <w:proofErr w:type="spellEnd"/>
          </w:p>
        </w:tc>
        <w:tc>
          <w:tcPr>
            <w:tcW w:w="1278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1C05AE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1C05AE" w:rsidRPr="00BD3083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Možnost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zpřesněného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polohování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při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dojezdu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 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cílovému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místu</w:t>
            </w:r>
            <w:proofErr w:type="spellEnd"/>
          </w:p>
        </w:tc>
        <w:tc>
          <w:tcPr>
            <w:tcW w:w="170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1C05AE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1C05AE" w:rsidRPr="00BD3083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Přesnost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dosažení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cílového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místa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max 5 mm v 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ose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732F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max 5 mm v 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ose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Y</w:t>
            </w:r>
          </w:p>
        </w:tc>
        <w:tc>
          <w:tcPr>
            <w:tcW w:w="1278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Podmínka</w:t>
            </w:r>
            <w:proofErr w:type="spellEnd"/>
          </w:p>
        </w:tc>
      </w:tr>
      <w:tr w:rsidR="001C05AE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1C05AE" w:rsidRPr="00BD3083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Nosnost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robota</w:t>
            </w:r>
            <w:proofErr w:type="spellEnd"/>
          </w:p>
        </w:tc>
        <w:tc>
          <w:tcPr>
            <w:tcW w:w="170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Alespoň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10 kg</w:t>
            </w:r>
          </w:p>
        </w:tc>
        <w:tc>
          <w:tcPr>
            <w:tcW w:w="1278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1C05AE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1C05AE" w:rsidRPr="00BD3083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Dosah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robota</w:t>
            </w:r>
            <w:proofErr w:type="spellEnd"/>
          </w:p>
        </w:tc>
        <w:tc>
          <w:tcPr>
            <w:tcW w:w="170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Alespoň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800 mm</w:t>
            </w:r>
          </w:p>
        </w:tc>
        <w:tc>
          <w:tcPr>
            <w:tcW w:w="1278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1C05AE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1C05AE" w:rsidRPr="00BD3083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Počet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os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robota</w:t>
            </w:r>
            <w:proofErr w:type="spellEnd"/>
          </w:p>
        </w:tc>
        <w:tc>
          <w:tcPr>
            <w:tcW w:w="170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8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1C05AE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1C05AE" w:rsidRPr="00BD3083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Momentové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senzory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všech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osách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robota</w:t>
            </w:r>
            <w:proofErr w:type="spellEnd"/>
          </w:p>
        </w:tc>
        <w:tc>
          <w:tcPr>
            <w:tcW w:w="170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1C05AE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1C05AE" w:rsidRPr="00BD3083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Dorovnání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přesnosti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polohování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vozítka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kalibrací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báze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robota</w:t>
            </w:r>
            <w:proofErr w:type="spellEnd"/>
          </w:p>
        </w:tc>
        <w:tc>
          <w:tcPr>
            <w:tcW w:w="170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1C05AE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1C05AE" w:rsidRPr="00BD3083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Příruba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koncovém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rameni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robota</w:t>
            </w:r>
            <w:proofErr w:type="spellEnd"/>
          </w:p>
        </w:tc>
        <w:tc>
          <w:tcPr>
            <w:tcW w:w="170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Media flange touch electric</w:t>
            </w:r>
          </w:p>
        </w:tc>
        <w:tc>
          <w:tcPr>
            <w:tcW w:w="1278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1C05AE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1C05AE" w:rsidRPr="00BD3083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05AE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1C05AE" w:rsidRPr="00BD3083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Dodávka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HW a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uvedení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provozu</w:t>
            </w:r>
            <w:proofErr w:type="spellEnd"/>
          </w:p>
        </w:tc>
        <w:tc>
          <w:tcPr>
            <w:tcW w:w="170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1C05AE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1C05AE" w:rsidRPr="00BD3083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Nastavení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komunikace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 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dalšími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systémy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další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vozítka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aplikace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řízení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výroby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1C05AE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1C05AE" w:rsidRPr="00BD3083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Integrace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všech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vozítek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společného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systému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FleetManager</w:t>
            </w:r>
            <w:proofErr w:type="spellEnd"/>
          </w:p>
        </w:tc>
        <w:tc>
          <w:tcPr>
            <w:tcW w:w="170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1C05AE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1C05AE" w:rsidRPr="00BD3083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Počáteční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školení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 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rozsahu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 den</w:t>
            </w:r>
          </w:p>
        </w:tc>
        <w:tc>
          <w:tcPr>
            <w:tcW w:w="170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1C05AE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 w:val="restart"/>
            <w:vAlign w:val="center"/>
          </w:tcPr>
          <w:p w:rsidR="001C05AE" w:rsidRPr="00BE4242" w:rsidRDefault="001C05AE" w:rsidP="001C05AE">
            <w:pPr>
              <w:pStyle w:val="Standard"/>
              <w:contextualSpacing/>
              <w:rPr>
                <w:sz w:val="20"/>
                <w:szCs w:val="20"/>
                <w:lang w:val="cs-CZ"/>
              </w:rPr>
            </w:pPr>
          </w:p>
          <w:p w:rsidR="001C05AE" w:rsidRPr="00BE4242" w:rsidRDefault="001C05AE" w:rsidP="001C05AE">
            <w:pPr>
              <w:pStyle w:val="Standard"/>
              <w:contextualSpacing/>
              <w:rPr>
                <w:sz w:val="20"/>
                <w:szCs w:val="20"/>
                <w:lang w:val="cs-CZ"/>
              </w:rPr>
            </w:pPr>
            <w:r w:rsidRPr="00BE4242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Vybavení:</w:t>
            </w:r>
          </w:p>
          <w:p w:rsidR="001C05AE" w:rsidRPr="00BE4242" w:rsidRDefault="001C05AE" w:rsidP="001C05AE">
            <w:pPr>
              <w:contextualSpacing/>
              <w:rPr>
                <w:b/>
                <w:sz w:val="20"/>
                <w:szCs w:val="20"/>
                <w:lang w:val="cs-CZ"/>
              </w:rPr>
            </w:pPr>
            <w:r w:rsidRPr="00BE4242">
              <w:rPr>
                <w:b/>
                <w:sz w:val="20"/>
                <w:szCs w:val="20"/>
                <w:lang w:val="cs-CZ"/>
              </w:rPr>
              <w:t xml:space="preserve">Technické parametry: </w:t>
            </w:r>
          </w:p>
          <w:p w:rsidR="001C05AE" w:rsidRPr="00BE4242" w:rsidRDefault="001C05AE" w:rsidP="001C05AE">
            <w:pPr>
              <w:contextualSpacing/>
              <w:rPr>
                <w:sz w:val="20"/>
                <w:szCs w:val="20"/>
                <w:lang w:val="cs-CZ"/>
              </w:rPr>
            </w:pPr>
            <w:r w:rsidRPr="00BE4242">
              <w:rPr>
                <w:sz w:val="20"/>
                <w:szCs w:val="20"/>
                <w:lang w:val="cs-CZ"/>
              </w:rPr>
              <w:t>- nejdůležitější minimální vč. konkrétních hodnot</w:t>
            </w:r>
          </w:p>
        </w:tc>
        <w:tc>
          <w:tcPr>
            <w:tcW w:w="4161" w:type="dxa"/>
          </w:tcPr>
          <w:p w:rsidR="001C05AE" w:rsidRPr="001C05AE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</w:pPr>
            <w:r w:rsidRPr="001C05AE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 xml:space="preserve">Paralelní elektrický </w:t>
            </w:r>
            <w:proofErr w:type="spellStart"/>
            <w:r w:rsidRPr="001C05AE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uchopovač</w:t>
            </w:r>
            <w:proofErr w:type="spellEnd"/>
            <w:r w:rsidRPr="001C05AE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 xml:space="preserve"> s rozhraním IO-Link, nastavitelnou silou stisku, opakovatelnou přesností lepší než 0,05 mm a dobou zavření čelistí lepší než 0,5 sekundy, včetně výměníku nástrojů</w:t>
            </w:r>
          </w:p>
        </w:tc>
        <w:tc>
          <w:tcPr>
            <w:tcW w:w="1701" w:type="dxa"/>
          </w:tcPr>
          <w:p w:rsidR="001C05AE" w:rsidRPr="001C05AE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C05A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4 kusy, tj. 2 kusy na každého robota KMR</w:t>
            </w:r>
          </w:p>
        </w:tc>
        <w:tc>
          <w:tcPr>
            <w:tcW w:w="1278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1C05AE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1C05AE" w:rsidRPr="00BD3083" w:rsidRDefault="001C05AE" w:rsidP="001C05AE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Bezpečnostní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laserový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scanner v 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dopředném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zpětném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směru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pohybu</w:t>
            </w:r>
            <w:proofErr w:type="spellEnd"/>
          </w:p>
        </w:tc>
        <w:tc>
          <w:tcPr>
            <w:tcW w:w="170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1C05AE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1C05AE" w:rsidRPr="00BD3083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Bezpečný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pohyb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 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prostředí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kde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pohybují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lidé</w:t>
            </w:r>
            <w:proofErr w:type="spellEnd"/>
          </w:p>
        </w:tc>
        <w:tc>
          <w:tcPr>
            <w:tcW w:w="170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1C05AE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1C05AE" w:rsidRPr="00BD3083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Dynamicky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měnící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velikost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bezpečnostních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polí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scannerů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 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závislosti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rychlosti</w:t>
            </w:r>
            <w:proofErr w:type="spellEnd"/>
          </w:p>
        </w:tc>
        <w:tc>
          <w:tcPr>
            <w:tcW w:w="170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1C05AE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1C05AE" w:rsidRPr="00BD3083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Řídicí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systém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je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přímo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součástí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vozítka</w:t>
            </w:r>
            <w:proofErr w:type="spellEnd"/>
          </w:p>
        </w:tc>
        <w:tc>
          <w:tcPr>
            <w:tcW w:w="170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1C05AE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1C05AE" w:rsidRPr="00BD3083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Operační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systém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vozítka</w:t>
            </w:r>
            <w:proofErr w:type="spellEnd"/>
          </w:p>
        </w:tc>
        <w:tc>
          <w:tcPr>
            <w:tcW w:w="170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Sunrise OS (z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důvodů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kompatibility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s 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již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existujícími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systémy</w:t>
            </w:r>
            <w:proofErr w:type="spellEnd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78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1C05AE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1C05AE" w:rsidRPr="00BD3083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Plný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přístup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 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řídicímu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systému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bezpečnostnímu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systému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vozítka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tvorbu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vlastních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SW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proofErr w:type="spellEnd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HW </w:t>
            </w:r>
            <w:proofErr w:type="spellStart"/>
            <w:r w:rsidRPr="00F732FC">
              <w:rPr>
                <w:rFonts w:asciiTheme="minorHAnsi" w:hAnsiTheme="minorHAnsi" w:cstheme="minorHAnsi"/>
                <w:bCs/>
                <w:sz w:val="20"/>
                <w:szCs w:val="20"/>
              </w:rPr>
              <w:t>rozšíření</w:t>
            </w:r>
            <w:proofErr w:type="spellEnd"/>
          </w:p>
        </w:tc>
        <w:tc>
          <w:tcPr>
            <w:tcW w:w="1701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1C05AE" w:rsidRPr="00F732FC" w:rsidRDefault="001C05AE" w:rsidP="001C05AE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32FC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</w:tbl>
    <w:p w:rsidR="003015B0" w:rsidRDefault="003015B0"/>
    <w:p w:rsidR="003015B0" w:rsidRDefault="003015B0">
      <w:r>
        <w:t>Svým podpisem stvrzuji, že výše uvedené plnění splňuje všechny požadované hodnoty a má zde uvedené vlastnosti.</w:t>
      </w:r>
    </w:p>
    <w:p w:rsidR="003015B0" w:rsidRDefault="003015B0">
      <w:r w:rsidRPr="001D2574">
        <w:t>V</w:t>
      </w:r>
      <w:r w:rsidR="001D2574">
        <w:t>e Zdibech</w:t>
      </w:r>
      <w:r w:rsidRPr="001D2574">
        <w:t xml:space="preserve"> dne</w:t>
      </w:r>
      <w:r w:rsidR="001D2574">
        <w:t xml:space="preserve"> </w:t>
      </w:r>
      <w:r w:rsidR="006E337C">
        <w:t>12</w:t>
      </w:r>
      <w:r w:rsidR="001D2574">
        <w:t>.</w:t>
      </w:r>
      <w:r w:rsidR="006B2025">
        <w:t>6</w:t>
      </w:r>
      <w:r w:rsidR="001D2574">
        <w:t>.2020</w:t>
      </w:r>
    </w:p>
    <w:p w:rsidR="003015B0" w:rsidRDefault="003015B0" w:rsidP="001D2574">
      <w:pPr>
        <w:jc w:val="right"/>
      </w:pPr>
      <w:bookmarkStart w:id="0" w:name="_GoBack"/>
      <w:bookmarkEnd w:id="0"/>
    </w:p>
    <w:sectPr w:rsidR="003015B0" w:rsidSect="003015B0">
      <w:headerReference w:type="default" r:id="rId6"/>
      <w:pgSz w:w="11906" w:h="16838"/>
      <w:pgMar w:top="23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4E3" w:rsidRDefault="00C444E3" w:rsidP="003015B0">
      <w:pPr>
        <w:spacing w:after="0" w:line="240" w:lineRule="auto"/>
      </w:pPr>
      <w:r>
        <w:separator/>
      </w:r>
    </w:p>
  </w:endnote>
  <w:endnote w:type="continuationSeparator" w:id="0">
    <w:p w:rsidR="00C444E3" w:rsidRDefault="00C444E3" w:rsidP="0030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chnika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4E3" w:rsidRDefault="00C444E3" w:rsidP="003015B0">
      <w:pPr>
        <w:spacing w:after="0" w:line="240" w:lineRule="auto"/>
      </w:pPr>
      <w:r>
        <w:separator/>
      </w:r>
    </w:p>
  </w:footnote>
  <w:footnote w:type="continuationSeparator" w:id="0">
    <w:p w:rsidR="00C444E3" w:rsidRDefault="00C444E3" w:rsidP="00301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B0" w:rsidRDefault="003015B0">
    <w:pPr>
      <w:pStyle w:val="Zhlav"/>
    </w:pPr>
    <w:r>
      <w:rPr>
        <w:rFonts w:ascii="Technika" w:hAnsi="Technika"/>
        <w:caps/>
        <w:noProof/>
        <w:spacing w:val="8"/>
        <w:kern w:val="20"/>
        <w:sz w:val="14"/>
        <w:szCs w:val="14"/>
        <w:lang w:eastAsia="cs-CZ"/>
      </w:rPr>
      <w:drawing>
        <wp:anchor distT="0" distB="0" distL="114300" distR="114300" simplePos="0" relativeHeight="251659264" behindDoc="0" locked="0" layoutInCell="1" allowOverlap="1" wp14:anchorId="7DC4632A" wp14:editId="721D3C9D">
          <wp:simplePos x="0" y="0"/>
          <wp:positionH relativeFrom="column">
            <wp:posOffset>3971925</wp:posOffset>
          </wp:positionH>
          <wp:positionV relativeFrom="paragraph">
            <wp:posOffset>8890</wp:posOffset>
          </wp:positionV>
          <wp:extent cx="2307562" cy="720000"/>
          <wp:effectExtent l="0" t="0" r="0" b="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CAIP_logo_RGB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562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2B93">
      <w:rPr>
        <w:rFonts w:ascii="Technika" w:hAnsi="Technika"/>
        <w:caps/>
        <w:noProof/>
        <w:spacing w:val="8"/>
        <w:kern w:val="20"/>
        <w:sz w:val="14"/>
        <w:szCs w:val="14"/>
        <w:lang w:eastAsia="cs-CZ"/>
      </w:rPr>
      <w:drawing>
        <wp:inline distT="0" distB="0" distL="0" distR="0" wp14:anchorId="5FAC99DF" wp14:editId="7B97F3D9">
          <wp:extent cx="2005200" cy="720000"/>
          <wp:effectExtent l="0" t="0" r="0" b="4445"/>
          <wp:docPr id="2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B0"/>
    <w:rsid w:val="001C05AE"/>
    <w:rsid w:val="001D2574"/>
    <w:rsid w:val="001F4353"/>
    <w:rsid w:val="002263A3"/>
    <w:rsid w:val="00241705"/>
    <w:rsid w:val="002513EA"/>
    <w:rsid w:val="003015B0"/>
    <w:rsid w:val="004902A4"/>
    <w:rsid w:val="006A38BF"/>
    <w:rsid w:val="006B2025"/>
    <w:rsid w:val="006E337C"/>
    <w:rsid w:val="007C4109"/>
    <w:rsid w:val="008E46C7"/>
    <w:rsid w:val="009A61DD"/>
    <w:rsid w:val="00A57EAB"/>
    <w:rsid w:val="00B11F64"/>
    <w:rsid w:val="00BE4242"/>
    <w:rsid w:val="00C27E81"/>
    <w:rsid w:val="00C444E3"/>
    <w:rsid w:val="00D11BF0"/>
    <w:rsid w:val="00D565AD"/>
    <w:rsid w:val="00D91571"/>
    <w:rsid w:val="00EE62C1"/>
    <w:rsid w:val="00FB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907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015B0"/>
  </w:style>
  <w:style w:type="paragraph" w:styleId="Zpat">
    <w:name w:val="footer"/>
    <w:basedOn w:val="Normln"/>
    <w:link w:val="ZpatChar"/>
    <w:uiPriority w:val="99"/>
    <w:unhideWhenUsed/>
    <w:rsid w:val="00301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5B0"/>
  </w:style>
  <w:style w:type="table" w:styleId="Mkatabulky">
    <w:name w:val="Table Grid"/>
    <w:basedOn w:val="Normlntabulka"/>
    <w:uiPriority w:val="39"/>
    <w:rsid w:val="003015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015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2020-09-04T10:10:00Z</dcterms:created>
  <dcterms:modified xsi:type="dcterms:W3CDTF">2020-09-04T10:10:00Z</dcterms:modified>
</cp:coreProperties>
</file>