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zev"/>
      </w:pPr>
      <w:r>
        <w:rPr>
          <w:noProof/>
        </w:rPr>
        <w:drawing>
          <wp:inline distT="0" distB="0" distL="0" distR="0">
            <wp:extent cx="1796415" cy="742315"/>
            <wp:effectExtent l="0" t="0" r="0" b="635"/>
            <wp:docPr id="1" name="obrázek 1"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1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415" cy="742315"/>
                    </a:xfrm>
                    <a:prstGeom prst="rect">
                      <a:avLst/>
                    </a:prstGeom>
                    <a:noFill/>
                    <a:ln>
                      <a:noFill/>
                    </a:ln>
                  </pic:spPr>
                </pic:pic>
              </a:graphicData>
            </a:graphic>
          </wp:inline>
        </w:drawing>
      </w:r>
      <w:r>
        <w:t xml:space="preserve"> </w:t>
      </w:r>
    </w:p>
    <w:p>
      <w:pPr>
        <w:pStyle w:val="Nzev"/>
        <w:jc w:val="right"/>
      </w:pPr>
    </w:p>
    <w:p>
      <w:pPr>
        <w:pStyle w:val="Nzev"/>
        <w:jc w:val="right"/>
        <w:rPr>
          <w:b w:val="0"/>
          <w:sz w:val="24"/>
        </w:rPr>
      </w:pPr>
      <w:r>
        <w:rPr>
          <w:b w:val="0"/>
          <w:sz w:val="24"/>
        </w:rPr>
        <w:t>CES SFDI 23/2020</w:t>
      </w:r>
    </w:p>
    <w:p>
      <w:pPr>
        <w:pStyle w:val="Nzev"/>
        <w:jc w:val="right"/>
        <w:rPr>
          <w:b w:val="0"/>
          <w:sz w:val="24"/>
        </w:rPr>
      </w:pPr>
      <w:r>
        <w:rPr>
          <w:b w:val="0"/>
          <w:sz w:val="24"/>
        </w:rPr>
        <w:t>Č. j.: 1772/SFDI/110105/13108/2020</w:t>
      </w:r>
    </w:p>
    <w:p>
      <w:pPr>
        <w:pStyle w:val="Nzev"/>
        <w:rPr>
          <w:rFonts w:ascii="Arial" w:hAnsi="Arial" w:cs="Arial"/>
        </w:rPr>
      </w:pPr>
      <w:r>
        <w:rPr>
          <w:rFonts w:ascii="Arial" w:hAnsi="Arial" w:cs="Arial"/>
        </w:rPr>
        <w:t xml:space="preserve">Smlouva o dílo </w:t>
      </w:r>
    </w:p>
    <w:p>
      <w:pPr>
        <w:jc w:val="center"/>
        <w:rPr>
          <w:rFonts w:ascii="Arial" w:hAnsi="Arial" w:cs="Arial"/>
          <w:b/>
          <w:bCs/>
          <w:sz w:val="28"/>
        </w:rPr>
      </w:pPr>
    </w:p>
    <w:p>
      <w:pPr>
        <w:jc w:val="center"/>
        <w:rPr>
          <w:rFonts w:ascii="Arial" w:hAnsi="Arial" w:cs="Arial"/>
        </w:rPr>
      </w:pPr>
      <w:r>
        <w:rPr>
          <w:rFonts w:ascii="Arial" w:hAnsi="Arial" w:cs="Arial"/>
        </w:rPr>
        <w:t>uzavřená v souladu s § 2586 a n. zákona č. 89/2012 Sb., občanský zákoník (dále jen „Občanský zákoník“)</w:t>
      </w:r>
    </w:p>
    <w:p>
      <w:pPr>
        <w:jc w:val="center"/>
        <w:rPr>
          <w:rFonts w:ascii="Arial" w:hAnsi="Arial" w:cs="Arial"/>
        </w:rPr>
      </w:pPr>
    </w:p>
    <w:p>
      <w:pPr>
        <w:jc w:val="center"/>
        <w:rPr>
          <w:rFonts w:ascii="Arial" w:hAnsi="Arial" w:cs="Arial"/>
          <w:b/>
          <w:bCs/>
        </w:rPr>
      </w:pPr>
      <w:r>
        <w:rPr>
          <w:rFonts w:ascii="Arial" w:hAnsi="Arial" w:cs="Arial"/>
        </w:rPr>
        <w:t xml:space="preserve"> </w:t>
      </w:r>
      <w:r>
        <w:rPr>
          <w:rFonts w:ascii="Arial" w:hAnsi="Arial" w:cs="Arial"/>
          <w:b/>
          <w:bCs/>
        </w:rPr>
        <w:t>I.</w:t>
      </w:r>
    </w:p>
    <w:p>
      <w:pPr>
        <w:pStyle w:val="Nadpis1"/>
        <w:rPr>
          <w:rFonts w:ascii="Arial" w:hAnsi="Arial" w:cs="Arial"/>
        </w:rPr>
      </w:pPr>
      <w:r>
        <w:rPr>
          <w:rFonts w:ascii="Arial" w:hAnsi="Arial" w:cs="Arial"/>
        </w:rPr>
        <w:t>Smluvní strany</w:t>
      </w:r>
    </w:p>
    <w:p>
      <w:pPr>
        <w:jc w:val="both"/>
        <w:rPr>
          <w:rFonts w:ascii="Arial" w:hAnsi="Arial" w:cs="Arial"/>
          <w:b/>
          <w:bCs/>
        </w:rPr>
      </w:pPr>
    </w:p>
    <w:p>
      <w:pPr>
        <w:numPr>
          <w:ilvl w:val="1"/>
          <w:numId w:val="1"/>
        </w:numPr>
        <w:jc w:val="both"/>
        <w:rPr>
          <w:rFonts w:ascii="Arial" w:hAnsi="Arial" w:cs="Arial"/>
        </w:rPr>
      </w:pPr>
      <w:r>
        <w:rPr>
          <w:rFonts w:ascii="Arial" w:hAnsi="Arial" w:cs="Arial"/>
          <w:b/>
          <w:bCs/>
        </w:rPr>
        <w:t xml:space="preserve"> Státní fond dopravní infrastruktury</w:t>
      </w:r>
    </w:p>
    <w:p>
      <w:pPr>
        <w:ind w:left="426"/>
        <w:jc w:val="both"/>
        <w:rPr>
          <w:rFonts w:ascii="Arial" w:hAnsi="Arial" w:cs="Arial"/>
        </w:rPr>
      </w:pPr>
      <w:r>
        <w:rPr>
          <w:rFonts w:ascii="Arial" w:hAnsi="Arial" w:cs="Arial"/>
        </w:rPr>
        <w:t>se sídlem Sokolovská 278, 190 00 Praha 9</w:t>
      </w:r>
    </w:p>
    <w:p>
      <w:pPr>
        <w:ind w:left="426"/>
        <w:jc w:val="both"/>
        <w:rPr>
          <w:rFonts w:ascii="Arial" w:hAnsi="Arial" w:cs="Arial"/>
        </w:rPr>
      </w:pPr>
      <w:r>
        <w:rPr>
          <w:rFonts w:ascii="Arial" w:hAnsi="Arial" w:cs="Arial"/>
        </w:rPr>
        <w:t>IČO: 70856508</w:t>
      </w:r>
    </w:p>
    <w:p>
      <w:pPr>
        <w:ind w:left="426"/>
        <w:jc w:val="both"/>
        <w:rPr>
          <w:rFonts w:ascii="Arial" w:hAnsi="Arial" w:cs="Arial"/>
        </w:rPr>
      </w:pPr>
      <w:r>
        <w:rPr>
          <w:rFonts w:ascii="Arial" w:hAnsi="Arial" w:cs="Arial"/>
        </w:rPr>
        <w:t>zastoupený ředitelem Ing. Zbyňkem Hořelicou</w:t>
      </w:r>
    </w:p>
    <w:p>
      <w:pPr>
        <w:ind w:left="426"/>
        <w:jc w:val="both"/>
        <w:rPr>
          <w:rFonts w:ascii="Arial" w:hAnsi="Arial" w:cs="Arial"/>
        </w:rPr>
      </w:pPr>
      <w:r>
        <w:rPr>
          <w:rFonts w:ascii="Arial" w:hAnsi="Arial" w:cs="Arial"/>
        </w:rPr>
        <w:t>(dále jen „</w:t>
      </w:r>
      <w:r>
        <w:rPr>
          <w:rFonts w:ascii="Arial" w:hAnsi="Arial" w:cs="Arial"/>
          <w:i/>
        </w:rPr>
        <w:t>objednatel</w:t>
      </w:r>
      <w:r>
        <w:rPr>
          <w:rFonts w:ascii="Arial" w:hAnsi="Arial" w:cs="Arial"/>
        </w:rPr>
        <w:t xml:space="preserve">“) </w:t>
      </w:r>
    </w:p>
    <w:p>
      <w:pPr>
        <w:ind w:left="420"/>
        <w:jc w:val="both"/>
        <w:rPr>
          <w:rFonts w:ascii="Arial" w:hAnsi="Arial" w:cs="Arial"/>
        </w:rPr>
      </w:pPr>
    </w:p>
    <w:p>
      <w:pPr>
        <w:numPr>
          <w:ilvl w:val="1"/>
          <w:numId w:val="1"/>
        </w:numPr>
        <w:jc w:val="both"/>
        <w:rPr>
          <w:rFonts w:ascii="Arial" w:hAnsi="Arial" w:cs="Arial"/>
          <w:b/>
          <w:bCs/>
        </w:rPr>
      </w:pPr>
      <w:r>
        <w:rPr>
          <w:rFonts w:ascii="Arial" w:hAnsi="Arial" w:cs="Arial"/>
          <w:b/>
          <w:bCs/>
        </w:rPr>
        <w:t xml:space="preserve"> Ing. Pavel </w:t>
      </w:r>
      <w:proofErr w:type="spellStart"/>
      <w:r>
        <w:rPr>
          <w:rFonts w:ascii="Arial" w:hAnsi="Arial" w:cs="Arial"/>
          <w:b/>
          <w:bCs/>
        </w:rPr>
        <w:t>Mathé</w:t>
      </w:r>
      <w:proofErr w:type="spellEnd"/>
    </w:p>
    <w:p>
      <w:pPr>
        <w:ind w:left="426"/>
        <w:jc w:val="both"/>
        <w:rPr>
          <w:rFonts w:ascii="Arial" w:hAnsi="Arial" w:cs="Arial"/>
        </w:rPr>
      </w:pPr>
      <w:r>
        <w:rPr>
          <w:rFonts w:ascii="Arial" w:hAnsi="Arial" w:cs="Arial"/>
        </w:rPr>
        <w:t xml:space="preserve"> se sídlem Malešovská 1651, 190 16, Praha 9 – Újezd nad Lesy</w:t>
      </w:r>
    </w:p>
    <w:p>
      <w:pPr>
        <w:ind w:firstLine="426"/>
        <w:jc w:val="both"/>
        <w:rPr>
          <w:rFonts w:ascii="Arial" w:hAnsi="Arial" w:cs="Arial"/>
        </w:rPr>
      </w:pPr>
      <w:r>
        <w:rPr>
          <w:rFonts w:ascii="Arial" w:hAnsi="Arial" w:cs="Arial"/>
        </w:rPr>
        <w:t xml:space="preserve"> IČO: 09313176</w:t>
      </w:r>
    </w:p>
    <w:p>
      <w:pPr>
        <w:ind w:left="426" w:hanging="141"/>
        <w:jc w:val="both"/>
        <w:rPr>
          <w:rFonts w:ascii="Arial" w:hAnsi="Arial" w:cs="Arial"/>
        </w:rPr>
      </w:pPr>
      <w:r>
        <w:rPr>
          <w:rFonts w:ascii="Arial" w:hAnsi="Arial" w:cs="Arial"/>
        </w:rPr>
        <w:t xml:space="preserve">   bankovní spojení: </w:t>
      </w:r>
      <w:proofErr w:type="spellStart"/>
      <w:r>
        <w:rPr>
          <w:rFonts w:ascii="Arial" w:hAnsi="Arial" w:cs="Arial"/>
        </w:rPr>
        <w:t>xxx</w:t>
      </w:r>
      <w:bookmarkStart w:id="0" w:name="_GoBack"/>
      <w:bookmarkEnd w:id="0"/>
      <w:proofErr w:type="spellEnd"/>
    </w:p>
    <w:p>
      <w:pPr>
        <w:ind w:left="426" w:hanging="141"/>
        <w:jc w:val="both"/>
        <w:rPr>
          <w:rFonts w:ascii="Arial" w:hAnsi="Arial" w:cs="Arial"/>
        </w:rPr>
      </w:pPr>
      <w:r>
        <w:rPr>
          <w:rFonts w:ascii="Arial" w:hAnsi="Arial" w:cs="Arial"/>
        </w:rPr>
        <w:t xml:space="preserve">   (dále jen „</w:t>
      </w:r>
      <w:r>
        <w:rPr>
          <w:rFonts w:ascii="Arial" w:hAnsi="Arial" w:cs="Arial"/>
          <w:i/>
        </w:rPr>
        <w:t>zhotovitel</w:t>
      </w:r>
      <w:r>
        <w:rPr>
          <w:rFonts w:ascii="Arial" w:hAnsi="Arial" w:cs="Arial"/>
        </w:rPr>
        <w:t>“)</w:t>
      </w:r>
    </w:p>
    <w:p>
      <w:pPr>
        <w:jc w:val="both"/>
        <w:rPr>
          <w:rFonts w:ascii="Arial" w:hAnsi="Arial" w:cs="Arial"/>
        </w:rPr>
      </w:pPr>
      <w:r>
        <w:rPr>
          <w:rFonts w:ascii="Arial" w:hAnsi="Arial" w:cs="Arial"/>
        </w:rPr>
        <w:t xml:space="preserve"> </w:t>
      </w:r>
    </w:p>
    <w:p>
      <w:pPr>
        <w:jc w:val="center"/>
        <w:rPr>
          <w:rFonts w:ascii="Arial" w:hAnsi="Arial" w:cs="Arial"/>
          <w:b/>
          <w:bCs/>
        </w:rPr>
      </w:pPr>
      <w:r>
        <w:rPr>
          <w:rFonts w:ascii="Arial" w:hAnsi="Arial" w:cs="Arial"/>
          <w:b/>
          <w:bCs/>
        </w:rPr>
        <w:t>II.</w:t>
      </w:r>
    </w:p>
    <w:p>
      <w:pPr>
        <w:jc w:val="center"/>
        <w:rPr>
          <w:rFonts w:ascii="Arial" w:hAnsi="Arial" w:cs="Arial"/>
          <w:b/>
          <w:bCs/>
        </w:rPr>
      </w:pPr>
      <w:r>
        <w:rPr>
          <w:rFonts w:ascii="Arial" w:hAnsi="Arial" w:cs="Arial"/>
          <w:b/>
          <w:bCs/>
        </w:rPr>
        <w:t>Předmět smlouvy</w:t>
      </w:r>
    </w:p>
    <w:p>
      <w:pPr>
        <w:jc w:val="center"/>
        <w:rPr>
          <w:rFonts w:ascii="Arial" w:hAnsi="Arial" w:cs="Arial"/>
          <w:b/>
          <w:bCs/>
        </w:rPr>
      </w:pPr>
    </w:p>
    <w:p>
      <w:pPr>
        <w:pStyle w:val="Zkladntext"/>
        <w:ind w:left="540" w:hanging="540"/>
        <w:rPr>
          <w:rFonts w:ascii="Arial" w:hAnsi="Arial" w:cs="Arial"/>
        </w:rPr>
      </w:pPr>
      <w:r>
        <w:rPr>
          <w:rFonts w:ascii="Arial" w:hAnsi="Arial" w:cs="Arial"/>
        </w:rPr>
        <w:t>2.1. Zhotovitel se zavazuje podle této smlouvy na svůj náklad a nebezpečí provést pro objednatele dílo, které spočívá</w:t>
      </w:r>
    </w:p>
    <w:p>
      <w:pPr>
        <w:pStyle w:val="Zkladntext"/>
        <w:numPr>
          <w:ilvl w:val="0"/>
          <w:numId w:val="7"/>
        </w:numPr>
        <w:rPr>
          <w:rFonts w:ascii="Arial" w:hAnsi="Arial" w:cs="Arial"/>
        </w:rPr>
      </w:pPr>
      <w:r>
        <w:rPr>
          <w:rFonts w:ascii="Arial" w:hAnsi="Arial" w:cs="Arial"/>
        </w:rPr>
        <w:t>v poradenství poskytovaném objednateli v oblasti investiční výstavby (dle Výpisu z živnostenského rejstříku </w:t>
      </w:r>
      <w:proofErr w:type="gramStart"/>
      <w:r>
        <w:rPr>
          <w:rFonts w:ascii="Arial" w:hAnsi="Arial" w:cs="Arial"/>
        </w:rPr>
        <w:t>č.j.</w:t>
      </w:r>
      <w:proofErr w:type="gramEnd"/>
      <w:r>
        <w:rPr>
          <w:rFonts w:ascii="Arial" w:hAnsi="Arial" w:cs="Arial"/>
        </w:rPr>
        <w:t> UMCP21/09826/2020/ZO/Mic, sp.zn. SZ/UMCP/09821/2020 vydaného Úřadem městské části Praha 21, živnostenský odbor) týkající se dopravních staveb,</w:t>
      </w:r>
    </w:p>
    <w:p>
      <w:pPr>
        <w:pStyle w:val="Zkladntext"/>
        <w:numPr>
          <w:ilvl w:val="0"/>
          <w:numId w:val="7"/>
        </w:numPr>
        <w:rPr>
          <w:rFonts w:ascii="Arial" w:hAnsi="Arial" w:cs="Arial"/>
        </w:rPr>
      </w:pPr>
      <w:r>
        <w:rPr>
          <w:rFonts w:ascii="Arial" w:hAnsi="Arial" w:cs="Arial"/>
        </w:rPr>
        <w:t>v provedení s tím souvisejících administrativních a technických úkonů, včetně zpracování rozborů, stanovisek, hodnocení apod. dle požadavku objednatele</w:t>
      </w:r>
    </w:p>
    <w:p>
      <w:pPr>
        <w:jc w:val="both"/>
        <w:rPr>
          <w:rFonts w:ascii="Arial" w:hAnsi="Arial" w:cs="Arial"/>
        </w:rPr>
      </w:pPr>
      <w:r>
        <w:rPr>
          <w:rFonts w:ascii="Arial" w:hAnsi="Arial" w:cs="Arial"/>
        </w:rPr>
        <w:t xml:space="preserve">      (dále jen „dílo“).</w:t>
      </w:r>
    </w:p>
    <w:p>
      <w:pPr>
        <w:jc w:val="both"/>
        <w:rPr>
          <w:rFonts w:ascii="Arial" w:hAnsi="Arial" w:cs="Arial"/>
        </w:rPr>
      </w:pPr>
    </w:p>
    <w:p>
      <w:pPr>
        <w:jc w:val="both"/>
        <w:rPr>
          <w:rFonts w:ascii="Arial" w:hAnsi="Arial" w:cs="Arial"/>
        </w:rPr>
      </w:pPr>
    </w:p>
    <w:p>
      <w:pPr>
        <w:jc w:val="center"/>
        <w:rPr>
          <w:rFonts w:ascii="Arial" w:hAnsi="Arial" w:cs="Arial"/>
          <w:b/>
          <w:bCs/>
        </w:rPr>
      </w:pPr>
      <w:r>
        <w:rPr>
          <w:rFonts w:ascii="Arial" w:hAnsi="Arial" w:cs="Arial"/>
          <w:b/>
          <w:bCs/>
        </w:rPr>
        <w:t>III.</w:t>
      </w:r>
    </w:p>
    <w:p>
      <w:pPr>
        <w:pStyle w:val="Nadpis1"/>
        <w:rPr>
          <w:rFonts w:ascii="Arial" w:hAnsi="Arial" w:cs="Arial"/>
        </w:rPr>
      </w:pPr>
      <w:r>
        <w:rPr>
          <w:rFonts w:ascii="Arial" w:hAnsi="Arial" w:cs="Arial"/>
        </w:rPr>
        <w:t>Cena díla</w:t>
      </w:r>
    </w:p>
    <w:p>
      <w:pPr>
        <w:rPr>
          <w:rFonts w:ascii="Arial" w:hAnsi="Arial" w:cs="Arial"/>
        </w:rPr>
      </w:pPr>
    </w:p>
    <w:p>
      <w:pPr>
        <w:pStyle w:val="Zkladntextodsazen"/>
        <w:jc w:val="both"/>
        <w:rPr>
          <w:rFonts w:ascii="Arial" w:hAnsi="Arial" w:cs="Arial"/>
        </w:rPr>
      </w:pPr>
      <w:r>
        <w:rPr>
          <w:rFonts w:ascii="Arial" w:hAnsi="Arial" w:cs="Arial"/>
        </w:rPr>
        <w:t xml:space="preserve">3.1. Objednatel a zhotovitel se dohodli, že cena díla v  rozsahu specifikovaném v čl. II je stanovena jako cena za hodinu provádění díla ve výši 500 Kč (slovy pětsetkorun českých), přičemž rozsah provádění díla v kalendářním měsíci nesmí překročit 80 hodin. Cena je stanovena bez DPH, zhotovitel není plátcem DPH. </w:t>
      </w:r>
    </w:p>
    <w:p>
      <w:pPr>
        <w:pStyle w:val="Zkladntextodsazen"/>
        <w:jc w:val="both"/>
        <w:rPr>
          <w:rFonts w:ascii="Arial" w:hAnsi="Arial" w:cs="Arial"/>
        </w:rPr>
      </w:pPr>
      <w:r>
        <w:rPr>
          <w:rFonts w:ascii="Arial" w:hAnsi="Arial" w:cs="Arial"/>
        </w:rPr>
        <w:lastRenderedPageBreak/>
        <w:t xml:space="preserve">         V ceně jsou zahrnuty veškeré náklady zhotovitele potřebné k provedení díla.</w:t>
      </w:r>
    </w:p>
    <w:p>
      <w:pPr>
        <w:pStyle w:val="Zkladntextodsazen"/>
        <w:jc w:val="both"/>
        <w:rPr>
          <w:rFonts w:ascii="Arial" w:hAnsi="Arial" w:cs="Arial"/>
        </w:rPr>
      </w:pPr>
    </w:p>
    <w:p>
      <w:pPr>
        <w:pStyle w:val="Zkladntextodsazen"/>
        <w:numPr>
          <w:ilvl w:val="1"/>
          <w:numId w:val="3"/>
        </w:numPr>
        <w:tabs>
          <w:tab w:val="clear" w:pos="360"/>
          <w:tab w:val="num" w:pos="540"/>
        </w:tabs>
        <w:ind w:left="540" w:hanging="540"/>
        <w:jc w:val="both"/>
        <w:rPr>
          <w:rFonts w:ascii="Arial" w:hAnsi="Arial" w:cs="Arial"/>
        </w:rPr>
      </w:pPr>
      <w:r>
        <w:rPr>
          <w:rFonts w:ascii="Arial" w:hAnsi="Arial" w:cs="Arial"/>
        </w:rPr>
        <w:t>Zhotovitel bude provádět měsíční vyúčtování plnění díla na základě faktury. Splatnost faktury je 15 dnů od jejího vystavení. Úhradu faktury provede objednatel ve lhůtě její splatnosti bankovním převodem na účet zhotovitele uvedený v záhlaví smlouvy.</w:t>
      </w:r>
    </w:p>
    <w:p>
      <w:pPr>
        <w:pStyle w:val="Zkladntextodsazen"/>
        <w:tabs>
          <w:tab w:val="left" w:pos="6404"/>
        </w:tabs>
        <w:ind w:firstLine="0"/>
        <w:jc w:val="both"/>
        <w:rPr>
          <w:rFonts w:ascii="Arial" w:hAnsi="Arial" w:cs="Arial"/>
        </w:rPr>
      </w:pPr>
      <w:r>
        <w:rPr>
          <w:rFonts w:ascii="Arial" w:hAnsi="Arial" w:cs="Arial"/>
        </w:rPr>
        <w:tab/>
        <w:t xml:space="preserve"> </w:t>
      </w:r>
    </w:p>
    <w:p>
      <w:pPr>
        <w:rPr>
          <w:rFonts w:ascii="Arial" w:hAnsi="Arial" w:cs="Arial"/>
        </w:rPr>
      </w:pPr>
    </w:p>
    <w:p>
      <w:pPr>
        <w:jc w:val="center"/>
        <w:rPr>
          <w:rFonts w:ascii="Arial" w:hAnsi="Arial" w:cs="Arial"/>
          <w:b/>
          <w:bCs/>
        </w:rPr>
      </w:pPr>
      <w:r>
        <w:rPr>
          <w:rFonts w:ascii="Arial" w:hAnsi="Arial" w:cs="Arial"/>
          <w:b/>
          <w:bCs/>
        </w:rPr>
        <w:t>IV.</w:t>
      </w:r>
    </w:p>
    <w:p>
      <w:pPr>
        <w:jc w:val="center"/>
        <w:rPr>
          <w:rFonts w:ascii="Arial" w:hAnsi="Arial" w:cs="Arial"/>
          <w:b/>
          <w:bCs/>
        </w:rPr>
      </w:pPr>
      <w:r>
        <w:rPr>
          <w:rFonts w:ascii="Arial" w:hAnsi="Arial" w:cs="Arial"/>
          <w:b/>
          <w:bCs/>
        </w:rPr>
        <w:t>Doba a místo provádění díla</w:t>
      </w:r>
    </w:p>
    <w:p>
      <w:pPr>
        <w:jc w:val="center"/>
        <w:rPr>
          <w:rFonts w:ascii="Arial" w:hAnsi="Arial" w:cs="Arial"/>
          <w:b/>
          <w:bCs/>
        </w:rPr>
      </w:pPr>
    </w:p>
    <w:p>
      <w:pPr>
        <w:pStyle w:val="Zkladntext"/>
        <w:numPr>
          <w:ilvl w:val="1"/>
          <w:numId w:val="2"/>
        </w:numPr>
        <w:rPr>
          <w:rFonts w:ascii="Arial" w:hAnsi="Arial" w:cs="Arial"/>
        </w:rPr>
      </w:pPr>
      <w:r>
        <w:rPr>
          <w:rFonts w:ascii="Arial" w:hAnsi="Arial" w:cs="Arial"/>
        </w:rPr>
        <w:t xml:space="preserve">Zhotovitel je povinen dílo provádět v termínu od 1. září 2020 do 31. prosince 2020. S plněním díla bude započato dne 1. září 2020. Před uplynutím lhůty, na kterou se plnění díla sjednává, může být smlouva ukončena dohodou nebo kterákoliv ze smluvních stran může smlouvu ukončit jednostranně písemnou výpovědí doručenou druhé smluvní straně. Výpovědní lhůta je jednoměsíční a její běh počíná prvním dnem měsíce následujícího po doručení výpovědi druhé smluvní straně. Ke dni ukončení smlouvy se smluvní strany zavazují vzájemně vypořádat závazky, které pro ně ze smlouvy vyplývají.  </w:t>
      </w:r>
    </w:p>
    <w:p>
      <w:pPr>
        <w:pStyle w:val="Zkladntext"/>
        <w:rPr>
          <w:rFonts w:ascii="Arial" w:hAnsi="Arial" w:cs="Arial"/>
        </w:rPr>
      </w:pPr>
    </w:p>
    <w:p>
      <w:pPr>
        <w:pStyle w:val="Zkladntext"/>
        <w:numPr>
          <w:ilvl w:val="1"/>
          <w:numId w:val="2"/>
        </w:numPr>
        <w:rPr>
          <w:rFonts w:ascii="Arial" w:hAnsi="Arial" w:cs="Arial"/>
        </w:rPr>
      </w:pPr>
      <w:r>
        <w:rPr>
          <w:rFonts w:ascii="Arial" w:hAnsi="Arial" w:cs="Arial"/>
        </w:rPr>
        <w:t>Místem plnění je sídlo objednatele uvedené v záhlaví smlouvy.</w:t>
      </w:r>
    </w:p>
    <w:p>
      <w:pPr>
        <w:pStyle w:val="Zkladntext"/>
        <w:ind w:left="600"/>
        <w:rPr>
          <w:rFonts w:ascii="Arial" w:hAnsi="Arial" w:cs="Arial"/>
        </w:rPr>
      </w:pPr>
    </w:p>
    <w:p>
      <w:pPr>
        <w:pStyle w:val="Zkladntext"/>
        <w:rPr>
          <w:rFonts w:ascii="Arial" w:hAnsi="Arial" w:cs="Arial"/>
        </w:rPr>
      </w:pPr>
    </w:p>
    <w:p>
      <w:pPr>
        <w:pStyle w:val="Zkladntext"/>
        <w:jc w:val="center"/>
        <w:rPr>
          <w:rFonts w:ascii="Arial" w:hAnsi="Arial" w:cs="Arial"/>
          <w:b/>
          <w:bCs/>
        </w:rPr>
      </w:pPr>
      <w:r>
        <w:rPr>
          <w:rFonts w:ascii="Arial" w:hAnsi="Arial" w:cs="Arial"/>
          <w:b/>
          <w:bCs/>
        </w:rPr>
        <w:t>V.</w:t>
      </w:r>
    </w:p>
    <w:p>
      <w:pPr>
        <w:pStyle w:val="Zkladntext"/>
        <w:jc w:val="center"/>
        <w:rPr>
          <w:rFonts w:ascii="Arial" w:hAnsi="Arial" w:cs="Arial"/>
          <w:b/>
          <w:bCs/>
        </w:rPr>
      </w:pPr>
      <w:r>
        <w:rPr>
          <w:rFonts w:ascii="Arial" w:hAnsi="Arial" w:cs="Arial"/>
          <w:b/>
          <w:bCs/>
        </w:rPr>
        <w:t>Ostatní smluvní ujednání</w:t>
      </w:r>
    </w:p>
    <w:p>
      <w:pPr>
        <w:pStyle w:val="Normln0"/>
        <w:rPr>
          <w:rFonts w:ascii="Arial" w:hAnsi="Arial" w:cs="Arial"/>
        </w:rPr>
      </w:pPr>
    </w:p>
    <w:p>
      <w:pPr>
        <w:pStyle w:val="Normln0"/>
        <w:numPr>
          <w:ilvl w:val="1"/>
          <w:numId w:val="11"/>
        </w:numPr>
        <w:tabs>
          <w:tab w:val="clear" w:pos="360"/>
          <w:tab w:val="num" w:pos="540"/>
        </w:tabs>
        <w:ind w:left="540" w:hanging="540"/>
        <w:jc w:val="both"/>
        <w:rPr>
          <w:rFonts w:ascii="Arial" w:hAnsi="Arial" w:cs="Arial"/>
        </w:rPr>
      </w:pPr>
      <w:r>
        <w:rPr>
          <w:rFonts w:ascii="Arial" w:hAnsi="Arial" w:cs="Arial"/>
        </w:rPr>
        <w:t>Zhotovitel nemůže pověřit provedením díla dle čl. II. jinou osobu. Při provádění díla je zhotovitel vázán pokyny a zadáním objednatele a termíny stanovenými objednatelem pro provádění díla. Výsledky činnosti zhotovitele v rámci provádění díla (zprávy, stanoviska, rozbory a další písemné výstupy) přecházejí jejich odevzdáním objednateli do vlastnictví objednatele.</w:t>
      </w:r>
    </w:p>
    <w:p>
      <w:pPr>
        <w:pStyle w:val="Normln0"/>
        <w:jc w:val="both"/>
        <w:rPr>
          <w:rFonts w:ascii="Arial" w:hAnsi="Arial" w:cs="Arial"/>
        </w:rPr>
      </w:pPr>
    </w:p>
    <w:p>
      <w:pPr>
        <w:pStyle w:val="Normln0"/>
        <w:numPr>
          <w:ilvl w:val="1"/>
          <w:numId w:val="11"/>
        </w:numPr>
        <w:tabs>
          <w:tab w:val="clear" w:pos="360"/>
          <w:tab w:val="num" w:pos="540"/>
        </w:tabs>
        <w:ind w:left="540" w:hanging="540"/>
        <w:jc w:val="both"/>
        <w:rPr>
          <w:rFonts w:ascii="Arial" w:hAnsi="Arial" w:cs="Arial"/>
        </w:rPr>
      </w:pPr>
      <w:r>
        <w:rPr>
          <w:rFonts w:ascii="Arial" w:hAnsi="Arial" w:cs="Arial"/>
        </w:rPr>
        <w:t xml:space="preserve">Za objednatele </w:t>
      </w:r>
      <w:proofErr w:type="gramStart"/>
      <w:r>
        <w:rPr>
          <w:rFonts w:ascii="Arial" w:hAnsi="Arial" w:cs="Arial"/>
        </w:rPr>
        <w:t>převezme</w:t>
      </w:r>
      <w:proofErr w:type="gramEnd"/>
      <w:r>
        <w:rPr>
          <w:rFonts w:ascii="Arial" w:hAnsi="Arial" w:cs="Arial"/>
        </w:rPr>
        <w:t xml:space="preserve"> dokončené dílo Ing. Ivo </w:t>
      </w:r>
      <w:proofErr w:type="gramStart"/>
      <w:r>
        <w:rPr>
          <w:rFonts w:ascii="Arial" w:hAnsi="Arial" w:cs="Arial"/>
        </w:rPr>
        <w:t>Vykydal</w:t>
      </w:r>
      <w:proofErr w:type="gramEnd"/>
      <w:r>
        <w:rPr>
          <w:rFonts w:ascii="Arial" w:hAnsi="Arial" w:cs="Arial"/>
        </w:rPr>
        <w:t>, ředitel Odboru kanceláře ředitele SFDI, jehož pokyny se zhotovitel při provádění díla řídí.</w:t>
      </w:r>
    </w:p>
    <w:p>
      <w:pPr>
        <w:pStyle w:val="Normln0"/>
        <w:jc w:val="both"/>
        <w:rPr>
          <w:rFonts w:ascii="Arial" w:hAnsi="Arial" w:cs="Arial"/>
        </w:rPr>
      </w:pPr>
    </w:p>
    <w:p>
      <w:pPr>
        <w:pStyle w:val="Normln0"/>
        <w:numPr>
          <w:ilvl w:val="1"/>
          <w:numId w:val="11"/>
        </w:numPr>
        <w:tabs>
          <w:tab w:val="clear" w:pos="360"/>
          <w:tab w:val="num" w:pos="540"/>
        </w:tabs>
        <w:ind w:left="540" w:hanging="540"/>
        <w:jc w:val="both"/>
        <w:rPr>
          <w:rFonts w:ascii="Arial" w:hAnsi="Arial" w:cs="Arial"/>
        </w:rPr>
      </w:pPr>
      <w:r>
        <w:rPr>
          <w:rFonts w:ascii="Arial" w:hAnsi="Arial" w:cs="Arial"/>
        </w:rPr>
        <w:t>Zhotovitel odpovídá za provedení díla v souladu s platnou právní úpravou.</w:t>
      </w:r>
    </w:p>
    <w:p>
      <w:pPr>
        <w:pStyle w:val="Normln0"/>
        <w:numPr>
          <w:ilvl w:val="12"/>
          <w:numId w:val="0"/>
        </w:numPr>
        <w:tabs>
          <w:tab w:val="left" w:pos="360"/>
        </w:tabs>
        <w:jc w:val="both"/>
        <w:rPr>
          <w:rFonts w:ascii="Arial" w:hAnsi="Arial" w:cs="Arial"/>
        </w:rPr>
      </w:pPr>
    </w:p>
    <w:p>
      <w:pPr>
        <w:pStyle w:val="Normln0"/>
        <w:numPr>
          <w:ilvl w:val="1"/>
          <w:numId w:val="11"/>
        </w:numPr>
        <w:tabs>
          <w:tab w:val="clear" w:pos="360"/>
          <w:tab w:val="num" w:pos="540"/>
        </w:tabs>
        <w:ind w:left="540" w:hanging="540"/>
        <w:jc w:val="both"/>
        <w:rPr>
          <w:rFonts w:ascii="Arial" w:hAnsi="Arial" w:cs="Arial"/>
        </w:rPr>
      </w:pPr>
      <w:r>
        <w:rPr>
          <w:rFonts w:ascii="Arial" w:hAnsi="Arial" w:cs="Arial"/>
        </w:rPr>
        <w:t>Objednatel se zavazuje při provádění díla se zhotovitelem v potřebném rozsahu spolupracovat a předat mu podkladové materiály k provedení díla nezbytné a poskytne zhotoviteli k provádění díla kancelářské prostory v rozsahu jednoho pracovního místa včetně kancelářského vybavení.</w:t>
      </w:r>
    </w:p>
    <w:p>
      <w:pPr>
        <w:pStyle w:val="Normln0"/>
        <w:ind w:left="540"/>
        <w:jc w:val="both"/>
        <w:rPr>
          <w:rFonts w:ascii="Arial" w:hAnsi="Arial" w:cs="Arial"/>
        </w:rPr>
      </w:pPr>
    </w:p>
    <w:p>
      <w:pPr>
        <w:jc w:val="both"/>
        <w:rPr>
          <w:rFonts w:ascii="Arial" w:hAnsi="Arial" w:cs="Arial"/>
          <w:b/>
          <w:bCs/>
        </w:rPr>
      </w:pPr>
    </w:p>
    <w:p>
      <w:pPr>
        <w:jc w:val="center"/>
        <w:rPr>
          <w:rFonts w:ascii="Arial" w:hAnsi="Arial" w:cs="Arial"/>
          <w:b/>
          <w:bCs/>
        </w:rPr>
      </w:pPr>
      <w:r>
        <w:rPr>
          <w:rFonts w:ascii="Arial" w:hAnsi="Arial" w:cs="Arial"/>
          <w:b/>
          <w:bCs/>
        </w:rPr>
        <w:t xml:space="preserve">VI. </w:t>
      </w:r>
    </w:p>
    <w:p>
      <w:pPr>
        <w:jc w:val="center"/>
        <w:rPr>
          <w:rFonts w:ascii="Arial" w:hAnsi="Arial" w:cs="Arial"/>
          <w:b/>
          <w:bCs/>
        </w:rPr>
      </w:pPr>
      <w:r>
        <w:rPr>
          <w:rFonts w:ascii="Arial" w:hAnsi="Arial" w:cs="Arial"/>
          <w:b/>
          <w:bCs/>
        </w:rPr>
        <w:t>Závěrečná ujednání</w:t>
      </w:r>
    </w:p>
    <w:p>
      <w:pPr>
        <w:jc w:val="center"/>
        <w:rPr>
          <w:rFonts w:ascii="Arial" w:hAnsi="Arial" w:cs="Arial"/>
          <w:b/>
          <w:bCs/>
        </w:rPr>
      </w:pPr>
    </w:p>
    <w:p>
      <w:pPr>
        <w:pStyle w:val="Zkladntext"/>
        <w:numPr>
          <w:ilvl w:val="1"/>
          <w:numId w:val="4"/>
        </w:numPr>
        <w:rPr>
          <w:rFonts w:ascii="Arial" w:hAnsi="Arial" w:cs="Arial"/>
        </w:rPr>
      </w:pPr>
      <w:r>
        <w:rPr>
          <w:rFonts w:ascii="Arial" w:hAnsi="Arial" w:cs="Arial"/>
        </w:rPr>
        <w:t xml:space="preserve">V případě oboustranného zájmu na pokračování smlouvy i po lhůtě uvedené v článku IV. odst. </w:t>
      </w:r>
      <w:proofErr w:type="gramStart"/>
      <w:r>
        <w:rPr>
          <w:rFonts w:ascii="Arial" w:hAnsi="Arial" w:cs="Arial"/>
        </w:rPr>
        <w:t>4.1. bude</w:t>
      </w:r>
      <w:proofErr w:type="gramEnd"/>
      <w:r>
        <w:rPr>
          <w:rFonts w:ascii="Arial" w:hAnsi="Arial" w:cs="Arial"/>
        </w:rPr>
        <w:t xml:space="preserve"> smlouva prodloužena formou písemného dodatku, který smluvní strany uzavřou nejpozději 15 dnů před ukončením smlouvy.</w:t>
      </w:r>
    </w:p>
    <w:p>
      <w:pPr>
        <w:pStyle w:val="Zkladntext"/>
        <w:rPr>
          <w:rFonts w:ascii="Arial" w:hAnsi="Arial" w:cs="Arial"/>
        </w:rPr>
      </w:pPr>
    </w:p>
    <w:p>
      <w:pPr>
        <w:numPr>
          <w:ilvl w:val="1"/>
          <w:numId w:val="4"/>
        </w:numPr>
        <w:jc w:val="both"/>
        <w:rPr>
          <w:rFonts w:ascii="Arial" w:hAnsi="Arial" w:cs="Arial"/>
        </w:rPr>
      </w:pPr>
      <w:r>
        <w:rPr>
          <w:rFonts w:ascii="Arial" w:hAnsi="Arial" w:cs="Arial"/>
        </w:rPr>
        <w:t>Vztahy ze smlouvy vyplývající a v ní výslovně neřešené se řídí úpravou obsaženou v Občanském zákoníku. Veškeré změny a doplňky obsahu smlouvy lze provést pouze formou písemných dodatků odsouhlasených oběma smluvními stranami.</w:t>
      </w:r>
    </w:p>
    <w:p>
      <w:pPr>
        <w:pStyle w:val="Odstavecseseznamem"/>
        <w:rPr>
          <w:rFonts w:ascii="Arial" w:hAnsi="Arial" w:cs="Arial"/>
        </w:rPr>
      </w:pPr>
    </w:p>
    <w:p>
      <w:pPr>
        <w:numPr>
          <w:ilvl w:val="1"/>
          <w:numId w:val="4"/>
        </w:numPr>
        <w:jc w:val="both"/>
        <w:rPr>
          <w:rFonts w:ascii="Arial" w:hAnsi="Arial" w:cs="Arial"/>
        </w:rPr>
      </w:pPr>
      <w:r>
        <w:rPr>
          <w:rFonts w:ascii="Arial" w:hAnsi="Arial" w:cs="Arial"/>
          <w:szCs w:val="22"/>
        </w:rPr>
        <w:t xml:space="preserve">Smluvní strany výslovně prohlašují, že obsah smlouvy není předmětem utajení a že souhlasí se zveřejněním smlouvy a jejích případných dodatků na </w:t>
      </w:r>
      <w:hyperlink r:id="rId9" w:history="1">
        <w:r>
          <w:rPr>
            <w:rStyle w:val="Hypertextovodkaz"/>
            <w:rFonts w:ascii="Arial" w:hAnsi="Arial" w:cs="Arial"/>
            <w:szCs w:val="22"/>
          </w:rPr>
          <w:t>www.sfdi.cz</w:t>
        </w:r>
      </w:hyperlink>
      <w:r>
        <w:rPr>
          <w:rFonts w:ascii="Arial" w:hAnsi="Arial" w:cs="Arial"/>
          <w:szCs w:val="22"/>
        </w:rPr>
        <w:t xml:space="preserve"> bez dalších podmínek. Objednatel v souladu se zákonem č. 340/2015 Sb., o zvláštních podmínkách účinnosti některých smluv, uveřejňování těchto smluv a o registru smluv (zákon o registru smluv), zveřejní smlouvu po jejím podpisu smluvními stranami prostřednictvím registru smluv.</w:t>
      </w:r>
    </w:p>
    <w:p>
      <w:pPr>
        <w:pStyle w:val="Odstavecseseznamem"/>
        <w:rPr>
          <w:rFonts w:ascii="Arial" w:hAnsi="Arial" w:cs="Arial"/>
        </w:rPr>
      </w:pPr>
    </w:p>
    <w:p>
      <w:pPr>
        <w:numPr>
          <w:ilvl w:val="1"/>
          <w:numId w:val="4"/>
        </w:numPr>
        <w:jc w:val="both"/>
        <w:rPr>
          <w:rFonts w:ascii="Arial" w:hAnsi="Arial" w:cs="Arial"/>
        </w:rPr>
      </w:pPr>
      <w:r>
        <w:rPr>
          <w:rFonts w:ascii="Arial" w:hAnsi="Arial" w:cs="Arial"/>
          <w:szCs w:val="22"/>
        </w:rPr>
        <w:t xml:space="preserve">Uzavřením této smlouvy každá smluvní strana předává druhé smluvní straně za účelem zajištění řádného plnění smlouvy seznam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každá smluvní strana se zavazuje zajistit informování subjektů těchto údajů a dalších subjektů údajů, jejichž osobní údaje se vyskytují ve smlouvě, že byly při poskytnutí těchto osobních údajů informovány dle článku 13 Obecného nařízení o zpracování poskytnutých osobních údajů pro účel plnění této smlouvy a o tom, že toto zpracování osobních údajů je v souladu se zákonnou úpravou. Vzor prohlášení o informování je ke stažení na webových stránkách: </w:t>
      </w:r>
      <w:hyperlink r:id="rId10" w:history="1">
        <w:r>
          <w:rPr>
            <w:rStyle w:val="Hypertextovodkaz"/>
            <w:rFonts w:ascii="Arial" w:hAnsi="Arial" w:cs="Arial"/>
            <w:szCs w:val="22"/>
          </w:rPr>
          <w:t>www.sfdi.cz/gdpr</w:t>
        </w:r>
      </w:hyperlink>
      <w:r>
        <w:rPr>
          <w:rStyle w:val="Hypertextovodkaz"/>
          <w:rFonts w:ascii="Arial" w:hAnsi="Arial" w:cs="Arial"/>
          <w:szCs w:val="22"/>
        </w:rPr>
        <w:t>.</w:t>
      </w:r>
    </w:p>
    <w:p>
      <w:pPr>
        <w:jc w:val="both"/>
        <w:rPr>
          <w:rFonts w:ascii="Arial" w:hAnsi="Arial" w:cs="Arial"/>
        </w:rPr>
      </w:pPr>
    </w:p>
    <w:p>
      <w:pPr>
        <w:numPr>
          <w:ilvl w:val="1"/>
          <w:numId w:val="4"/>
        </w:numPr>
        <w:jc w:val="both"/>
        <w:rPr>
          <w:rFonts w:ascii="Arial" w:hAnsi="Arial" w:cs="Arial"/>
        </w:rPr>
      </w:pPr>
      <w:r>
        <w:rPr>
          <w:rFonts w:ascii="Arial" w:hAnsi="Arial" w:cs="Arial"/>
        </w:rPr>
        <w:t>Tato smlouva je vyhotovena ve třech výtiscích, z nichž objednatel obdrží dva výtisky a zhotovitel jeden výtisk.</w:t>
      </w:r>
    </w:p>
    <w:p>
      <w:pPr>
        <w:jc w:val="both"/>
        <w:rPr>
          <w:rFonts w:ascii="Arial" w:hAnsi="Arial" w:cs="Arial"/>
        </w:rPr>
      </w:pPr>
    </w:p>
    <w:p>
      <w:pPr>
        <w:numPr>
          <w:ilvl w:val="1"/>
          <w:numId w:val="4"/>
        </w:numPr>
        <w:jc w:val="both"/>
        <w:rPr>
          <w:rFonts w:ascii="Arial" w:hAnsi="Arial" w:cs="Arial"/>
        </w:rPr>
      </w:pPr>
      <w:r>
        <w:rPr>
          <w:rFonts w:ascii="Arial" w:hAnsi="Arial" w:cs="Arial"/>
        </w:rPr>
        <w:t>Smluvní strany prohlašují, že tuto smlouvu přečetly a na důkaz souhlasu s celým jejím obsahem připojují své podpisy.</w:t>
      </w:r>
    </w:p>
    <w:p>
      <w:pPr>
        <w:tabs>
          <w:tab w:val="left" w:pos="7155"/>
        </w:tabs>
        <w:jc w:val="both"/>
        <w:rPr>
          <w:rFonts w:ascii="Arial" w:hAnsi="Arial" w:cs="Arial"/>
        </w:rPr>
      </w:pPr>
      <w:r>
        <w:rPr>
          <w:rFonts w:ascii="Arial" w:hAnsi="Arial" w:cs="Arial"/>
        </w:rPr>
        <w:tab/>
      </w:r>
    </w:p>
    <w:p>
      <w:pPr>
        <w:jc w:val="both"/>
        <w:rPr>
          <w:rFonts w:ascii="Arial" w:hAnsi="Arial" w:cs="Arial"/>
        </w:rPr>
      </w:pPr>
      <w:r>
        <w:rPr>
          <w:rFonts w:ascii="Arial" w:hAnsi="Arial" w:cs="Arial"/>
        </w:rPr>
        <w:t>V Praze dne</w:t>
      </w:r>
    </w:p>
    <w:p>
      <w:pPr>
        <w:jc w:val="both"/>
        <w:rPr>
          <w:rFonts w:ascii="Arial" w:hAnsi="Arial" w:cs="Arial"/>
        </w:rPr>
      </w:pPr>
    </w:p>
    <w:p>
      <w:pPr>
        <w:jc w:val="both"/>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5117"/>
        <w:gridCol w:w="3965"/>
      </w:tblGrid>
      <w:tr>
        <w:tblPrEx>
          <w:tblCellMar>
            <w:top w:w="0" w:type="dxa"/>
            <w:bottom w:w="0" w:type="dxa"/>
          </w:tblCellMar>
        </w:tblPrEx>
        <w:trPr>
          <w:trHeight w:val="624"/>
        </w:trPr>
        <w:tc>
          <w:tcPr>
            <w:tcW w:w="5117" w:type="dxa"/>
          </w:tcPr>
          <w:p>
            <w:pPr>
              <w:ind w:left="-73"/>
              <w:jc w:val="both"/>
              <w:rPr>
                <w:rFonts w:ascii="Arial" w:hAnsi="Arial" w:cs="Arial"/>
              </w:rPr>
            </w:pPr>
          </w:p>
          <w:p>
            <w:pPr>
              <w:ind w:left="-1"/>
              <w:jc w:val="both"/>
              <w:rPr>
                <w:rFonts w:ascii="Arial" w:hAnsi="Arial" w:cs="Arial"/>
              </w:rPr>
            </w:pPr>
            <w:r>
              <w:rPr>
                <w:rFonts w:ascii="Arial" w:hAnsi="Arial" w:cs="Arial"/>
              </w:rPr>
              <w:t>………………………………</w:t>
            </w:r>
          </w:p>
        </w:tc>
        <w:tc>
          <w:tcPr>
            <w:tcW w:w="3965" w:type="dxa"/>
          </w:tcPr>
          <w:p>
            <w:pPr>
              <w:rPr>
                <w:rFonts w:ascii="Arial" w:hAnsi="Arial" w:cs="Arial"/>
              </w:rPr>
            </w:pPr>
          </w:p>
          <w:p>
            <w:pPr>
              <w:ind w:left="48"/>
              <w:jc w:val="both"/>
              <w:rPr>
                <w:rFonts w:ascii="Arial" w:hAnsi="Arial" w:cs="Arial"/>
              </w:rPr>
            </w:pPr>
            <w:r>
              <w:rPr>
                <w:rFonts w:ascii="Arial" w:hAnsi="Arial" w:cs="Arial"/>
              </w:rPr>
              <w:t>……………………………...</w:t>
            </w:r>
          </w:p>
        </w:tc>
      </w:tr>
      <w:tr>
        <w:tblPrEx>
          <w:tblCellMar>
            <w:top w:w="0" w:type="dxa"/>
            <w:bottom w:w="0" w:type="dxa"/>
          </w:tblCellMar>
        </w:tblPrEx>
        <w:trPr>
          <w:trHeight w:val="347"/>
        </w:trPr>
        <w:tc>
          <w:tcPr>
            <w:tcW w:w="5117" w:type="dxa"/>
          </w:tcPr>
          <w:p>
            <w:pPr>
              <w:ind w:left="72" w:hanging="72"/>
              <w:rPr>
                <w:rFonts w:ascii="Arial" w:hAnsi="Arial" w:cs="Arial"/>
              </w:rPr>
            </w:pPr>
            <w:r>
              <w:rPr>
                <w:rFonts w:ascii="Arial" w:hAnsi="Arial" w:cs="Arial"/>
              </w:rPr>
              <w:t>Ing. Zbyněk Hořelica</w:t>
            </w:r>
          </w:p>
          <w:p>
            <w:pPr>
              <w:ind w:left="-1"/>
              <w:rPr>
                <w:rFonts w:ascii="Arial" w:hAnsi="Arial" w:cs="Arial"/>
              </w:rPr>
            </w:pPr>
            <w:r>
              <w:rPr>
                <w:rFonts w:ascii="Arial" w:hAnsi="Arial" w:cs="Arial"/>
              </w:rPr>
              <w:t>ředitel</w:t>
            </w:r>
          </w:p>
        </w:tc>
        <w:tc>
          <w:tcPr>
            <w:tcW w:w="3965" w:type="dxa"/>
          </w:tcPr>
          <w:p>
            <w:pPr>
              <w:ind w:left="58"/>
              <w:rPr>
                <w:rFonts w:ascii="Arial" w:hAnsi="Arial" w:cs="Arial"/>
              </w:rPr>
            </w:pPr>
            <w:r>
              <w:rPr>
                <w:rFonts w:ascii="Arial" w:hAnsi="Arial" w:cs="Arial"/>
              </w:rPr>
              <w:t xml:space="preserve">Ing. Pavel </w:t>
            </w:r>
            <w:proofErr w:type="spellStart"/>
            <w:r>
              <w:rPr>
                <w:rFonts w:ascii="Arial" w:hAnsi="Arial" w:cs="Arial"/>
              </w:rPr>
              <w:t>Mathé</w:t>
            </w:r>
            <w:proofErr w:type="spellEnd"/>
          </w:p>
        </w:tc>
      </w:tr>
      <w:tr>
        <w:tblPrEx>
          <w:tblCellMar>
            <w:top w:w="0" w:type="dxa"/>
            <w:bottom w:w="0" w:type="dxa"/>
          </w:tblCellMar>
        </w:tblPrEx>
        <w:trPr>
          <w:trHeight w:val="624"/>
        </w:trPr>
        <w:tc>
          <w:tcPr>
            <w:tcW w:w="5117" w:type="dxa"/>
          </w:tcPr>
          <w:p>
            <w:pPr>
              <w:ind w:left="-1"/>
              <w:rPr>
                <w:rFonts w:ascii="Arial" w:hAnsi="Arial" w:cs="Arial"/>
              </w:rPr>
            </w:pPr>
            <w:r>
              <w:rPr>
                <w:rFonts w:ascii="Arial" w:hAnsi="Arial" w:cs="Arial"/>
              </w:rPr>
              <w:t>Státní fond dopravní infrastruktury</w:t>
            </w:r>
          </w:p>
        </w:tc>
        <w:tc>
          <w:tcPr>
            <w:tcW w:w="3965" w:type="dxa"/>
          </w:tcPr>
          <w:p>
            <w:pPr>
              <w:ind w:left="357"/>
              <w:jc w:val="both"/>
              <w:rPr>
                <w:rFonts w:ascii="Arial" w:hAnsi="Arial" w:cs="Arial"/>
              </w:rPr>
            </w:pPr>
          </w:p>
        </w:tc>
      </w:tr>
    </w:tbl>
    <w:p>
      <w:pPr>
        <w:rPr>
          <w:rFonts w:ascii="Arial" w:hAnsi="Arial" w:cs="Arial"/>
        </w:rPr>
      </w:pPr>
      <w:r>
        <w:rPr>
          <w:rFonts w:ascii="Arial" w:hAnsi="Arial" w:cs="Arial"/>
        </w:rPr>
        <w:t xml:space="preserve">    </w:t>
      </w:r>
    </w:p>
    <w:sectPr>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0E04"/>
    <w:multiLevelType w:val="multilevel"/>
    <w:tmpl w:val="D632F50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223A2D"/>
    <w:multiLevelType w:val="multilevel"/>
    <w:tmpl w:val="264231E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1587BBA"/>
    <w:multiLevelType w:val="singleLevel"/>
    <w:tmpl w:val="8BF81CE0"/>
    <w:lvl w:ilvl="0">
      <w:start w:val="2"/>
      <w:numFmt w:val="decimal"/>
      <w:lvlText w:val="%1."/>
      <w:legacy w:legacy="1" w:legacySpace="0" w:legacyIndent="360"/>
      <w:lvlJc w:val="left"/>
      <w:pPr>
        <w:ind w:left="360" w:hanging="360"/>
      </w:pPr>
    </w:lvl>
  </w:abstractNum>
  <w:abstractNum w:abstractNumId="3">
    <w:nsid w:val="4C7E489F"/>
    <w:multiLevelType w:val="multilevel"/>
    <w:tmpl w:val="8E0AC1E4"/>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EFF4A96"/>
    <w:multiLevelType w:val="singleLevel"/>
    <w:tmpl w:val="8BF81CE0"/>
    <w:lvl w:ilvl="0">
      <w:start w:val="3"/>
      <w:numFmt w:val="decimal"/>
      <w:lvlText w:val="%1."/>
      <w:legacy w:legacy="1" w:legacySpace="0" w:legacyIndent="360"/>
      <w:lvlJc w:val="left"/>
      <w:pPr>
        <w:ind w:left="360" w:hanging="360"/>
      </w:pPr>
    </w:lvl>
  </w:abstractNum>
  <w:abstractNum w:abstractNumId="5">
    <w:nsid w:val="54505B6B"/>
    <w:multiLevelType w:val="hybridMultilevel"/>
    <w:tmpl w:val="D1D6B7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C4D370B"/>
    <w:multiLevelType w:val="hybridMultilevel"/>
    <w:tmpl w:val="3CC81AEC"/>
    <w:lvl w:ilvl="0" w:tplc="70D04BBE">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7">
    <w:nsid w:val="5DB52544"/>
    <w:multiLevelType w:val="hybridMultilevel"/>
    <w:tmpl w:val="BCDE4A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3463BA2"/>
    <w:multiLevelType w:val="multilevel"/>
    <w:tmpl w:val="DB54BCF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DF052BF"/>
    <w:multiLevelType w:val="multilevel"/>
    <w:tmpl w:val="46AA627A"/>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6F264F02"/>
    <w:multiLevelType w:val="singleLevel"/>
    <w:tmpl w:val="8BF81CE0"/>
    <w:lvl w:ilvl="0">
      <w:start w:val="1"/>
      <w:numFmt w:val="decimal"/>
      <w:lvlText w:val="%1."/>
      <w:legacy w:legacy="1" w:legacySpace="0" w:legacyIndent="360"/>
      <w:lvlJc w:val="left"/>
      <w:pPr>
        <w:ind w:left="360" w:hanging="360"/>
      </w:pPr>
    </w:lvl>
  </w:abstractNum>
  <w:num w:numId="1">
    <w:abstractNumId w:val="9"/>
  </w:num>
  <w:num w:numId="2">
    <w:abstractNumId w:val="3"/>
  </w:num>
  <w:num w:numId="3">
    <w:abstractNumId w:val="8"/>
  </w:num>
  <w:num w:numId="4">
    <w:abstractNumId w:val="0"/>
  </w:num>
  <w:num w:numId="5">
    <w:abstractNumId w:val="5"/>
  </w:num>
  <w:num w:numId="6">
    <w:abstractNumId w:val="7"/>
  </w:num>
  <w:num w:numId="7">
    <w:abstractNumId w:val="6"/>
  </w:num>
  <w:num w:numId="8">
    <w:abstractNumId w:val="1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bCs/>
      <w:sz w:val="28"/>
    </w:rPr>
  </w:style>
  <w:style w:type="paragraph" w:styleId="Zkladntext">
    <w:name w:val="Body Text"/>
    <w:basedOn w:val="Normln"/>
    <w:pPr>
      <w:jc w:val="both"/>
    </w:pPr>
  </w:style>
  <w:style w:type="paragraph" w:styleId="Zkladntextodsazen">
    <w:name w:val="Body Text Indent"/>
    <w:basedOn w:val="Normln"/>
    <w:pPr>
      <w:ind w:left="540" w:hanging="540"/>
    </w:pPr>
  </w:style>
  <w:style w:type="paragraph" w:customStyle="1" w:styleId="Normln0">
    <w:name w:val="Norm‡ln’"/>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Odstavecseseznamem">
    <w:name w:val="List Paragraph"/>
    <w:basedOn w:val="Normln"/>
    <w:uiPriority w:val="34"/>
    <w:qFormat/>
    <w:pPr>
      <w:ind w:left="708"/>
    </w:pPr>
  </w:style>
  <w:style w:type="character" w:styleId="Hypertextovodkaz">
    <w:name w:val="Hyperlink"/>
    <w:semiHidden/>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bCs/>
      <w:sz w:val="28"/>
    </w:rPr>
  </w:style>
  <w:style w:type="paragraph" w:styleId="Zkladntext">
    <w:name w:val="Body Text"/>
    <w:basedOn w:val="Normln"/>
    <w:pPr>
      <w:jc w:val="both"/>
    </w:pPr>
  </w:style>
  <w:style w:type="paragraph" w:styleId="Zkladntextodsazen">
    <w:name w:val="Body Text Indent"/>
    <w:basedOn w:val="Normln"/>
    <w:pPr>
      <w:ind w:left="540" w:hanging="540"/>
    </w:pPr>
  </w:style>
  <w:style w:type="paragraph" w:customStyle="1" w:styleId="Normln0">
    <w:name w:val="Norm‡ln’"/>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Odstavecseseznamem">
    <w:name w:val="List Paragraph"/>
    <w:basedOn w:val="Normln"/>
    <w:uiPriority w:val="34"/>
    <w:qFormat/>
    <w:pPr>
      <w:ind w:left="708"/>
    </w:pPr>
  </w:style>
  <w:style w:type="character" w:styleId="Hypertextovodkaz">
    <w:name w:val="Hyperlink"/>
    <w:semiHidden/>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fdi.cz/gdpr" TargetMode="External"/><Relationship Id="rId4" Type="http://schemas.openxmlformats.org/officeDocument/2006/relationships/settings" Target="settings.xml"/><Relationship Id="rId9" Type="http://schemas.openxmlformats.org/officeDocument/2006/relationships/hyperlink" Target="http://www.sfdi.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4838</Characters>
  <Application>Microsoft Office Word</Application>
  <DocSecurity>0</DocSecurity>
  <Lines>40</Lines>
  <Paragraphs>11</Paragraphs>
  <ScaleCrop>false</ScaleCrop>
  <Company/>
  <LinksUpToDate>false</LinksUpToDate>
  <CharactersWithSpaces>5647</CharactersWithSpaces>
  <SharedDoc>false</SharedDoc>
  <HLinks>
    <vt:vector size="12" baseType="variant">
      <vt:variant>
        <vt:i4>8323191</vt:i4>
      </vt:variant>
      <vt:variant>
        <vt:i4>3</vt:i4>
      </vt:variant>
      <vt:variant>
        <vt:i4>0</vt:i4>
      </vt:variant>
      <vt:variant>
        <vt:i4>5</vt:i4>
      </vt:variant>
      <vt:variant>
        <vt:lpwstr>http://www.sfdi.cz/gdpr</vt:lpwstr>
      </vt:variant>
      <vt:variant>
        <vt:lpwstr/>
      </vt:variant>
      <vt:variant>
        <vt:i4>6815804</vt:i4>
      </vt:variant>
      <vt:variant>
        <vt:i4>0</vt:i4>
      </vt:variant>
      <vt:variant>
        <vt:i4>0</vt:i4>
      </vt:variant>
      <vt:variant>
        <vt:i4>5</vt:i4>
      </vt:variant>
      <vt:variant>
        <vt:lpwstr>http://www.sfdi.cz/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2020-09-01T08:53:00Z</dcterms:created>
  <dcterms:modified xsi:type="dcterms:W3CDTF">2020-09-01T08:53:00Z</dcterms:modified>
</cp:coreProperties>
</file>