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A22F" w14:textId="77777777" w:rsidR="000967DD" w:rsidRDefault="000967DD">
      <w:pPr>
        <w:pStyle w:val="Nadpis2"/>
        <w:spacing w:before="0"/>
        <w:jc w:val="center"/>
        <w:rPr>
          <w:rFonts w:ascii="Arial" w:hAnsi="Arial" w:cs="Arial"/>
        </w:rPr>
      </w:pPr>
      <w:r>
        <w:rPr>
          <w:rFonts w:ascii="Arial" w:hAnsi="Arial" w:cs="Arial"/>
        </w:rPr>
        <w:t>Smlouva o dílo</w:t>
      </w:r>
    </w:p>
    <w:p w14:paraId="3B6E6632" w14:textId="77777777"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14:paraId="6AE9BE28" w14:textId="77777777" w:rsidR="000967DD" w:rsidRDefault="000967DD">
      <w:pPr>
        <w:jc w:val="center"/>
        <w:rPr>
          <w:rFonts w:ascii="Arial" w:hAnsi="Arial" w:cs="Arial"/>
        </w:rPr>
      </w:pPr>
      <w:r>
        <w:rPr>
          <w:rFonts w:ascii="Arial" w:hAnsi="Arial" w:cs="Arial"/>
          <w:b/>
          <w:bCs/>
        </w:rPr>
        <w:t>mezi těmito smluvními stranami:</w:t>
      </w:r>
    </w:p>
    <w:p w14:paraId="672A6659" w14:textId="77777777" w:rsidR="000967DD" w:rsidRDefault="000967DD">
      <w:pPr>
        <w:jc w:val="center"/>
        <w:rPr>
          <w:rFonts w:ascii="Arial" w:hAnsi="Arial" w:cs="Arial"/>
        </w:rPr>
      </w:pPr>
    </w:p>
    <w:p w14:paraId="4DFE0F06" w14:textId="77777777" w:rsidR="000967DD" w:rsidRDefault="000967DD">
      <w:pPr>
        <w:rPr>
          <w:rFonts w:ascii="Arial" w:hAnsi="Arial" w:cs="Arial"/>
          <w:sz w:val="22"/>
          <w:szCs w:val="22"/>
        </w:rPr>
      </w:pPr>
      <w:r>
        <w:rPr>
          <w:rFonts w:ascii="Arial" w:hAnsi="Arial" w:cs="Arial"/>
          <w:b/>
          <w:sz w:val="22"/>
          <w:szCs w:val="22"/>
        </w:rPr>
        <w:t>Fakultní nemocnice Brno</w:t>
      </w:r>
    </w:p>
    <w:p w14:paraId="25A304C9" w14:textId="77777777" w:rsidR="000967DD" w:rsidRDefault="000967DD">
      <w:pPr>
        <w:rPr>
          <w:rFonts w:ascii="Arial" w:hAnsi="Arial" w:cs="Arial"/>
          <w:sz w:val="22"/>
          <w:szCs w:val="22"/>
        </w:rPr>
      </w:pPr>
      <w:r>
        <w:rPr>
          <w:rFonts w:ascii="Arial" w:hAnsi="Arial" w:cs="Arial"/>
          <w:sz w:val="22"/>
          <w:szCs w:val="22"/>
        </w:rPr>
        <w:t>se sídlem Jihlavská 20, 625 00 Brno</w:t>
      </w:r>
    </w:p>
    <w:p w14:paraId="1B08540F" w14:textId="5F57DDC3" w:rsidR="000967DD" w:rsidRDefault="000967DD" w:rsidP="00EF0510">
      <w:pPr>
        <w:rPr>
          <w:rFonts w:ascii="Arial" w:hAnsi="Arial" w:cs="Arial"/>
          <w:sz w:val="22"/>
          <w:szCs w:val="22"/>
        </w:rPr>
      </w:pPr>
      <w:r>
        <w:rPr>
          <w:rFonts w:ascii="Arial" w:hAnsi="Arial" w:cs="Arial"/>
          <w:sz w:val="22"/>
          <w:szCs w:val="22"/>
        </w:rPr>
        <w:t>jejímž jméne</w:t>
      </w:r>
      <w:r w:rsidR="00A754B6">
        <w:rPr>
          <w:rFonts w:ascii="Arial" w:hAnsi="Arial" w:cs="Arial"/>
          <w:sz w:val="22"/>
          <w:szCs w:val="22"/>
        </w:rPr>
        <w:t xml:space="preserve">m jedná: </w:t>
      </w:r>
      <w:r w:rsidR="00B74680">
        <w:rPr>
          <w:rFonts w:ascii="Arial" w:hAnsi="Arial" w:cs="Arial"/>
          <w:sz w:val="22"/>
          <w:szCs w:val="22"/>
        </w:rPr>
        <w:t>XXXXXXXXXXXXXXXXX</w:t>
      </w:r>
      <w:r w:rsidR="00A754B6">
        <w:rPr>
          <w:rFonts w:ascii="Arial" w:hAnsi="Arial" w:cs="Arial"/>
          <w:sz w:val="22"/>
          <w:szCs w:val="22"/>
        </w:rPr>
        <w:t>.</w:t>
      </w:r>
      <w:r w:rsidR="004401C7">
        <w:rPr>
          <w:rFonts w:ascii="Arial" w:hAnsi="Arial" w:cs="Arial"/>
          <w:sz w:val="22"/>
          <w:szCs w:val="22"/>
        </w:rPr>
        <w:t>,</w:t>
      </w:r>
      <w:r>
        <w:rPr>
          <w:rFonts w:ascii="Arial" w:hAnsi="Arial" w:cs="Arial"/>
          <w:sz w:val="22"/>
          <w:szCs w:val="22"/>
        </w:rPr>
        <w:t xml:space="preserve"> ředitel</w:t>
      </w:r>
    </w:p>
    <w:p w14:paraId="37F23D99" w14:textId="77777777" w:rsidR="000967DD" w:rsidRDefault="000967DD">
      <w:pPr>
        <w:rPr>
          <w:rFonts w:ascii="Arial" w:hAnsi="Arial" w:cs="Arial"/>
          <w:sz w:val="22"/>
          <w:szCs w:val="22"/>
        </w:rPr>
      </w:pPr>
      <w:r>
        <w:rPr>
          <w:rFonts w:ascii="Arial" w:hAnsi="Arial" w:cs="Arial"/>
          <w:sz w:val="22"/>
          <w:szCs w:val="22"/>
        </w:rPr>
        <w:t>IČO 65269705</w:t>
      </w:r>
    </w:p>
    <w:p w14:paraId="2B0D5E52" w14:textId="77777777" w:rsidR="000967DD" w:rsidRDefault="000967DD">
      <w:pPr>
        <w:rPr>
          <w:rFonts w:ascii="Arial" w:hAnsi="Arial" w:cs="Arial"/>
          <w:sz w:val="22"/>
          <w:szCs w:val="22"/>
        </w:rPr>
      </w:pPr>
      <w:r w:rsidRPr="00EF0510">
        <w:rPr>
          <w:rFonts w:ascii="Arial" w:hAnsi="Arial" w:cs="Arial"/>
          <w:sz w:val="22"/>
          <w:szCs w:val="22"/>
        </w:rPr>
        <w:t>DIČ CZ65269705</w:t>
      </w:r>
    </w:p>
    <w:p w14:paraId="64284B0B" w14:textId="77777777"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14:paraId="09DE87C0" w14:textId="77777777"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14:paraId="0A37501D" w14:textId="77777777" w:rsidR="000967DD" w:rsidRDefault="000967DD">
      <w:pPr>
        <w:rPr>
          <w:rFonts w:ascii="Arial" w:hAnsi="Arial" w:cs="Arial"/>
          <w:sz w:val="22"/>
          <w:szCs w:val="22"/>
        </w:rPr>
      </w:pPr>
    </w:p>
    <w:p w14:paraId="617A0F87" w14:textId="77777777"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14:paraId="5DAB6C7B" w14:textId="77777777" w:rsidR="000967DD" w:rsidRDefault="000967DD">
      <w:pPr>
        <w:rPr>
          <w:rFonts w:ascii="Arial" w:hAnsi="Arial" w:cs="Arial"/>
        </w:rPr>
      </w:pPr>
    </w:p>
    <w:p w14:paraId="09DD8ECB" w14:textId="77777777"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14:paraId="02EB378F" w14:textId="77777777" w:rsidR="000967DD" w:rsidRDefault="000967DD">
      <w:pPr>
        <w:rPr>
          <w:rFonts w:ascii="Arial" w:hAnsi="Arial" w:cs="Arial"/>
          <w:sz w:val="22"/>
          <w:szCs w:val="22"/>
        </w:rPr>
      </w:pPr>
    </w:p>
    <w:p w14:paraId="45F94F8F" w14:textId="77777777" w:rsidR="000967DD" w:rsidRDefault="000967DD">
      <w:pPr>
        <w:rPr>
          <w:rFonts w:ascii="Arial" w:hAnsi="Arial" w:cs="Arial"/>
          <w:sz w:val="22"/>
          <w:szCs w:val="22"/>
        </w:rPr>
      </w:pPr>
      <w:r>
        <w:rPr>
          <w:rFonts w:ascii="Arial" w:hAnsi="Arial" w:cs="Arial"/>
          <w:sz w:val="22"/>
          <w:szCs w:val="22"/>
        </w:rPr>
        <w:t>a</w:t>
      </w:r>
    </w:p>
    <w:p w14:paraId="6A05A809" w14:textId="77777777" w:rsidR="000967DD" w:rsidRDefault="000967DD">
      <w:pPr>
        <w:rPr>
          <w:rFonts w:ascii="Arial" w:hAnsi="Arial" w:cs="Arial"/>
          <w:sz w:val="22"/>
          <w:szCs w:val="22"/>
        </w:rPr>
      </w:pPr>
    </w:p>
    <w:p w14:paraId="2C55E6A8" w14:textId="77777777" w:rsidR="002E0ADE" w:rsidRPr="00CD33B8" w:rsidRDefault="00CD33B8" w:rsidP="002E0ADE">
      <w:pPr>
        <w:rPr>
          <w:rFonts w:ascii="Arial" w:hAnsi="Arial" w:cs="Arial"/>
          <w:b/>
          <w:sz w:val="22"/>
          <w:szCs w:val="22"/>
        </w:rPr>
      </w:pPr>
      <w:r w:rsidRPr="00CD33B8">
        <w:rPr>
          <w:rFonts w:ascii="Arial" w:hAnsi="Arial" w:cs="Arial"/>
          <w:b/>
          <w:sz w:val="22"/>
          <w:szCs w:val="22"/>
        </w:rPr>
        <w:t>TZ pro, s.r.o.</w:t>
      </w:r>
    </w:p>
    <w:p w14:paraId="7201FD44" w14:textId="77777777" w:rsidR="002E0ADE" w:rsidRPr="00CD33B8" w:rsidRDefault="002E0ADE" w:rsidP="002E0ADE">
      <w:pPr>
        <w:rPr>
          <w:rFonts w:ascii="Arial" w:hAnsi="Arial" w:cs="Arial"/>
          <w:b/>
          <w:sz w:val="22"/>
          <w:szCs w:val="22"/>
        </w:rPr>
      </w:pPr>
      <w:r w:rsidRPr="00CD33B8">
        <w:rPr>
          <w:rFonts w:ascii="Arial" w:hAnsi="Arial" w:cs="Arial"/>
          <w:sz w:val="22"/>
          <w:szCs w:val="22"/>
        </w:rPr>
        <w:t xml:space="preserve">se sídlem </w:t>
      </w:r>
      <w:r w:rsidR="00CD33B8" w:rsidRPr="00CD33B8">
        <w:rPr>
          <w:rFonts w:ascii="Arial" w:hAnsi="Arial" w:cs="Arial"/>
          <w:sz w:val="22"/>
          <w:szCs w:val="22"/>
        </w:rPr>
        <w:t>Drnovice 718, 683 04 Drnovice</w:t>
      </w:r>
    </w:p>
    <w:p w14:paraId="75F81627" w14:textId="77777777" w:rsidR="002E0ADE" w:rsidRPr="005E289B" w:rsidRDefault="002E0ADE" w:rsidP="002E0ADE">
      <w:pPr>
        <w:rPr>
          <w:rFonts w:ascii="Arial" w:hAnsi="Arial" w:cs="Arial"/>
          <w:sz w:val="22"/>
          <w:szCs w:val="22"/>
        </w:rPr>
      </w:pPr>
      <w:r w:rsidRPr="005E289B">
        <w:rPr>
          <w:rFonts w:ascii="Arial" w:hAnsi="Arial" w:cs="Arial"/>
          <w:sz w:val="22"/>
          <w:szCs w:val="22"/>
        </w:rPr>
        <w:t>IČO</w:t>
      </w:r>
      <w:r w:rsidR="00CD33B8">
        <w:rPr>
          <w:rFonts w:ascii="Arial" w:hAnsi="Arial" w:cs="Arial"/>
          <w:sz w:val="22"/>
          <w:szCs w:val="22"/>
        </w:rPr>
        <w:t xml:space="preserve"> 03760588</w:t>
      </w:r>
    </w:p>
    <w:p w14:paraId="482135CE" w14:textId="77777777" w:rsidR="002E0ADE" w:rsidRPr="005E289B" w:rsidRDefault="002E0ADE" w:rsidP="002E0ADE">
      <w:pPr>
        <w:rPr>
          <w:rFonts w:ascii="Arial" w:hAnsi="Arial" w:cs="Arial"/>
          <w:sz w:val="22"/>
          <w:szCs w:val="22"/>
        </w:rPr>
      </w:pPr>
      <w:r w:rsidRPr="005E289B">
        <w:rPr>
          <w:rFonts w:ascii="Arial" w:hAnsi="Arial" w:cs="Arial"/>
          <w:sz w:val="22"/>
          <w:szCs w:val="22"/>
        </w:rPr>
        <w:t>DIČ</w:t>
      </w:r>
      <w:r w:rsidR="00CD33B8">
        <w:rPr>
          <w:rFonts w:ascii="Arial" w:hAnsi="Arial" w:cs="Arial"/>
          <w:sz w:val="22"/>
          <w:szCs w:val="22"/>
        </w:rPr>
        <w:t xml:space="preserve"> CZ03760588</w:t>
      </w:r>
    </w:p>
    <w:p w14:paraId="50458B97" w14:textId="77777777" w:rsidR="002E0ADE" w:rsidRPr="005E289B" w:rsidRDefault="002E0ADE" w:rsidP="002E0ADE">
      <w:pPr>
        <w:rPr>
          <w:rFonts w:ascii="Arial" w:hAnsi="Arial" w:cs="Arial"/>
          <w:sz w:val="22"/>
          <w:szCs w:val="22"/>
        </w:rPr>
      </w:pPr>
      <w:r w:rsidRPr="005E289B">
        <w:rPr>
          <w:rFonts w:ascii="Arial" w:hAnsi="Arial" w:cs="Arial"/>
          <w:sz w:val="22"/>
          <w:szCs w:val="22"/>
        </w:rPr>
        <w:t xml:space="preserve">zapsána v obchodním rejstříku vedeném rejstříkovým soudem v </w:t>
      </w:r>
      <w:r w:rsidR="00CD33B8">
        <w:rPr>
          <w:rFonts w:ascii="Arial" w:hAnsi="Arial" w:cs="Arial"/>
          <w:sz w:val="22"/>
          <w:szCs w:val="22"/>
        </w:rPr>
        <w:t>Brně</w:t>
      </w:r>
      <w:r>
        <w:rPr>
          <w:rFonts w:ascii="Arial" w:hAnsi="Arial" w:cs="Arial"/>
          <w:sz w:val="22"/>
          <w:szCs w:val="22"/>
        </w:rPr>
        <w:t xml:space="preserve"> </w:t>
      </w:r>
      <w:r w:rsidRPr="005E289B">
        <w:rPr>
          <w:rFonts w:ascii="Arial" w:hAnsi="Arial" w:cs="Arial"/>
          <w:sz w:val="22"/>
          <w:szCs w:val="22"/>
        </w:rPr>
        <w:t xml:space="preserve">v oddíle </w:t>
      </w:r>
      <w:r w:rsidR="00CD33B8">
        <w:rPr>
          <w:rFonts w:ascii="Arial" w:hAnsi="Arial" w:cs="Arial"/>
          <w:sz w:val="22"/>
          <w:szCs w:val="22"/>
        </w:rPr>
        <w:t xml:space="preserve">C </w:t>
      </w:r>
      <w:r w:rsidRPr="005E289B">
        <w:rPr>
          <w:rFonts w:ascii="Arial" w:hAnsi="Arial" w:cs="Arial"/>
          <w:sz w:val="22"/>
          <w:szCs w:val="22"/>
        </w:rPr>
        <w:t xml:space="preserve">spisová značka </w:t>
      </w:r>
      <w:r w:rsidR="00CD33B8">
        <w:rPr>
          <w:rFonts w:ascii="Arial" w:hAnsi="Arial" w:cs="Arial"/>
          <w:sz w:val="22"/>
          <w:szCs w:val="22"/>
        </w:rPr>
        <w:t>86583</w:t>
      </w:r>
    </w:p>
    <w:p w14:paraId="7BCB8169" w14:textId="77777777" w:rsidR="002E0ADE" w:rsidRDefault="002E0ADE" w:rsidP="002E0ADE">
      <w:pPr>
        <w:rPr>
          <w:rFonts w:ascii="Arial" w:hAnsi="Arial" w:cs="Arial"/>
          <w:sz w:val="22"/>
          <w:szCs w:val="22"/>
        </w:rPr>
      </w:pPr>
      <w:r w:rsidRPr="005E289B">
        <w:rPr>
          <w:rFonts w:ascii="Arial" w:hAnsi="Arial" w:cs="Arial"/>
          <w:sz w:val="22"/>
          <w:szCs w:val="22"/>
        </w:rPr>
        <w:t xml:space="preserve">bankovní spojení </w:t>
      </w:r>
      <w:proofErr w:type="spellStart"/>
      <w:r w:rsidR="00CD33B8">
        <w:rPr>
          <w:rFonts w:ascii="Arial" w:hAnsi="Arial" w:cs="Arial"/>
          <w:sz w:val="22"/>
          <w:szCs w:val="22"/>
        </w:rPr>
        <w:t>Reiffeisenbank</w:t>
      </w:r>
      <w:proofErr w:type="spellEnd"/>
      <w:r w:rsidR="00CD33B8">
        <w:rPr>
          <w:rFonts w:ascii="Arial" w:hAnsi="Arial" w:cs="Arial"/>
          <w:sz w:val="22"/>
          <w:szCs w:val="22"/>
        </w:rPr>
        <w:t xml:space="preserve"> a.s.</w:t>
      </w:r>
    </w:p>
    <w:p w14:paraId="3F43B5F8" w14:textId="77777777" w:rsidR="002E0ADE" w:rsidRPr="005E289B" w:rsidRDefault="002E0ADE" w:rsidP="002E0ADE">
      <w:pPr>
        <w:rPr>
          <w:rFonts w:ascii="Arial" w:hAnsi="Arial" w:cs="Arial"/>
          <w:sz w:val="22"/>
          <w:szCs w:val="22"/>
        </w:rPr>
      </w:pPr>
      <w:r>
        <w:rPr>
          <w:rFonts w:ascii="Arial" w:hAnsi="Arial" w:cs="Arial"/>
          <w:sz w:val="22"/>
          <w:szCs w:val="22"/>
        </w:rPr>
        <w:t xml:space="preserve">číslo účtu: </w:t>
      </w:r>
      <w:r w:rsidR="00CD33B8">
        <w:rPr>
          <w:rFonts w:ascii="Arial" w:hAnsi="Arial" w:cs="Arial"/>
          <w:sz w:val="22"/>
          <w:szCs w:val="22"/>
        </w:rPr>
        <w:t>8512637001/5500</w:t>
      </w:r>
    </w:p>
    <w:p w14:paraId="57BCA1FE" w14:textId="6895E521" w:rsidR="002E0ADE" w:rsidRDefault="002E0ADE" w:rsidP="002E0ADE">
      <w:pPr>
        <w:rPr>
          <w:rFonts w:ascii="Arial" w:hAnsi="Arial" w:cs="Arial"/>
          <w:sz w:val="22"/>
          <w:szCs w:val="22"/>
        </w:rPr>
      </w:pPr>
      <w:r w:rsidRPr="005E289B">
        <w:rPr>
          <w:rFonts w:ascii="Arial" w:hAnsi="Arial" w:cs="Arial"/>
          <w:sz w:val="22"/>
          <w:szCs w:val="22"/>
        </w:rPr>
        <w:t xml:space="preserve">zastoupen </w:t>
      </w:r>
      <w:r w:rsidR="00B74680">
        <w:rPr>
          <w:rFonts w:ascii="Arial" w:hAnsi="Arial" w:cs="Arial"/>
          <w:sz w:val="22"/>
          <w:szCs w:val="22"/>
        </w:rPr>
        <w:t>XXXXXXXXXXXXXXXXX</w:t>
      </w:r>
    </w:p>
    <w:p w14:paraId="5A39BBE3" w14:textId="77777777" w:rsidR="00EF0510" w:rsidRDefault="00EF0510" w:rsidP="00EF0510">
      <w:pPr>
        <w:rPr>
          <w:rFonts w:ascii="Arial" w:hAnsi="Arial" w:cs="Arial"/>
          <w:sz w:val="22"/>
          <w:szCs w:val="22"/>
        </w:rPr>
      </w:pPr>
    </w:p>
    <w:p w14:paraId="4AFAC70A" w14:textId="77777777"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14:paraId="41C8F396" w14:textId="77777777" w:rsidR="000967DD" w:rsidRDefault="000967DD">
      <w:pPr>
        <w:rPr>
          <w:rFonts w:ascii="Arial" w:hAnsi="Arial" w:cs="Arial"/>
          <w:sz w:val="22"/>
          <w:szCs w:val="22"/>
        </w:rPr>
      </w:pPr>
    </w:p>
    <w:p w14:paraId="72A3D3EC" w14:textId="77777777" w:rsidR="000967DD" w:rsidRDefault="000967DD">
      <w:pPr>
        <w:rPr>
          <w:rFonts w:ascii="Arial" w:hAnsi="Arial" w:cs="Arial"/>
          <w:sz w:val="22"/>
          <w:szCs w:val="22"/>
        </w:rPr>
      </w:pPr>
    </w:p>
    <w:p w14:paraId="5898871B" w14:textId="77777777" w:rsidR="000967DD" w:rsidRDefault="000967DD">
      <w:pPr>
        <w:rPr>
          <w:rFonts w:ascii="Arial" w:hAnsi="Arial" w:cs="Arial"/>
          <w:sz w:val="22"/>
          <w:szCs w:val="22"/>
        </w:rPr>
      </w:pPr>
      <w:r>
        <w:rPr>
          <w:rFonts w:ascii="Arial" w:hAnsi="Arial" w:cs="Arial"/>
          <w:sz w:val="22"/>
          <w:szCs w:val="22"/>
        </w:rPr>
        <w:t>v následujícím znění:</w:t>
      </w:r>
    </w:p>
    <w:p w14:paraId="0D0B940D" w14:textId="77777777"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14:paraId="00F72796" w14:textId="77777777"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lastRenderedPageBreak/>
        <w:t>Předmět smlouvy</w:t>
      </w:r>
      <w:r w:rsidR="003C1D2A">
        <w:rPr>
          <w:rFonts w:ascii="Arial" w:hAnsi="Arial" w:cs="Arial"/>
          <w:b/>
          <w:bCs/>
          <w:sz w:val="22"/>
          <w:szCs w:val="22"/>
        </w:rPr>
        <w:t xml:space="preserve"> </w:t>
      </w:r>
    </w:p>
    <w:p w14:paraId="734A6E16" w14:textId="77777777" w:rsidR="009D1DD4"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r w:rsidR="00B91153" w:rsidRPr="0095454D">
        <w:rPr>
          <w:rFonts w:ascii="Arial" w:hAnsi="Arial" w:cs="Arial"/>
          <w:b/>
          <w:sz w:val="22"/>
          <w:szCs w:val="22"/>
        </w:rPr>
        <w:t>:</w:t>
      </w:r>
      <w:r w:rsidR="00454F43" w:rsidRPr="0095454D">
        <w:rPr>
          <w:rFonts w:ascii="Arial" w:hAnsi="Arial" w:cs="Arial"/>
          <w:b/>
          <w:sz w:val="22"/>
          <w:szCs w:val="22"/>
        </w:rPr>
        <w:t xml:space="preserve"> PMDV – Odsávání v laboratoři AAS</w:t>
      </w:r>
      <w:r w:rsidR="002059C8">
        <w:rPr>
          <w:rFonts w:ascii="Arial" w:hAnsi="Arial" w:cs="Arial"/>
          <w:b/>
          <w:sz w:val="22"/>
          <w:szCs w:val="22"/>
        </w:rPr>
        <w:t>, OKB</w:t>
      </w:r>
      <w:r>
        <w:rPr>
          <w:rFonts w:ascii="Arial" w:hAnsi="Arial" w:cs="Arial"/>
          <w:sz w:val="22"/>
          <w:szCs w:val="22"/>
        </w:rPr>
        <w:t xml:space="preserve"> svým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nebezpečí </w:t>
      </w:r>
      <w:r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proofErr w:type="gramStart"/>
      <w:r w:rsidR="00CD33B8">
        <w:rPr>
          <w:rFonts w:ascii="Arial" w:hAnsi="Arial" w:cs="Arial"/>
          <w:sz w:val="22"/>
          <w:szCs w:val="22"/>
        </w:rPr>
        <w:t>14.1.2020</w:t>
      </w:r>
      <w:proofErr w:type="gramEnd"/>
      <w:r w:rsidR="00AC367A">
        <w:rPr>
          <w:rFonts w:ascii="Arial" w:hAnsi="Arial" w:cs="Arial"/>
          <w:sz w:val="22"/>
          <w:szCs w:val="22"/>
        </w:rPr>
        <w:t xml:space="preserve"> </w:t>
      </w:r>
      <w:r w:rsidR="00DC2CC8">
        <w:rPr>
          <w:rFonts w:ascii="Arial" w:hAnsi="Arial" w:cs="Arial"/>
          <w:sz w:val="22"/>
          <w:szCs w:val="22"/>
        </w:rPr>
        <w:t>pod zakázkový</w:t>
      </w:r>
      <w:r w:rsidR="003C1D2A">
        <w:rPr>
          <w:rFonts w:ascii="Arial" w:hAnsi="Arial" w:cs="Arial"/>
          <w:sz w:val="22"/>
          <w:szCs w:val="22"/>
        </w:rPr>
        <w:t>m</w:t>
      </w:r>
      <w:r w:rsidR="00DC2CC8">
        <w:rPr>
          <w:rFonts w:ascii="Arial" w:hAnsi="Arial" w:cs="Arial"/>
          <w:sz w:val="22"/>
          <w:szCs w:val="22"/>
        </w:rPr>
        <w:t xml:space="preserve"> číslem </w:t>
      </w:r>
      <w:r w:rsidR="00CD33B8">
        <w:rPr>
          <w:rFonts w:ascii="Arial" w:hAnsi="Arial" w:cs="Arial"/>
          <w:sz w:val="22"/>
          <w:szCs w:val="22"/>
        </w:rPr>
        <w:t>19_83.</w:t>
      </w:r>
    </w:p>
    <w:p w14:paraId="1157D7DC"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Specifikace předmětu plnění uvedeného v </w:t>
      </w:r>
      <w:proofErr w:type="gramStart"/>
      <w:r>
        <w:rPr>
          <w:rFonts w:ascii="Arial" w:hAnsi="Arial" w:cs="Arial"/>
          <w:sz w:val="22"/>
          <w:szCs w:val="22"/>
        </w:rPr>
        <w:t>článku I.1. je</w:t>
      </w:r>
      <w:proofErr w:type="gramEnd"/>
      <w:r>
        <w:rPr>
          <w:rFonts w:ascii="Arial" w:hAnsi="Arial" w:cs="Arial"/>
          <w:sz w:val="22"/>
          <w:szCs w:val="22"/>
        </w:rPr>
        <w:t xml:space="preserve"> uvedena v </w:t>
      </w:r>
      <w:r w:rsidRPr="00DB2515">
        <w:rPr>
          <w:rFonts w:ascii="Arial" w:hAnsi="Arial" w:cs="Arial"/>
          <w:color w:val="0000FF"/>
          <w:sz w:val="22"/>
          <w:szCs w:val="22"/>
          <w:u w:val="single"/>
        </w:rPr>
        <w:t xml:space="preserve">Příloze č. </w:t>
      </w:r>
      <w:r w:rsidR="002E0ADE">
        <w:rPr>
          <w:rFonts w:ascii="Arial" w:hAnsi="Arial" w:cs="Arial"/>
          <w:color w:val="0000FF"/>
          <w:sz w:val="22"/>
          <w:szCs w:val="22"/>
          <w:u w:val="single"/>
        </w:rPr>
        <w:t>1</w:t>
      </w:r>
      <w:r>
        <w:rPr>
          <w:rFonts w:ascii="Arial" w:hAnsi="Arial" w:cs="Arial"/>
          <w:sz w:val="22"/>
          <w:szCs w:val="22"/>
        </w:rPr>
        <w:t xml:space="preserve"> – specifikace předmětu plnění (prací a dodávek)</w:t>
      </w:r>
      <w:r w:rsidR="002F02EF">
        <w:rPr>
          <w:rFonts w:ascii="Arial" w:hAnsi="Arial" w:cs="Arial"/>
          <w:sz w:val="22"/>
          <w:szCs w:val="22"/>
        </w:rPr>
        <w:t xml:space="preserve"> – položkový rozpočet</w:t>
      </w:r>
      <w:r>
        <w:rPr>
          <w:rFonts w:ascii="Arial" w:hAnsi="Arial" w:cs="Arial"/>
          <w:sz w:val="22"/>
          <w:szCs w:val="22"/>
        </w:rPr>
        <w:t>, která je nedílnou součástí této smlouvy.</w:t>
      </w:r>
    </w:p>
    <w:p w14:paraId="179B2CC7"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Pr>
          <w:rFonts w:ascii="Arial" w:hAnsi="Arial" w:cs="Arial"/>
          <w:sz w:val="22"/>
          <w:szCs w:val="22"/>
        </w:rPr>
        <w:t xml:space="preserve"> Veškeré dodávané materiály jsou v souladu s Technologickými a desinfekčními postupy uvedenými </w:t>
      </w:r>
      <w:r w:rsidR="00366671" w:rsidRPr="00DB2515">
        <w:rPr>
          <w:rFonts w:ascii="Arial" w:hAnsi="Arial" w:cs="Arial"/>
          <w:color w:val="0000FF"/>
          <w:sz w:val="22"/>
          <w:szCs w:val="22"/>
          <w:u w:val="single"/>
        </w:rPr>
        <w:t xml:space="preserve">v příloze č. </w:t>
      </w:r>
      <w:r w:rsidR="00454F43">
        <w:rPr>
          <w:rFonts w:ascii="Arial" w:hAnsi="Arial" w:cs="Arial"/>
          <w:color w:val="0000FF"/>
          <w:sz w:val="22"/>
          <w:szCs w:val="22"/>
          <w:u w:val="single"/>
        </w:rPr>
        <w:t>2</w:t>
      </w:r>
    </w:p>
    <w:p w14:paraId="79E51C0F"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14:paraId="5C5D2088" w14:textId="77777777"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14:paraId="78DBBFC8" w14:textId="77777777" w:rsidR="003C61EE" w:rsidRPr="002C0EC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w:t>
      </w:r>
      <w:proofErr w:type="spellStart"/>
      <w:r w:rsidRPr="002C0ECE">
        <w:rPr>
          <w:rFonts w:ascii="Arial" w:hAnsi="Arial" w:cs="Arial"/>
          <w:sz w:val="22"/>
          <w:szCs w:val="22"/>
        </w:rPr>
        <w:t>dwg</w:t>
      </w:r>
      <w:proofErr w:type="spellEnd"/>
      <w:r w:rsidRPr="002C0ECE">
        <w:rPr>
          <w:rFonts w:ascii="Arial" w:hAnsi="Arial" w:cs="Arial"/>
          <w:sz w:val="22"/>
          <w:szCs w:val="22"/>
        </w:rPr>
        <w:t>, *.</w:t>
      </w:r>
      <w:proofErr w:type="spellStart"/>
      <w:r w:rsidRPr="002C0ECE">
        <w:rPr>
          <w:rFonts w:ascii="Arial" w:hAnsi="Arial" w:cs="Arial"/>
          <w:sz w:val="22"/>
          <w:szCs w:val="22"/>
        </w:rPr>
        <w:t>pdf</w:t>
      </w:r>
      <w:proofErr w:type="spellEnd"/>
      <w:r w:rsidRPr="002C0ECE">
        <w:rPr>
          <w:rFonts w:ascii="Arial" w:hAnsi="Arial" w:cs="Arial"/>
          <w:sz w:val="22"/>
          <w:szCs w:val="22"/>
        </w:rPr>
        <w:t>, *.</w:t>
      </w:r>
      <w:r w:rsidR="002A4C4D" w:rsidRPr="002C0ECE">
        <w:rPr>
          <w:rFonts w:ascii="Arial" w:hAnsi="Arial" w:cs="Arial"/>
          <w:sz w:val="22"/>
          <w:szCs w:val="22"/>
        </w:rPr>
        <w:t>doc</w:t>
      </w:r>
      <w:r w:rsidRPr="002C0ECE">
        <w:rPr>
          <w:rFonts w:ascii="Arial" w:hAnsi="Arial" w:cs="Arial"/>
          <w:sz w:val="22"/>
          <w:szCs w:val="22"/>
        </w:rPr>
        <w:t xml:space="preserve"> a *.</w:t>
      </w:r>
      <w:proofErr w:type="spellStart"/>
      <w:r w:rsidRPr="002C0ECE">
        <w:rPr>
          <w:rFonts w:ascii="Arial" w:hAnsi="Arial" w:cs="Arial"/>
          <w:sz w:val="22"/>
          <w:szCs w:val="22"/>
        </w:rPr>
        <w:t>xls</w:t>
      </w:r>
      <w:proofErr w:type="spellEnd"/>
      <w:r w:rsidR="002C0ECE" w:rsidRPr="002C0ECE">
        <w:rPr>
          <w:rFonts w:ascii="Arial" w:hAnsi="Arial" w:cs="Arial"/>
          <w:sz w:val="22"/>
          <w:szCs w:val="22"/>
        </w:rPr>
        <w:t>, nikoliv však ve formátech ZIP a RAR</w:t>
      </w:r>
      <w:r w:rsidR="002C0ECE">
        <w:rPr>
          <w:rFonts w:ascii="Arial" w:hAnsi="Arial" w:cs="Arial"/>
          <w:sz w:val="22"/>
          <w:szCs w:val="22"/>
        </w:rPr>
        <w:t>;</w:t>
      </w:r>
    </w:p>
    <w:p w14:paraId="27CCC4DD"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shodě, protokolů o předvedení funkčnosti</w:t>
      </w:r>
      <w:r w:rsidR="005A496E">
        <w:rPr>
          <w:rFonts w:ascii="Arial" w:hAnsi="Arial" w:cs="Arial"/>
          <w:sz w:val="22"/>
          <w:szCs w:val="22"/>
        </w:rPr>
        <w:t>,</w:t>
      </w:r>
      <w:r w:rsidRPr="008531E8">
        <w:rPr>
          <w:rFonts w:ascii="Arial" w:hAnsi="Arial" w:cs="Arial"/>
          <w:sz w:val="22"/>
          <w:szCs w:val="22"/>
        </w:rPr>
        <w:t xml:space="preserve"> </w:t>
      </w:r>
      <w:r w:rsidR="005A496E" w:rsidRPr="008531E8">
        <w:rPr>
          <w:rFonts w:ascii="Arial" w:hAnsi="Arial" w:cs="Arial"/>
          <w:sz w:val="22"/>
          <w:szCs w:val="22"/>
        </w:rPr>
        <w:t>potvrzení o prove</w:t>
      </w:r>
      <w:r w:rsidR="005A496E">
        <w:rPr>
          <w:rFonts w:ascii="Arial" w:hAnsi="Arial" w:cs="Arial"/>
          <w:sz w:val="22"/>
          <w:szCs w:val="22"/>
        </w:rPr>
        <w:t>dení zkoušek na všech rozvodech a </w:t>
      </w:r>
      <w:r w:rsidR="005A496E" w:rsidRPr="008531E8">
        <w:rPr>
          <w:rFonts w:ascii="Arial" w:hAnsi="Arial" w:cs="Arial"/>
          <w:sz w:val="22"/>
          <w:szCs w:val="22"/>
        </w:rPr>
        <w:t>instalacích dotčených stavbou, kompletní zprávy o výchozích</w:t>
      </w:r>
      <w:r w:rsidR="005A496E">
        <w:rPr>
          <w:rFonts w:ascii="Arial" w:hAnsi="Arial" w:cs="Arial"/>
          <w:sz w:val="22"/>
          <w:szCs w:val="22"/>
        </w:rPr>
        <w:t xml:space="preserve"> revizích elektrických zařízení</w:t>
      </w:r>
      <w:r w:rsidR="005A496E" w:rsidRPr="008531E8">
        <w:rPr>
          <w:rFonts w:ascii="Arial" w:hAnsi="Arial" w:cs="Arial"/>
          <w:sz w:val="22"/>
          <w:szCs w:val="22"/>
        </w:rPr>
        <w:t>, aj.)</w:t>
      </w:r>
      <w:r w:rsidR="005A496E">
        <w:rPr>
          <w:rFonts w:ascii="Arial" w:hAnsi="Arial" w:cs="Arial"/>
          <w:sz w:val="22"/>
          <w:szCs w:val="22"/>
        </w:rPr>
        <w:t xml:space="preserve"> </w:t>
      </w:r>
      <w:r w:rsidRPr="008531E8">
        <w:rPr>
          <w:rFonts w:ascii="Arial" w:hAnsi="Arial" w:cs="Arial"/>
          <w:sz w:val="22"/>
          <w:szCs w:val="22"/>
        </w:rPr>
        <w:t xml:space="preserve">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r w:rsidR="0068106D">
        <w:rPr>
          <w:rFonts w:ascii="Arial" w:hAnsi="Arial" w:cs="Arial"/>
          <w:sz w:val="22"/>
          <w:szCs w:val="22"/>
        </w:rPr>
        <w:t xml:space="preserve"> </w:t>
      </w:r>
    </w:p>
    <w:p w14:paraId="7D1BC20E"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14:paraId="6F5C3F5D" w14:textId="77777777"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14:paraId="4BCD09D2" w14:textId="77777777" w:rsidR="003C61E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zpracování kusovník</w:t>
      </w:r>
      <w:r w:rsidR="00DB2515">
        <w:rPr>
          <w:rFonts w:ascii="Arial" w:hAnsi="Arial" w:cs="Arial"/>
          <w:sz w:val="22"/>
          <w:szCs w:val="22"/>
        </w:rPr>
        <w:t>u</w:t>
      </w:r>
      <w:r w:rsidRPr="008531E8">
        <w:rPr>
          <w:rFonts w:ascii="Arial" w:hAnsi="Arial" w:cs="Arial"/>
          <w:sz w:val="22"/>
          <w:szCs w:val="22"/>
        </w:rPr>
        <w:t xml:space="preserve"> jednotlivých prvků a zařízení po jednotlivých místnostech včetně výrobního čísla, typu a technických parametrů pro potřeby zařazení majetku do operativní evidence zadavatele, </w:t>
      </w:r>
      <w:r w:rsidR="00DB2515">
        <w:rPr>
          <w:rFonts w:ascii="Arial" w:hAnsi="Arial" w:cs="Arial"/>
          <w:sz w:val="22"/>
          <w:szCs w:val="22"/>
        </w:rPr>
        <w:t xml:space="preserve">který tvoří </w:t>
      </w:r>
      <w:r w:rsidR="00DB2515" w:rsidRPr="00DB2515">
        <w:rPr>
          <w:rFonts w:ascii="Arial" w:hAnsi="Arial" w:cs="Arial"/>
          <w:color w:val="0000FF"/>
          <w:sz w:val="22"/>
          <w:szCs w:val="22"/>
          <w:u w:val="single"/>
        </w:rPr>
        <w:t xml:space="preserve">přílohu č. </w:t>
      </w:r>
      <w:r w:rsidR="00454F43">
        <w:rPr>
          <w:rFonts w:ascii="Arial" w:hAnsi="Arial" w:cs="Arial"/>
          <w:color w:val="0000FF"/>
          <w:sz w:val="22"/>
          <w:szCs w:val="22"/>
          <w:u w:val="single"/>
        </w:rPr>
        <w:t>6</w:t>
      </w:r>
      <w:r w:rsidR="00DB2515" w:rsidRPr="00DB2515">
        <w:rPr>
          <w:rFonts w:ascii="Arial" w:hAnsi="Arial" w:cs="Arial"/>
          <w:color w:val="0000FF"/>
          <w:sz w:val="22"/>
          <w:szCs w:val="22"/>
        </w:rPr>
        <w:t xml:space="preserve"> </w:t>
      </w:r>
      <w:r w:rsidR="00DB2515">
        <w:rPr>
          <w:rFonts w:ascii="Arial" w:hAnsi="Arial" w:cs="Arial"/>
          <w:sz w:val="22"/>
          <w:szCs w:val="22"/>
        </w:rPr>
        <w:t xml:space="preserve">této smlouvy. Kusovník je zpracován </w:t>
      </w:r>
      <w:r w:rsidRPr="008531E8">
        <w:rPr>
          <w:rFonts w:ascii="Arial" w:hAnsi="Arial" w:cs="Arial"/>
          <w:sz w:val="22"/>
          <w:szCs w:val="22"/>
        </w:rPr>
        <w:t xml:space="preserve">v souladu s Pokynem Generálního </w:t>
      </w:r>
      <w:r>
        <w:rPr>
          <w:rFonts w:ascii="Arial" w:hAnsi="Arial" w:cs="Arial"/>
          <w:sz w:val="22"/>
          <w:szCs w:val="22"/>
        </w:rPr>
        <w:t>f</w:t>
      </w:r>
      <w:r w:rsidRPr="008531E8">
        <w:rPr>
          <w:rFonts w:ascii="Arial" w:hAnsi="Arial" w:cs="Arial"/>
          <w:sz w:val="22"/>
          <w:szCs w:val="22"/>
        </w:rPr>
        <w:t xml:space="preserve">inančního </w:t>
      </w:r>
      <w:r>
        <w:rPr>
          <w:rFonts w:ascii="Arial" w:hAnsi="Arial" w:cs="Arial"/>
          <w:sz w:val="22"/>
          <w:szCs w:val="22"/>
        </w:rPr>
        <w:t>ř</w:t>
      </w:r>
      <w:r w:rsidRPr="008531E8">
        <w:rPr>
          <w:rFonts w:ascii="Arial" w:hAnsi="Arial" w:cs="Arial"/>
          <w:sz w:val="22"/>
          <w:szCs w:val="22"/>
        </w:rPr>
        <w:t>editelství č.</w:t>
      </w:r>
      <w:r w:rsidR="00DB2515">
        <w:rPr>
          <w:rFonts w:ascii="Arial" w:hAnsi="Arial" w:cs="Arial"/>
          <w:sz w:val="22"/>
          <w:szCs w:val="22"/>
        </w:rPr>
        <w:t> </w:t>
      </w:r>
      <w:r w:rsidRPr="008531E8">
        <w:rPr>
          <w:rFonts w:ascii="Arial" w:hAnsi="Arial" w:cs="Arial"/>
          <w:sz w:val="22"/>
          <w:szCs w:val="22"/>
        </w:rPr>
        <w:t>D-</w:t>
      </w:r>
      <w:r>
        <w:rPr>
          <w:rFonts w:ascii="Arial" w:hAnsi="Arial" w:cs="Arial"/>
          <w:sz w:val="22"/>
          <w:szCs w:val="22"/>
        </w:rPr>
        <w:t xml:space="preserve">22 </w:t>
      </w:r>
      <w:r w:rsidRPr="008531E8">
        <w:rPr>
          <w:rFonts w:ascii="Arial" w:hAnsi="Arial" w:cs="Arial"/>
          <w:sz w:val="22"/>
          <w:szCs w:val="22"/>
        </w:rPr>
        <w:t>k jednotnému postupu při uplatňování některých ustanovení zákona č. 586/1992 Sb., o daních z příjmu</w:t>
      </w:r>
      <w:r w:rsidR="00DB2515">
        <w:rPr>
          <w:rFonts w:ascii="Arial" w:hAnsi="Arial" w:cs="Arial"/>
          <w:sz w:val="22"/>
          <w:szCs w:val="22"/>
        </w:rPr>
        <w:t xml:space="preserve">, ve znění pozdějších předpisů. </w:t>
      </w:r>
    </w:p>
    <w:p w14:paraId="0BEF4408" w14:textId="77777777" w:rsidR="003C61EE" w:rsidRPr="005F24BD" w:rsidRDefault="002C0ECE" w:rsidP="005A496E">
      <w:pPr>
        <w:numPr>
          <w:ilvl w:val="0"/>
          <w:numId w:val="26"/>
        </w:numPr>
        <w:suppressAutoHyphens w:val="0"/>
        <w:ind w:left="1083" w:hanging="357"/>
        <w:rPr>
          <w:rFonts w:ascii="Arial" w:hAnsi="Arial" w:cs="Arial"/>
          <w:sz w:val="22"/>
          <w:szCs w:val="22"/>
          <w:u w:val="single"/>
        </w:rPr>
      </w:pPr>
      <w:r w:rsidRPr="005F24BD">
        <w:rPr>
          <w:rFonts w:ascii="Arial" w:hAnsi="Arial" w:cs="Arial"/>
          <w:sz w:val="22"/>
          <w:szCs w:val="22"/>
        </w:rPr>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14:paraId="13F57AA0" w14:textId="77777777"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14:paraId="0E27B00A" w14:textId="77777777" w:rsidR="00271317" w:rsidRDefault="00271317" w:rsidP="006B5E77">
      <w:pPr>
        <w:jc w:val="center"/>
        <w:rPr>
          <w:rFonts w:ascii="Arial" w:hAnsi="Arial" w:cs="Arial"/>
          <w:sz w:val="22"/>
          <w:szCs w:val="22"/>
        </w:rPr>
      </w:pPr>
    </w:p>
    <w:p w14:paraId="681D159C" w14:textId="77777777"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14:paraId="52AF5DFB"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14:paraId="2AF29DE9" w14:textId="77777777" w:rsidR="000967DD" w:rsidRPr="002E0ADE"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F15972">
        <w:rPr>
          <w:rFonts w:ascii="Arial" w:hAnsi="Arial" w:cs="Arial"/>
          <w:sz w:val="22"/>
          <w:szCs w:val="22"/>
        </w:rPr>
        <w:t>49 kalendářních</w:t>
      </w:r>
      <w:r w:rsidR="002E0ADE" w:rsidRPr="002E0ADE">
        <w:rPr>
          <w:rFonts w:ascii="Arial" w:hAnsi="Arial" w:cs="Arial"/>
          <w:sz w:val="22"/>
          <w:szCs w:val="22"/>
        </w:rPr>
        <w:t xml:space="preserve"> dní od převzetí staveniště </w:t>
      </w:r>
    </w:p>
    <w:p w14:paraId="2C95D10E" w14:textId="77777777"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14:paraId="73595C2F" w14:textId="77777777" w:rsidR="00724F25" w:rsidRDefault="00724F25" w:rsidP="004D46D2">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DB2515">
        <w:rPr>
          <w:rFonts w:ascii="Arial" w:hAnsi="Arial" w:cs="Arial"/>
          <w:color w:val="0000FF"/>
          <w:sz w:val="22"/>
          <w:szCs w:val="22"/>
          <w:u w:val="single"/>
        </w:rPr>
        <w:t xml:space="preserve">přílohou č. </w:t>
      </w:r>
      <w:r w:rsidR="00454F43">
        <w:rPr>
          <w:rFonts w:ascii="Arial" w:hAnsi="Arial" w:cs="Arial"/>
          <w:color w:val="0000FF"/>
          <w:sz w:val="22"/>
          <w:szCs w:val="22"/>
          <w:u w:val="single"/>
        </w:rPr>
        <w:t>5</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14:paraId="3378CE18"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14:paraId="08CBDC0A"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14:paraId="7F4AB21C" w14:textId="77777777"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14:paraId="60061E4C" w14:textId="77777777"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14:paraId="5FC8EFD4"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14:paraId="16DF37F8" w14:textId="77777777" w:rsidR="000967DD" w:rsidRPr="00454F43" w:rsidRDefault="000967DD" w:rsidP="006B5E77">
      <w:pPr>
        <w:numPr>
          <w:ilvl w:val="0"/>
          <w:numId w:val="8"/>
        </w:numPr>
        <w:tabs>
          <w:tab w:val="num" w:pos="426"/>
        </w:tabs>
        <w:ind w:left="426" w:hanging="437"/>
        <w:rPr>
          <w:rFonts w:ascii="Arial" w:hAnsi="Arial" w:cs="Arial"/>
          <w:sz w:val="22"/>
          <w:szCs w:val="22"/>
        </w:rPr>
      </w:pPr>
      <w:r w:rsidRPr="00454F43">
        <w:rPr>
          <w:rFonts w:ascii="Arial" w:hAnsi="Arial" w:cs="Arial"/>
          <w:sz w:val="22"/>
          <w:szCs w:val="22"/>
        </w:rPr>
        <w:t xml:space="preserve">Místem plnění je Fakultní nemocnice Brno, Pracoviště </w:t>
      </w:r>
      <w:r w:rsidR="007442BB" w:rsidRPr="00454F43">
        <w:rPr>
          <w:rFonts w:ascii="Arial" w:hAnsi="Arial" w:cs="Arial"/>
          <w:sz w:val="22"/>
          <w:szCs w:val="22"/>
        </w:rPr>
        <w:t>medicíny dospělého věku, Jihlavská 20</w:t>
      </w:r>
      <w:r w:rsidR="00454F43" w:rsidRPr="00454F43">
        <w:rPr>
          <w:rFonts w:ascii="Arial" w:hAnsi="Arial" w:cs="Arial"/>
          <w:sz w:val="22"/>
          <w:szCs w:val="22"/>
        </w:rPr>
        <w:t>, 625 00 Brno</w:t>
      </w:r>
    </w:p>
    <w:p w14:paraId="44EAFD9C" w14:textId="77777777" w:rsidR="00271317" w:rsidRDefault="00271317">
      <w:pPr>
        <w:ind w:left="426"/>
        <w:rPr>
          <w:rFonts w:ascii="Arial" w:hAnsi="Arial" w:cs="Arial"/>
          <w:sz w:val="22"/>
          <w:szCs w:val="22"/>
        </w:rPr>
      </w:pPr>
    </w:p>
    <w:p w14:paraId="3DDF60CE"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14:paraId="030316AC" w14:textId="77777777"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14:paraId="4759A211" w14:textId="77777777" w:rsidR="002E0ADE" w:rsidRPr="00DD03F8" w:rsidRDefault="00CD33B8" w:rsidP="00DD03F8">
      <w:pPr>
        <w:ind w:left="426"/>
        <w:rPr>
          <w:rFonts w:ascii="Arial" w:hAnsi="Arial" w:cs="Arial"/>
          <w:sz w:val="22"/>
          <w:szCs w:val="22"/>
        </w:rPr>
      </w:pPr>
      <w:r>
        <w:rPr>
          <w:rFonts w:ascii="Arial" w:hAnsi="Arial" w:cs="Arial"/>
          <w:b/>
          <w:sz w:val="22"/>
        </w:rPr>
        <w:t>203 222</w:t>
      </w:r>
      <w:r>
        <w:rPr>
          <w:rFonts w:ascii="Arial" w:hAnsi="Arial" w:cs="Arial"/>
          <w:b/>
          <w:sz w:val="22"/>
          <w:szCs w:val="22"/>
        </w:rPr>
        <w:t xml:space="preserve"> </w:t>
      </w:r>
      <w:r w:rsidR="000967DD" w:rsidRPr="002D7B78">
        <w:rPr>
          <w:rFonts w:ascii="Arial" w:hAnsi="Arial" w:cs="Arial"/>
          <w:b/>
          <w:sz w:val="22"/>
          <w:szCs w:val="22"/>
        </w:rPr>
        <w:t>Kč bez DPH</w:t>
      </w:r>
      <w:r w:rsidR="00DD03F8">
        <w:rPr>
          <w:rFonts w:ascii="Arial" w:hAnsi="Arial" w:cs="Arial"/>
          <w:b/>
          <w:sz w:val="22"/>
          <w:szCs w:val="22"/>
        </w:rPr>
        <w:t xml:space="preserve"> v sazbě 21%</w:t>
      </w:r>
      <w:r w:rsidR="00DD03F8">
        <w:rPr>
          <w:rFonts w:ascii="Arial" w:hAnsi="Arial" w:cs="Arial"/>
          <w:sz w:val="22"/>
          <w:szCs w:val="22"/>
        </w:rPr>
        <w:t xml:space="preserve"> </w:t>
      </w:r>
      <w:r w:rsidR="00DD03F8" w:rsidRPr="00DD03F8">
        <w:rPr>
          <w:rFonts w:ascii="Arial" w:hAnsi="Arial" w:cs="Arial"/>
          <w:sz w:val="20"/>
        </w:rPr>
        <w:t>(slovy:</w:t>
      </w:r>
      <w:r w:rsidR="00DD03F8">
        <w:rPr>
          <w:rFonts w:ascii="Arial" w:hAnsi="Arial" w:cs="Arial"/>
          <w:sz w:val="20"/>
        </w:rPr>
        <w:t xml:space="preserve"> </w:t>
      </w:r>
      <w:r w:rsidRPr="00DD03F8">
        <w:rPr>
          <w:rFonts w:ascii="Arial" w:hAnsi="Arial" w:cs="Arial"/>
          <w:sz w:val="20"/>
        </w:rPr>
        <w:t>dvě stě tři tisíc dvě stě dvacet dva</w:t>
      </w:r>
      <w:r w:rsidR="002E0ADE" w:rsidRPr="00DD03F8">
        <w:rPr>
          <w:rFonts w:ascii="Arial" w:hAnsi="Arial" w:cs="Arial"/>
          <w:sz w:val="20"/>
        </w:rPr>
        <w:t xml:space="preserve"> korun českých</w:t>
      </w:r>
      <w:r w:rsidR="00F15972" w:rsidRPr="00DD03F8">
        <w:rPr>
          <w:rFonts w:ascii="Arial" w:hAnsi="Arial" w:cs="Arial"/>
          <w:sz w:val="20"/>
        </w:rPr>
        <w:t>)</w:t>
      </w:r>
    </w:p>
    <w:p w14:paraId="7F0C98E1" w14:textId="77777777" w:rsidR="00DD03F8" w:rsidRDefault="00DD03F8" w:rsidP="00DD03F8">
      <w:pPr>
        <w:ind w:left="426"/>
        <w:rPr>
          <w:rFonts w:ascii="Arial" w:hAnsi="Arial" w:cs="Arial"/>
          <w:sz w:val="20"/>
        </w:rPr>
      </w:pPr>
      <w:r w:rsidRPr="00DD03F8">
        <w:rPr>
          <w:rFonts w:ascii="Arial" w:hAnsi="Arial" w:cs="Arial"/>
          <w:sz w:val="22"/>
        </w:rPr>
        <w:t>DPH ve výši</w:t>
      </w:r>
      <w:r>
        <w:rPr>
          <w:rFonts w:ascii="Arial" w:hAnsi="Arial" w:cs="Arial"/>
          <w:b/>
          <w:sz w:val="22"/>
        </w:rPr>
        <w:t xml:space="preserve"> 42 677 Kč </w:t>
      </w:r>
      <w:r w:rsidRPr="00DD03F8">
        <w:rPr>
          <w:rFonts w:ascii="Arial" w:hAnsi="Arial" w:cs="Arial"/>
          <w:sz w:val="20"/>
        </w:rPr>
        <w:t>(slovy: čtyřicet dva tisíc šest set sedmdesát sedm korun českých)</w:t>
      </w:r>
    </w:p>
    <w:p w14:paraId="2F83E5A5" w14:textId="77777777" w:rsidR="00DD03F8" w:rsidRDefault="00DD03F8" w:rsidP="00DD03F8">
      <w:pPr>
        <w:ind w:left="426"/>
        <w:rPr>
          <w:rFonts w:ascii="Arial" w:hAnsi="Arial" w:cs="Arial"/>
          <w:sz w:val="22"/>
          <w:szCs w:val="22"/>
        </w:rPr>
      </w:pPr>
      <w:r>
        <w:rPr>
          <w:rFonts w:ascii="Arial" w:hAnsi="Arial" w:cs="Arial"/>
          <w:sz w:val="22"/>
        </w:rPr>
        <w:t xml:space="preserve">Cena díla vč. 21% DPH </w:t>
      </w:r>
      <w:r w:rsidRPr="00DD03F8">
        <w:rPr>
          <w:rFonts w:ascii="Arial" w:hAnsi="Arial" w:cs="Arial"/>
          <w:b/>
          <w:sz w:val="22"/>
        </w:rPr>
        <w:t>245 899 Kč</w:t>
      </w:r>
      <w:r>
        <w:rPr>
          <w:rFonts w:ascii="Arial" w:hAnsi="Arial" w:cs="Arial"/>
          <w:b/>
          <w:sz w:val="22"/>
        </w:rPr>
        <w:t xml:space="preserve"> </w:t>
      </w:r>
      <w:r w:rsidRPr="00DD03F8">
        <w:rPr>
          <w:rFonts w:ascii="Arial" w:hAnsi="Arial" w:cs="Arial"/>
          <w:sz w:val="20"/>
        </w:rPr>
        <w:t>(slovy: dvě stě čtyřicet pět tisíc osm set devadesát devět korun českých)</w:t>
      </w:r>
    </w:p>
    <w:p w14:paraId="25C641DE"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14:paraId="232E792A" w14:textId="77777777"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14:paraId="0E28BAE0" w14:textId="77777777"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 xml:space="preserve">budou tyto rozdíly zaznamenány ve změnových listech jako vícepráce a </w:t>
      </w:r>
      <w:proofErr w:type="spellStart"/>
      <w:r>
        <w:rPr>
          <w:rFonts w:ascii="Arial" w:hAnsi="Arial" w:cs="Arial"/>
          <w:sz w:val="22"/>
          <w:szCs w:val="22"/>
        </w:rPr>
        <w:t>méněpráce</w:t>
      </w:r>
      <w:proofErr w:type="spellEnd"/>
      <w:r w:rsidRPr="005E289B">
        <w:rPr>
          <w:rFonts w:ascii="Arial" w:hAnsi="Arial" w:cs="Arial"/>
          <w:sz w:val="22"/>
          <w:szCs w:val="22"/>
        </w:rPr>
        <w:t>.</w:t>
      </w:r>
    </w:p>
    <w:p w14:paraId="01FEEE06" w14:textId="77777777"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044C4F7F" w14:textId="77777777"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proofErr w:type="spellStart"/>
      <w:r>
        <w:rPr>
          <w:rFonts w:ascii="Arial" w:hAnsi="Arial" w:cs="Arial"/>
          <w:sz w:val="22"/>
          <w:szCs w:val="22"/>
        </w:rPr>
        <w:t>Méněpra</w:t>
      </w:r>
      <w:r w:rsidRPr="00554521">
        <w:rPr>
          <w:rFonts w:ascii="Arial" w:hAnsi="Arial" w:cs="Arial"/>
          <w:sz w:val="22"/>
          <w:szCs w:val="22"/>
        </w:rPr>
        <w:t>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při realizaci díla je zhotovitel povinen oznámit objednateli. V důsledku výskytu </w:t>
      </w:r>
      <w:proofErr w:type="spellStart"/>
      <w:r w:rsidRPr="00554521">
        <w:rPr>
          <w:rFonts w:ascii="Arial" w:hAnsi="Arial" w:cs="Arial"/>
          <w:sz w:val="22"/>
          <w:szCs w:val="22"/>
        </w:rPr>
        <w:t>méněprací</w:t>
      </w:r>
      <w:proofErr w:type="spellEnd"/>
      <w:r w:rsidRPr="00554521">
        <w:rPr>
          <w:rFonts w:ascii="Arial" w:hAnsi="Arial" w:cs="Arial"/>
          <w:sz w:val="22"/>
          <w:szCs w:val="22"/>
        </w:rPr>
        <w:t xml:space="preserve"> má objednatel vůči zhotoviteli právo na poskytnutí přiměřené slevy ze sjednané ceny díla. Výše slevy bude určena obdobným způsobem, jako v případě ocenění víceprací. </w:t>
      </w:r>
    </w:p>
    <w:p w14:paraId="2745A593" w14:textId="77777777"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14:paraId="4B94D5A5" w14:textId="77777777" w:rsidR="000967DD" w:rsidRDefault="000967DD">
      <w:pPr>
        <w:ind w:left="426"/>
        <w:rPr>
          <w:rFonts w:ascii="Arial" w:hAnsi="Arial" w:cs="Arial"/>
          <w:sz w:val="22"/>
          <w:szCs w:val="22"/>
        </w:rPr>
      </w:pPr>
    </w:p>
    <w:p w14:paraId="23958B6E"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14:paraId="6EE7C8D0"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a převzetí díla“). Úhrada bude provedena na základě faktury-daňového dokladu, vystavené zhotovitelem, </w:t>
      </w:r>
      <w:r w:rsidR="00454F43" w:rsidRPr="00454F43">
        <w:rPr>
          <w:rFonts w:ascii="Arial" w:hAnsi="Arial" w:cs="Arial"/>
          <w:sz w:val="22"/>
          <w:szCs w:val="22"/>
        </w:rPr>
        <w:t>ve 2</w:t>
      </w:r>
      <w:r w:rsidRPr="00454F43">
        <w:rPr>
          <w:rFonts w:ascii="Arial" w:hAnsi="Arial" w:cs="Arial"/>
          <w:sz w:val="22"/>
          <w:szCs w:val="22"/>
        </w:rPr>
        <w:t xml:space="preserve"> rovnoměrných splátkách.</w:t>
      </w:r>
      <w:r w:rsidRPr="00407AA5">
        <w:rPr>
          <w:rFonts w:ascii="Arial" w:hAnsi="Arial" w:cs="Arial"/>
          <w:sz w:val="22"/>
          <w:szCs w:val="22"/>
        </w:rPr>
        <w:t xml:space="preserve"> První splátka bude splatná </w:t>
      </w:r>
      <w:r>
        <w:rPr>
          <w:rFonts w:ascii="Arial" w:hAnsi="Arial" w:cs="Arial"/>
          <w:sz w:val="22"/>
          <w:szCs w:val="22"/>
        </w:rPr>
        <w:t xml:space="preserve">60 </w:t>
      </w:r>
      <w:r w:rsidRPr="00407AA5">
        <w:rPr>
          <w:rFonts w:ascii="Arial" w:hAnsi="Arial" w:cs="Arial"/>
          <w:sz w:val="22"/>
          <w:szCs w:val="22"/>
        </w:rPr>
        <w:t>dnů od data vystavení faktury, každá další splá</w:t>
      </w:r>
      <w:r>
        <w:rPr>
          <w:rFonts w:ascii="Arial" w:hAnsi="Arial" w:cs="Arial"/>
          <w:sz w:val="22"/>
          <w:szCs w:val="22"/>
        </w:rPr>
        <w:t xml:space="preserve">tka 30 dnů od předchozí splátky.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14:paraId="34F71477"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14:paraId="4E60DD44"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14:paraId="4530B4E6"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14:paraId="72EC95D1"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14:paraId="1F846DB3" w14:textId="77777777"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59372DD4"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14:paraId="2084A79D"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14:paraId="32C349F6"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27466EDA" w14:textId="77777777"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4D784E40"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38389B0A" w14:textId="77777777"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560C3E6F" w14:textId="77777777"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6959A82F"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14:paraId="1994C45F" w14:textId="77777777"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14:paraId="66EB5DF1" w14:textId="77777777"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14:paraId="796EB45D"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14:paraId="0F2ECE97" w14:textId="77777777"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14:paraId="3DEEC669" w14:textId="77777777" w:rsidR="000967DD" w:rsidRDefault="000967DD" w:rsidP="00DE7754">
      <w:pPr>
        <w:ind w:left="426"/>
        <w:rPr>
          <w:rFonts w:ascii="Arial" w:hAnsi="Arial" w:cs="Arial"/>
          <w:sz w:val="22"/>
          <w:szCs w:val="22"/>
        </w:rPr>
      </w:pPr>
    </w:p>
    <w:p w14:paraId="473F9FF1" w14:textId="77777777"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14:paraId="3782B66B"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6065CF5F"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14:paraId="0761B164"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14:paraId="0CB6123B"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14:paraId="0F3D92EC" w14:textId="77777777"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14:paraId="6EA72A1D"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14:paraId="6F372E5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14:paraId="514166C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14:paraId="73FCF7F7"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14:paraId="175DE640"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14:paraId="2039BAF9"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490422BF"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14:paraId="62FFC4FF" w14:textId="77777777"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14:paraId="51E118A8"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14:paraId="087F4774" w14:textId="77777777"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14:paraId="212D2F44" w14:textId="77777777"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14:paraId="179D88CC" w14:textId="77777777"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14:paraId="3656B9AB" w14:textId="77777777" w:rsidR="000967DD" w:rsidRDefault="000967DD">
      <w:pPr>
        <w:ind w:left="426"/>
        <w:rPr>
          <w:rFonts w:ascii="Arial" w:hAnsi="Arial" w:cs="Arial"/>
          <w:sz w:val="22"/>
          <w:szCs w:val="22"/>
        </w:rPr>
      </w:pPr>
    </w:p>
    <w:p w14:paraId="5D703C86" w14:textId="77777777"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14:paraId="6A601654"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14:paraId="691165D3"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14:paraId="70418BC9"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14:paraId="35179BC0"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14:paraId="64A325A7" w14:textId="77777777"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14:paraId="5B8FAE78" w14:textId="77777777"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p>
    <w:p w14:paraId="45FB0818" w14:textId="77777777" w:rsidR="000967DD" w:rsidRDefault="000967DD" w:rsidP="006B5E77">
      <w:pPr>
        <w:ind w:left="360"/>
        <w:rPr>
          <w:rFonts w:ascii="Arial" w:hAnsi="Arial" w:cs="Arial"/>
          <w:b/>
          <w:bCs/>
          <w:sz w:val="22"/>
          <w:szCs w:val="22"/>
        </w:rPr>
      </w:pPr>
    </w:p>
    <w:p w14:paraId="490DE946"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14:paraId="6FBBCB20"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36BFA054"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14:paraId="07B6BB6F"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14:paraId="331DF816" w14:textId="77777777"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14:paraId="13190927"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14:paraId="1E95F8FC"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14:paraId="3A93F640" w14:textId="77777777"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1B054FE0"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3C61289E" w14:textId="77777777"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48405EA1" w14:textId="77777777"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14:paraId="168CC5C5" w14:textId="77777777"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14:paraId="049F31CB" w14:textId="77777777" w:rsidR="000967DD" w:rsidRDefault="000967DD">
      <w:pPr>
        <w:rPr>
          <w:rFonts w:ascii="Arial" w:hAnsi="Arial" w:cs="Arial"/>
          <w:sz w:val="22"/>
          <w:szCs w:val="22"/>
        </w:rPr>
      </w:pPr>
    </w:p>
    <w:p w14:paraId="2CE87031" w14:textId="77777777"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14:paraId="1C85FC58"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0D409B38"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14:paraId="5829C5C7"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154D4B2D" w14:textId="77777777"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47569C52" w14:textId="77777777"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14:paraId="53128261" w14:textId="77777777" w:rsidR="00F052F5" w:rsidRPr="005E289B" w:rsidRDefault="00F052F5" w:rsidP="00F052F5">
      <w:pPr>
        <w:suppressAutoHyphens w:val="0"/>
        <w:rPr>
          <w:rFonts w:ascii="Arial" w:hAnsi="Arial" w:cs="Arial"/>
          <w:sz w:val="22"/>
          <w:szCs w:val="22"/>
        </w:rPr>
      </w:pPr>
    </w:p>
    <w:p w14:paraId="6C6CA521" w14:textId="77777777"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14:paraId="580515F2" w14:textId="77777777" w:rsidR="00F052F5" w:rsidRPr="0096707D" w:rsidRDefault="00F052F5" w:rsidP="00F052F5">
      <w:pPr>
        <w:numPr>
          <w:ilvl w:val="0"/>
          <w:numId w:val="24"/>
        </w:numPr>
        <w:suppressAutoHyphens w:val="0"/>
        <w:ind w:left="426" w:hanging="426"/>
        <w:rPr>
          <w:rFonts w:ascii="Arial" w:hAnsi="Arial" w:cs="Arial"/>
          <w:sz w:val="22"/>
          <w:szCs w:val="22"/>
        </w:rPr>
      </w:pPr>
      <w:r w:rsidRPr="0096707D">
        <w:rPr>
          <w:rFonts w:ascii="Arial" w:hAnsi="Arial" w:cs="Arial"/>
          <w:sz w:val="22"/>
          <w:szCs w:val="22"/>
        </w:rPr>
        <w:t>Zhotovitel je povinen provést z</w:t>
      </w:r>
      <w:r w:rsidR="00454F43">
        <w:rPr>
          <w:rFonts w:ascii="Arial" w:hAnsi="Arial" w:cs="Arial"/>
          <w:sz w:val="22"/>
          <w:szCs w:val="22"/>
        </w:rPr>
        <w:t>koušky díla, n</w:t>
      </w:r>
      <w:r w:rsidRPr="0096707D">
        <w:rPr>
          <w:rFonts w:ascii="Arial" w:hAnsi="Arial" w:cs="Arial"/>
          <w:sz w:val="22"/>
          <w:szCs w:val="22"/>
        </w:rPr>
        <w:t xml:space="preserve">áklady na provedení zkoušek díla podle tohoto odstavce jsou zahrnuty v ceně díla. </w:t>
      </w:r>
    </w:p>
    <w:p w14:paraId="50466C79"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53982EF8" w14:textId="77777777"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14:paraId="4F0E513D" w14:textId="77777777" w:rsidR="00F052F5" w:rsidRPr="005E289B" w:rsidRDefault="00F052F5" w:rsidP="00F052F5">
      <w:pPr>
        <w:numPr>
          <w:ilvl w:val="0"/>
          <w:numId w:val="24"/>
        </w:numPr>
        <w:suppressAutoHyphens w:val="0"/>
        <w:ind w:left="426" w:hanging="426"/>
        <w:rPr>
          <w:rFonts w:ascii="Arial" w:hAnsi="Arial" w:cs="Arial"/>
          <w:sz w:val="22"/>
          <w:szCs w:val="22"/>
        </w:rPr>
      </w:pPr>
      <w:r>
        <w:rPr>
          <w:rFonts w:ascii="Arial" w:hAnsi="Arial" w:cs="Arial"/>
          <w:sz w:val="22"/>
          <w:szCs w:val="22"/>
        </w:rPr>
        <w:t>O k</w:t>
      </w:r>
      <w:r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D8E5C00" w14:textId="77777777"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64255234" w14:textId="77777777"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14:paraId="5B6BF0F8" w14:textId="77777777"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14:paraId="62486C05" w14:textId="77777777" w:rsidR="005608E9" w:rsidRDefault="005608E9">
      <w:pPr>
        <w:rPr>
          <w:rFonts w:ascii="Arial" w:hAnsi="Arial" w:cs="Arial"/>
          <w:sz w:val="22"/>
          <w:szCs w:val="22"/>
        </w:rPr>
      </w:pPr>
    </w:p>
    <w:p w14:paraId="4AEB3356"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14:paraId="224A3F07"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44E76460"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6C7F1A6D" w14:textId="77777777"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5EA462E4" w14:textId="77777777"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454F43">
        <w:rPr>
          <w:rFonts w:ascii="Arial" w:hAnsi="Arial" w:cs="Arial"/>
          <w:color w:val="0000FF"/>
          <w:sz w:val="22"/>
          <w:szCs w:val="22"/>
          <w:u w:val="single"/>
        </w:rPr>
        <w:t>3</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sidR="005608E9">
        <w:rPr>
          <w:rFonts w:ascii="Arial" w:hAnsi="Arial" w:cs="Arial"/>
          <w:sz w:val="22"/>
          <w:szCs w:val="22"/>
        </w:rPr>
        <w:t>.</w:t>
      </w:r>
    </w:p>
    <w:p w14:paraId="4101652C" w14:textId="77777777" w:rsidR="005608E9" w:rsidRPr="002A4C4D" w:rsidRDefault="005608E9" w:rsidP="005608E9">
      <w:pPr>
        <w:ind w:left="426"/>
        <w:rPr>
          <w:rFonts w:ascii="Arial" w:hAnsi="Arial" w:cs="Arial"/>
          <w:sz w:val="22"/>
          <w:szCs w:val="22"/>
        </w:rPr>
      </w:pPr>
    </w:p>
    <w:p w14:paraId="7120CFED"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14:paraId="6B172BE5"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30B2115C" w14:textId="77777777"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14:paraId="168A453F" w14:textId="77777777" w:rsidR="00F052F5" w:rsidRPr="00F15972" w:rsidRDefault="00F052F5" w:rsidP="00F052F5">
      <w:pPr>
        <w:numPr>
          <w:ilvl w:val="0"/>
          <w:numId w:val="6"/>
        </w:numPr>
        <w:tabs>
          <w:tab w:val="clear" w:pos="717"/>
          <w:tab w:val="num" w:pos="851"/>
        </w:tabs>
        <w:ind w:left="851" w:hanging="426"/>
        <w:rPr>
          <w:rFonts w:ascii="Arial" w:hAnsi="Arial" w:cs="Arial"/>
          <w:sz w:val="22"/>
          <w:szCs w:val="22"/>
        </w:rPr>
      </w:pPr>
      <w:r w:rsidRPr="00F15972">
        <w:rPr>
          <w:rFonts w:ascii="Arial" w:hAnsi="Arial" w:cs="Arial"/>
          <w:b/>
          <w:sz w:val="22"/>
          <w:szCs w:val="22"/>
        </w:rPr>
        <w:t>60 měsíců</w:t>
      </w:r>
      <w:r w:rsidRPr="00F15972">
        <w:rPr>
          <w:rFonts w:ascii="Arial" w:hAnsi="Arial" w:cs="Arial"/>
          <w:sz w:val="22"/>
          <w:szCs w:val="22"/>
        </w:rPr>
        <w:t xml:space="preserve"> na veškeré stavební práce a dodaný materiál, </w:t>
      </w:r>
    </w:p>
    <w:p w14:paraId="008B5B3D" w14:textId="77777777"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F15972">
        <w:rPr>
          <w:rFonts w:ascii="Arial" w:hAnsi="Arial" w:cs="Arial"/>
          <w:b/>
          <w:sz w:val="22"/>
          <w:szCs w:val="22"/>
        </w:rPr>
        <w:t>24 měsíců</w:t>
      </w:r>
      <w:r w:rsidRPr="00F15972">
        <w:rPr>
          <w:rFonts w:ascii="Arial" w:hAnsi="Arial" w:cs="Arial"/>
          <w:sz w:val="22"/>
          <w:szCs w:val="22"/>
        </w:rPr>
        <w:t xml:space="preserve"> pro výrobky a zařízení, která jsou doložena záručními listy poskytnutými jejich výrobci</w:t>
      </w:r>
      <w:r w:rsidRPr="0099361B">
        <w:rPr>
          <w:rFonts w:ascii="Arial" w:hAnsi="Arial" w:cs="Arial"/>
          <w:sz w:val="22"/>
          <w:szCs w:val="22"/>
        </w:rPr>
        <w:t xml:space="preserve"> nebo dodavateli</w:t>
      </w:r>
      <w:r>
        <w:rPr>
          <w:rFonts w:ascii="Arial" w:hAnsi="Arial" w:cs="Arial"/>
          <w:sz w:val="22"/>
          <w:szCs w:val="22"/>
        </w:rPr>
        <w:t xml:space="preserve">, seznam výrobků a zařízení bude oboustranně podepsaný </w:t>
      </w:r>
    </w:p>
    <w:p w14:paraId="23EC4C12"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14:paraId="53039973"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14:paraId="421160C8"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14:paraId="1AA09E9C"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14:paraId="66E879EC"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14:paraId="38B75672" w14:textId="77777777"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14:paraId="4B99056E" w14:textId="77777777" w:rsidR="00F052F5" w:rsidRDefault="00F052F5" w:rsidP="00F052F5">
      <w:pPr>
        <w:rPr>
          <w:rFonts w:ascii="Arial" w:hAnsi="Arial" w:cs="Arial"/>
          <w:sz w:val="22"/>
          <w:szCs w:val="22"/>
        </w:rPr>
      </w:pPr>
    </w:p>
    <w:p w14:paraId="23FBF67B" w14:textId="77777777"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14:paraId="1ED7B8D9"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14:paraId="206E7A6C"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14:paraId="2A6769F8"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71A7A5F2"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14:paraId="35B3135C" w14:textId="77777777"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14:paraId="0117218F"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14:paraId="194AAF48" w14:textId="77777777"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14:paraId="30C1740B" w14:textId="77777777"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14:paraId="03BC77E3" w14:textId="77777777"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14:paraId="15D14F82" w14:textId="77777777"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14:paraId="49E2EF85" w14:textId="77777777"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14:paraId="763CA391" w14:textId="77777777"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14:paraId="7EF5CD37"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14:paraId="68B294E1" w14:textId="77777777"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14:paraId="1299C43A" w14:textId="77777777" w:rsidR="00F052F5" w:rsidRDefault="00F052F5" w:rsidP="00F052F5">
      <w:pPr>
        <w:rPr>
          <w:rFonts w:ascii="Arial" w:hAnsi="Arial" w:cs="Arial"/>
          <w:sz w:val="22"/>
          <w:szCs w:val="22"/>
        </w:rPr>
      </w:pPr>
    </w:p>
    <w:p w14:paraId="6CDF6028" w14:textId="77777777"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14:paraId="2CB5B40B"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14:paraId="3C3F7A8A" w14:textId="77777777"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365341B0"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w:t>
      </w:r>
      <w:proofErr w:type="gramStart"/>
      <w:r w:rsidRPr="00F052F5">
        <w:rPr>
          <w:rFonts w:ascii="Arial" w:hAnsi="Arial" w:cs="Arial"/>
        </w:rPr>
        <w:t>tzn.</w:t>
      </w:r>
      <w:proofErr w:type="gramEnd"/>
      <w:r w:rsidRPr="00F052F5">
        <w:rPr>
          <w:rFonts w:ascii="Arial" w:hAnsi="Arial" w:cs="Arial"/>
        </w:rPr>
        <w:t xml:space="preserve"> částka smluvní pokuty se do výše náhrady škody </w:t>
      </w:r>
      <w:proofErr w:type="gramStart"/>
      <w:r w:rsidRPr="00F052F5">
        <w:rPr>
          <w:rFonts w:ascii="Arial" w:hAnsi="Arial" w:cs="Arial"/>
        </w:rPr>
        <w:t>nezapočítává</w:t>
      </w:r>
      <w:proofErr w:type="gramEnd"/>
      <w:r w:rsidRPr="00F052F5">
        <w:rPr>
          <w:rFonts w:ascii="Arial" w:hAnsi="Arial" w:cs="Arial"/>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14:paraId="483420B0"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00E93E1A">
        <w:rPr>
          <w:rFonts w:ascii="Arial" w:hAnsi="Arial" w:cs="Arial"/>
          <w:color w:val="0000CC"/>
          <w:u w:val="single"/>
        </w:rPr>
        <w:t>přílohy č. 4</w:t>
      </w:r>
      <w:r w:rsidRPr="00F052F5">
        <w:rPr>
          <w:rFonts w:ascii="Arial" w:hAnsi="Arial" w:cs="Arial"/>
        </w:rPr>
        <w:t> smlouvy (Smluvní pokuty při nedodržení BOZP). Rozhodne-li Objednatel o udělení této smluvní pokuty, je Zhotovitel povinen ji Objednateli uhradit.</w:t>
      </w:r>
    </w:p>
    <w:p w14:paraId="6DAC8345" w14:textId="77777777"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14:paraId="4DDBEF00" w14:textId="77777777" w:rsidR="009C59A3" w:rsidRPr="009C59A3" w:rsidRDefault="009C59A3" w:rsidP="009C59A3">
      <w:pPr>
        <w:tabs>
          <w:tab w:val="left" w:pos="0"/>
        </w:tabs>
        <w:jc w:val="center"/>
        <w:rPr>
          <w:rFonts w:ascii="Arial" w:hAnsi="Arial" w:cs="Arial"/>
          <w:sz w:val="22"/>
          <w:szCs w:val="22"/>
        </w:rPr>
      </w:pPr>
    </w:p>
    <w:p w14:paraId="1AE306E5" w14:textId="77777777"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14:paraId="2641A6E8"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1E0CBFFB" w14:textId="77777777"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14:paraId="1E1F3094"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7AE45572"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14:paraId="3034EFC0"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14:paraId="0EFDDA26" w14:textId="77777777"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14:paraId="094AD7F5" w14:textId="77777777"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14:paraId="1FBD1BD6" w14:textId="77777777"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14:paraId="3461D779" w14:textId="77777777" w:rsidR="000967DD" w:rsidRDefault="000967DD">
      <w:pPr>
        <w:ind w:left="426"/>
        <w:rPr>
          <w:rFonts w:ascii="Arial" w:hAnsi="Arial" w:cs="Arial"/>
          <w:sz w:val="22"/>
          <w:szCs w:val="22"/>
        </w:rPr>
      </w:pPr>
    </w:p>
    <w:p w14:paraId="7197D24E"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14:paraId="1C02973E" w14:textId="77777777"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14:paraId="3CF2D8B6" w14:textId="77777777"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14:paraId="43A86AC9" w14:textId="77777777"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14:paraId="7AAEB869"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14:paraId="4FEBA854" w14:textId="77777777"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4560C9BB"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3DE368CA"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B7CB0D5"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14:paraId="4F0BEA21"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3F7170E3"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14:paraId="4A35591A" w14:textId="77777777"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14:paraId="00506777" w14:textId="77777777"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14:paraId="2C93C590" w14:textId="77777777" w:rsidR="00894B88" w:rsidRDefault="00894B88" w:rsidP="00894B88">
      <w:pPr>
        <w:pStyle w:val="Odstavecsmlouvy"/>
        <w:ind w:left="708" w:firstLine="0"/>
        <w:jc w:val="left"/>
      </w:pPr>
      <w:r w:rsidRPr="008F3833">
        <w:t xml:space="preserve">Příloha č. </w:t>
      </w:r>
      <w:r w:rsidR="002E0ADE" w:rsidRPr="00EB3872">
        <w:t>1</w:t>
      </w:r>
      <w:r w:rsidRPr="00EB3872">
        <w:t xml:space="preserve"> – Specifikace předmětu plnění (prací a dodávek) - položkový rozpočet</w:t>
      </w:r>
      <w:r w:rsidR="00B060CD" w:rsidRPr="00EB3872">
        <w:t>/cenová nabídka zhotovitele</w:t>
      </w:r>
      <w:r>
        <w:t xml:space="preserve"> </w:t>
      </w:r>
    </w:p>
    <w:p w14:paraId="30B4B522" w14:textId="77777777" w:rsidR="004D46D2" w:rsidRPr="008F3833" w:rsidRDefault="00454F43" w:rsidP="004D46D2">
      <w:pPr>
        <w:pStyle w:val="Odstavecsmlouvy"/>
        <w:ind w:left="708" w:firstLine="0"/>
        <w:jc w:val="left"/>
      </w:pPr>
      <w:r>
        <w:t>Příloha č. 2</w:t>
      </w:r>
      <w:r w:rsidR="004D46D2" w:rsidRPr="008F3833">
        <w:t xml:space="preserve"> – Technologické a de</w:t>
      </w:r>
      <w:r w:rsidR="004D46D2">
        <w:t>z</w:t>
      </w:r>
      <w:r w:rsidR="004D46D2" w:rsidRPr="008F3833">
        <w:t>infekční postupy FN</w:t>
      </w:r>
    </w:p>
    <w:p w14:paraId="2B145C42" w14:textId="77777777" w:rsidR="00894B88" w:rsidRDefault="00454F43" w:rsidP="00894B88">
      <w:pPr>
        <w:pStyle w:val="Odstavecsmlouvy"/>
        <w:ind w:left="708" w:firstLine="0"/>
        <w:jc w:val="left"/>
      </w:pPr>
      <w:r>
        <w:t>Příloha č. 3</w:t>
      </w:r>
      <w:r w:rsidR="00894B88" w:rsidRPr="002A4C4D">
        <w:t xml:space="preserve"> – </w:t>
      </w:r>
      <w:r w:rsidR="00894B88">
        <w:t>S</w:t>
      </w:r>
      <w:r w:rsidR="00894B88" w:rsidRPr="002A4C4D">
        <w:t>měrnice R/FN Brno/0580 Provádění činností se zvýšeným požárním nebezpečím</w:t>
      </w:r>
    </w:p>
    <w:p w14:paraId="52615B2E" w14:textId="77777777" w:rsidR="00894B88" w:rsidRDefault="00454F43" w:rsidP="00894B88">
      <w:pPr>
        <w:pStyle w:val="Odstavecsmlouvy"/>
        <w:ind w:left="708" w:firstLine="0"/>
        <w:jc w:val="left"/>
      </w:pPr>
      <w:r>
        <w:t>Příloha č. 4</w:t>
      </w:r>
      <w:r w:rsidR="00894B88">
        <w:t xml:space="preserve"> – Smluvní pokuty při porušení BOZP</w:t>
      </w:r>
    </w:p>
    <w:p w14:paraId="2F254813" w14:textId="77777777" w:rsidR="00B060CD" w:rsidRDefault="00B060CD" w:rsidP="00B060CD">
      <w:pPr>
        <w:pStyle w:val="Odstavecsmlouvy"/>
        <w:ind w:left="708" w:firstLine="0"/>
        <w:jc w:val="left"/>
      </w:pPr>
      <w:r>
        <w:t xml:space="preserve">Příloha </w:t>
      </w:r>
      <w:r w:rsidR="00454F43">
        <w:t>č. 5</w:t>
      </w:r>
      <w:r w:rsidRPr="008F3833">
        <w:t xml:space="preserve"> – Harmonogram </w:t>
      </w:r>
      <w:r w:rsidRPr="00934438">
        <w:t xml:space="preserve">prací </w:t>
      </w:r>
    </w:p>
    <w:p w14:paraId="2B6827C4" w14:textId="77777777" w:rsidR="00CD33B8" w:rsidRDefault="00454F43" w:rsidP="00CD33B8">
      <w:pPr>
        <w:pStyle w:val="Odstavecsmlouvy"/>
        <w:ind w:left="708" w:firstLine="0"/>
        <w:jc w:val="left"/>
      </w:pPr>
      <w:r>
        <w:t>Příloha č. 6</w:t>
      </w:r>
      <w:r w:rsidR="00894220">
        <w:t xml:space="preserve"> – Kusovník jednotlivých prvků a zařízení</w:t>
      </w:r>
      <w:r w:rsidR="002F5101">
        <w:t xml:space="preserve"> </w:t>
      </w:r>
    </w:p>
    <w:p w14:paraId="62933808" w14:textId="77777777" w:rsidR="004D46D2" w:rsidRDefault="004D46D2" w:rsidP="00CD33B8">
      <w:pPr>
        <w:pStyle w:val="Odstavecsmlouvy"/>
        <w:ind w:left="708" w:firstLine="0"/>
        <w:jc w:val="left"/>
      </w:pPr>
      <w:r>
        <w:t>Smluvní strany prohlašují, že je jim znám celý obsah smlouvy a že ji uzavřely na základě své svobodné a vážné vůle; na důkaz této skutečnosti připojují své podpisy.</w:t>
      </w:r>
    </w:p>
    <w:p w14:paraId="0FB78278" w14:textId="77777777" w:rsidR="004D46D2" w:rsidRDefault="004D46D2" w:rsidP="004D46D2">
      <w:pPr>
        <w:pStyle w:val="Odstavecsmlouvy"/>
        <w:ind w:firstLine="0"/>
      </w:pPr>
    </w:p>
    <w:tbl>
      <w:tblPr>
        <w:tblW w:w="0" w:type="auto"/>
        <w:tblInd w:w="567" w:type="dxa"/>
        <w:tblLook w:val="04A0" w:firstRow="1" w:lastRow="0" w:firstColumn="1" w:lastColumn="0" w:noHBand="0" w:noVBand="1"/>
      </w:tblPr>
      <w:tblGrid>
        <w:gridCol w:w="3703"/>
        <w:gridCol w:w="983"/>
        <w:gridCol w:w="3819"/>
      </w:tblGrid>
      <w:tr w:rsidR="004D46D2" w:rsidRPr="00D722DC" w14:paraId="4BD2B5D9" w14:textId="77777777" w:rsidTr="5B815CBE">
        <w:tc>
          <w:tcPr>
            <w:tcW w:w="3802" w:type="dxa"/>
            <w:shd w:val="clear" w:color="auto" w:fill="auto"/>
          </w:tcPr>
          <w:p w14:paraId="31EE7EA9" w14:textId="1F1069C6" w:rsidR="004D46D2" w:rsidRPr="00D722DC" w:rsidRDefault="004D46D2" w:rsidP="0079546E">
            <w:pPr>
              <w:pStyle w:val="slovn"/>
              <w:numPr>
                <w:ilvl w:val="0"/>
                <w:numId w:val="0"/>
              </w:numPr>
              <w:tabs>
                <w:tab w:val="num" w:pos="567"/>
              </w:tabs>
              <w:spacing w:after="0" w:line="280" w:lineRule="atLeast"/>
              <w:jc w:val="left"/>
              <w:rPr>
                <w:sz w:val="22"/>
                <w:szCs w:val="22"/>
              </w:rPr>
            </w:pPr>
            <w:r w:rsidRPr="00D722DC">
              <w:rPr>
                <w:sz w:val="22"/>
                <w:szCs w:val="22"/>
              </w:rPr>
              <w:t>V</w:t>
            </w:r>
            <w:r w:rsidR="00CD33B8">
              <w:rPr>
                <w:sz w:val="22"/>
                <w:szCs w:val="22"/>
              </w:rPr>
              <w:t> Brně</w:t>
            </w:r>
            <w:r w:rsidRPr="00D722DC">
              <w:rPr>
                <w:sz w:val="22"/>
                <w:szCs w:val="22"/>
              </w:rPr>
              <w:t xml:space="preserve"> dne</w:t>
            </w:r>
            <w:r w:rsidR="00CD33B8">
              <w:rPr>
                <w:sz w:val="22"/>
                <w:szCs w:val="22"/>
              </w:rPr>
              <w:t xml:space="preserve">: </w:t>
            </w:r>
          </w:p>
        </w:tc>
        <w:tc>
          <w:tcPr>
            <w:tcW w:w="1030" w:type="dxa"/>
            <w:shd w:val="clear" w:color="auto" w:fill="auto"/>
          </w:tcPr>
          <w:p w14:paraId="1FC39945"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14:paraId="430EEBB4" w14:textId="77777777" w:rsidR="004D46D2" w:rsidRPr="00D722DC" w:rsidRDefault="004D46D2" w:rsidP="00894B88">
            <w:pPr>
              <w:pStyle w:val="slovn"/>
              <w:numPr>
                <w:ilvl w:val="0"/>
                <w:numId w:val="0"/>
              </w:numPr>
              <w:tabs>
                <w:tab w:val="num" w:pos="567"/>
              </w:tabs>
              <w:spacing w:after="0" w:line="280" w:lineRule="atLeast"/>
              <w:rPr>
                <w:sz w:val="22"/>
                <w:szCs w:val="22"/>
              </w:rPr>
            </w:pPr>
            <w:r w:rsidRPr="00D722DC">
              <w:rPr>
                <w:sz w:val="22"/>
                <w:szCs w:val="22"/>
              </w:rPr>
              <w:t>V Brně dne</w:t>
            </w:r>
          </w:p>
        </w:tc>
      </w:tr>
      <w:tr w:rsidR="004D46D2" w:rsidRPr="00D722DC" w14:paraId="0562CB0E" w14:textId="77777777" w:rsidTr="5B815CBE">
        <w:tc>
          <w:tcPr>
            <w:tcW w:w="3802" w:type="dxa"/>
            <w:tcBorders>
              <w:bottom w:val="single" w:sz="4" w:space="0" w:color="auto"/>
            </w:tcBorders>
            <w:shd w:val="clear" w:color="auto" w:fill="auto"/>
          </w:tcPr>
          <w:p w14:paraId="34CE0A41" w14:textId="77777777" w:rsidR="004D46D2" w:rsidRPr="00D722DC" w:rsidRDefault="004D46D2" w:rsidP="00894B88">
            <w:pPr>
              <w:pStyle w:val="slovn"/>
              <w:numPr>
                <w:ilvl w:val="0"/>
                <w:numId w:val="0"/>
              </w:numPr>
              <w:tabs>
                <w:tab w:val="num" w:pos="567"/>
              </w:tabs>
              <w:spacing w:after="0" w:line="280" w:lineRule="atLeast"/>
              <w:rPr>
                <w:sz w:val="22"/>
                <w:szCs w:val="22"/>
              </w:rPr>
            </w:pPr>
          </w:p>
          <w:p w14:paraId="62EBF3C5" w14:textId="77777777" w:rsidR="004D46D2" w:rsidRDefault="004D46D2" w:rsidP="00894B88">
            <w:pPr>
              <w:pStyle w:val="slovn"/>
              <w:numPr>
                <w:ilvl w:val="0"/>
                <w:numId w:val="0"/>
              </w:numPr>
              <w:tabs>
                <w:tab w:val="num" w:pos="567"/>
              </w:tabs>
              <w:spacing w:after="0" w:line="280" w:lineRule="atLeast"/>
              <w:rPr>
                <w:sz w:val="22"/>
                <w:szCs w:val="22"/>
              </w:rPr>
            </w:pPr>
          </w:p>
          <w:p w14:paraId="6D98A12B" w14:textId="77777777" w:rsidR="004D46D2" w:rsidRDefault="004D46D2" w:rsidP="00894B88">
            <w:pPr>
              <w:pStyle w:val="slovn"/>
              <w:numPr>
                <w:ilvl w:val="0"/>
                <w:numId w:val="0"/>
              </w:numPr>
              <w:tabs>
                <w:tab w:val="num" w:pos="567"/>
              </w:tabs>
              <w:spacing w:after="0" w:line="280" w:lineRule="atLeast"/>
              <w:rPr>
                <w:sz w:val="22"/>
                <w:szCs w:val="22"/>
              </w:rPr>
            </w:pPr>
          </w:p>
          <w:p w14:paraId="2946DB82" w14:textId="77777777" w:rsidR="004D46D2" w:rsidRPr="00D722DC" w:rsidRDefault="004D46D2" w:rsidP="00894B88">
            <w:pPr>
              <w:pStyle w:val="slovn"/>
              <w:numPr>
                <w:ilvl w:val="0"/>
                <w:numId w:val="0"/>
              </w:numPr>
              <w:tabs>
                <w:tab w:val="num" w:pos="567"/>
              </w:tabs>
              <w:spacing w:after="0" w:line="280" w:lineRule="atLeast"/>
              <w:rPr>
                <w:sz w:val="22"/>
                <w:szCs w:val="22"/>
              </w:rPr>
            </w:pPr>
          </w:p>
          <w:p w14:paraId="5997CC1D"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14:paraId="110FFD37"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6B699379" w14:textId="77777777" w:rsidR="004D46D2" w:rsidRPr="00D722DC" w:rsidRDefault="004D46D2" w:rsidP="00894B88">
            <w:pPr>
              <w:pStyle w:val="slovn"/>
              <w:numPr>
                <w:ilvl w:val="0"/>
                <w:numId w:val="0"/>
              </w:numPr>
              <w:tabs>
                <w:tab w:val="num" w:pos="567"/>
              </w:tabs>
              <w:spacing w:after="0" w:line="280" w:lineRule="atLeast"/>
              <w:rPr>
                <w:sz w:val="22"/>
                <w:szCs w:val="22"/>
              </w:rPr>
            </w:pPr>
          </w:p>
        </w:tc>
      </w:tr>
      <w:tr w:rsidR="004D46D2" w:rsidRPr="00D722DC" w14:paraId="319A1D5F" w14:textId="77777777" w:rsidTr="5B815CBE">
        <w:tc>
          <w:tcPr>
            <w:tcW w:w="3802" w:type="dxa"/>
            <w:tcBorders>
              <w:top w:val="single" w:sz="4" w:space="0" w:color="auto"/>
            </w:tcBorders>
            <w:shd w:val="clear" w:color="auto" w:fill="auto"/>
          </w:tcPr>
          <w:p w14:paraId="2413F673" w14:textId="77777777" w:rsidR="00CD33B8" w:rsidRDefault="00CD33B8" w:rsidP="00894B88">
            <w:pPr>
              <w:pStyle w:val="slovn"/>
              <w:numPr>
                <w:ilvl w:val="0"/>
                <w:numId w:val="0"/>
              </w:numPr>
              <w:tabs>
                <w:tab w:val="num" w:pos="567"/>
              </w:tabs>
              <w:spacing w:after="0" w:line="280" w:lineRule="atLeast"/>
              <w:jc w:val="center"/>
              <w:rPr>
                <w:sz w:val="22"/>
                <w:szCs w:val="22"/>
              </w:rPr>
            </w:pPr>
            <w:r>
              <w:rPr>
                <w:b/>
                <w:sz w:val="22"/>
                <w:szCs w:val="22"/>
              </w:rPr>
              <w:t>TZ pro, s.r.o.</w:t>
            </w:r>
          </w:p>
          <w:p w14:paraId="1F64738A" w14:textId="70A8986A" w:rsidR="004D46D2" w:rsidRPr="00CD33B8" w:rsidRDefault="00B74680" w:rsidP="00CD33B8">
            <w:pPr>
              <w:jc w:val="center"/>
              <w:rPr>
                <w:lang w:eastAsia="cs-CZ"/>
              </w:rPr>
            </w:pPr>
            <w:r>
              <w:rPr>
                <w:lang w:eastAsia="cs-CZ"/>
              </w:rPr>
              <w:t>XXXXXXXXXXX</w:t>
            </w:r>
            <w:r w:rsidR="00CD33B8">
              <w:rPr>
                <w:lang w:eastAsia="cs-CZ"/>
              </w:rPr>
              <w:t xml:space="preserve"> - jednatel</w:t>
            </w:r>
          </w:p>
        </w:tc>
        <w:tc>
          <w:tcPr>
            <w:tcW w:w="1030" w:type="dxa"/>
            <w:shd w:val="clear" w:color="auto" w:fill="auto"/>
          </w:tcPr>
          <w:p w14:paraId="3FE9F23F" w14:textId="77777777"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3C23F2EC" w14:textId="77777777" w:rsidR="004D46D2"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F72F646" w14:textId="77777777" w:rsidR="00CD33B8" w:rsidRPr="00D722DC" w:rsidRDefault="00CD33B8" w:rsidP="00894B88">
            <w:pPr>
              <w:pStyle w:val="slovn"/>
              <w:numPr>
                <w:ilvl w:val="0"/>
                <w:numId w:val="0"/>
              </w:numPr>
              <w:tabs>
                <w:tab w:val="num" w:pos="567"/>
              </w:tabs>
              <w:spacing w:after="0" w:line="280" w:lineRule="atLeast"/>
              <w:jc w:val="center"/>
              <w:rPr>
                <w:b/>
                <w:sz w:val="22"/>
                <w:szCs w:val="22"/>
              </w:rPr>
            </w:pPr>
          </w:p>
          <w:p w14:paraId="08CE6F91" w14:textId="0CDCBEA0" w:rsidR="004D46D2" w:rsidRPr="00D722DC" w:rsidRDefault="00B74680" w:rsidP="00894B88">
            <w:pPr>
              <w:pStyle w:val="slovn"/>
              <w:numPr>
                <w:ilvl w:val="1"/>
                <w:numId w:val="0"/>
              </w:numPr>
              <w:tabs>
                <w:tab w:val="num" w:pos="567"/>
              </w:tabs>
              <w:spacing w:after="0" w:line="280" w:lineRule="atLeast"/>
              <w:jc w:val="center"/>
              <w:rPr>
                <w:sz w:val="22"/>
                <w:szCs w:val="22"/>
              </w:rPr>
            </w:pPr>
            <w:r>
              <w:rPr>
                <w:sz w:val="22"/>
                <w:szCs w:val="22"/>
              </w:rPr>
              <w:t>XXXXXXXXXXXXXXXX</w:t>
            </w:r>
            <w:r w:rsidR="55B6E8F2" w:rsidRPr="5B815CBE">
              <w:rPr>
                <w:sz w:val="22"/>
                <w:szCs w:val="22"/>
              </w:rPr>
              <w:t>., ředitel</w:t>
            </w:r>
          </w:p>
          <w:p w14:paraId="61CDCEAD" w14:textId="77777777"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14:paraId="6BB9E253" w14:textId="77777777" w:rsidR="004D46D2" w:rsidRDefault="004D46D2" w:rsidP="004D46D2">
      <w:pPr>
        <w:rPr>
          <w:rFonts w:ascii="Arial" w:hAnsi="Arial" w:cs="Arial"/>
          <w:sz w:val="22"/>
          <w:szCs w:val="22"/>
        </w:rPr>
      </w:pPr>
    </w:p>
    <w:p w14:paraId="23DE523C" w14:textId="77777777"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14:paraId="52E56223" w14:textId="77777777" w:rsidR="00894B88" w:rsidRPr="00344223" w:rsidRDefault="00894B88" w:rsidP="004D46D2">
      <w:pPr>
        <w:jc w:val="center"/>
        <w:rPr>
          <w:rFonts w:ascii="Arial" w:hAnsi="Arial" w:cs="Arial"/>
          <w:b/>
          <w:sz w:val="22"/>
          <w:szCs w:val="22"/>
          <w:u w:val="single"/>
        </w:rPr>
      </w:pPr>
    </w:p>
    <w:p w14:paraId="5BA6A993" w14:textId="77777777"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14:paraId="48CCDD03" w14:textId="77777777"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14:paraId="07547A01" w14:textId="77777777" w:rsidR="00894B88" w:rsidRDefault="00894B88" w:rsidP="00894B88">
      <w:pPr>
        <w:rPr>
          <w:rFonts w:ascii="Arial" w:hAnsi="Arial" w:cs="Arial"/>
          <w:b/>
          <w:sz w:val="22"/>
          <w:szCs w:val="22"/>
        </w:rPr>
      </w:pPr>
    </w:p>
    <w:p w14:paraId="5043CB0F" w14:textId="77777777" w:rsidR="00894B88" w:rsidRDefault="00F65ED9" w:rsidP="00894B88">
      <w:pPr>
        <w:rPr>
          <w:rFonts w:ascii="Arial" w:hAnsi="Arial" w:cs="Arial"/>
          <w:sz w:val="22"/>
          <w:szCs w:val="22"/>
        </w:rPr>
      </w:pPr>
      <w:r>
        <w:rPr>
          <w:noProof/>
          <w:lang w:eastAsia="cs-CZ"/>
        </w:rPr>
        <w:drawing>
          <wp:inline distT="0" distB="0" distL="0" distR="0" wp14:anchorId="47016D55" wp14:editId="09140764">
            <wp:extent cx="6310426" cy="4275117"/>
            <wp:effectExtent l="0" t="0" r="0" b="0"/>
            <wp:docPr id="11838326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8">
                      <a:extLst>
                        <a:ext uri="{28A0092B-C50C-407E-A947-70E740481C1C}">
                          <a14:useLocalDpi xmlns:a14="http://schemas.microsoft.com/office/drawing/2010/main" val="0"/>
                        </a:ext>
                      </a:extLst>
                    </a:blip>
                    <a:stretch>
                      <a:fillRect/>
                    </a:stretch>
                  </pic:blipFill>
                  <pic:spPr>
                    <a:xfrm>
                      <a:off x="0" y="0"/>
                      <a:ext cx="6310426" cy="4275117"/>
                    </a:xfrm>
                    <a:prstGeom prst="rect">
                      <a:avLst/>
                    </a:prstGeom>
                  </pic:spPr>
                </pic:pic>
              </a:graphicData>
            </a:graphic>
          </wp:inline>
        </w:drawing>
      </w:r>
      <w:r w:rsidRPr="5B815CBE">
        <w:rPr>
          <w:rFonts w:ascii="Arial" w:hAnsi="Arial" w:cs="Arial"/>
          <w:sz w:val="22"/>
          <w:szCs w:val="22"/>
        </w:rPr>
        <w:br w:type="page"/>
      </w:r>
    </w:p>
    <w:p w14:paraId="07459315" w14:textId="77777777" w:rsidR="002E0ADE" w:rsidRPr="00A724B0" w:rsidRDefault="002E0ADE" w:rsidP="00454F43">
      <w:pPr>
        <w:rPr>
          <w:rFonts w:ascii="Arial" w:hAnsi="Arial" w:cs="Arial"/>
          <w:b/>
          <w:sz w:val="22"/>
          <w:szCs w:val="22"/>
          <w:u w:val="single"/>
        </w:rPr>
        <w:sectPr w:rsidR="002E0ADE" w:rsidRPr="00A724B0">
          <w:footerReference w:type="default" r:id="rId9"/>
          <w:pgSz w:w="11906" w:h="16838"/>
          <w:pgMar w:top="1417" w:right="1417" w:bottom="1417" w:left="1417" w:header="708" w:footer="708" w:gutter="0"/>
          <w:cols w:space="708"/>
          <w:docGrid w:linePitch="600" w:charSpace="32768"/>
        </w:sectPr>
      </w:pPr>
    </w:p>
    <w:p w14:paraId="6537F28F" w14:textId="77777777" w:rsidR="00894B88" w:rsidRPr="00344223" w:rsidRDefault="00894B88" w:rsidP="004D46D2">
      <w:pPr>
        <w:jc w:val="center"/>
        <w:rPr>
          <w:rFonts w:ascii="Arial" w:hAnsi="Arial" w:cs="Arial"/>
          <w:b/>
          <w:sz w:val="22"/>
          <w:szCs w:val="22"/>
          <w:u w:val="single"/>
        </w:rPr>
      </w:pPr>
    </w:p>
    <w:p w14:paraId="71BB6AC3" w14:textId="77777777" w:rsidR="004D46D2" w:rsidRPr="00344223" w:rsidRDefault="00454F43" w:rsidP="004D46D2">
      <w:pPr>
        <w:suppressAutoHyphens w:val="0"/>
        <w:spacing w:before="0"/>
        <w:jc w:val="center"/>
        <w:rPr>
          <w:rFonts w:ascii="Arial" w:hAnsi="Arial" w:cs="Arial"/>
          <w:b/>
          <w:sz w:val="22"/>
          <w:szCs w:val="22"/>
          <w:u w:val="single"/>
        </w:rPr>
      </w:pPr>
      <w:r>
        <w:rPr>
          <w:rFonts w:ascii="Arial" w:hAnsi="Arial" w:cs="Arial"/>
          <w:b/>
          <w:sz w:val="22"/>
          <w:szCs w:val="22"/>
          <w:u w:val="single"/>
        </w:rPr>
        <w:t>Příloha č. 2</w:t>
      </w:r>
    </w:p>
    <w:p w14:paraId="452B0623"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14:paraId="6DFB9E20" w14:textId="77777777" w:rsidR="004D46D2" w:rsidRDefault="004D46D2" w:rsidP="004D46D2">
      <w:pPr>
        <w:suppressAutoHyphens w:val="0"/>
        <w:spacing w:before="0"/>
        <w:jc w:val="left"/>
        <w:rPr>
          <w:rFonts w:ascii="Arial" w:hAnsi="Arial" w:cs="Arial"/>
          <w:sz w:val="22"/>
          <w:szCs w:val="22"/>
        </w:rPr>
      </w:pPr>
    </w:p>
    <w:p w14:paraId="70DF9E56" w14:textId="77777777" w:rsidR="004D46D2" w:rsidRDefault="004D46D2" w:rsidP="004D46D2">
      <w:pPr>
        <w:suppressAutoHyphens w:val="0"/>
        <w:spacing w:before="0"/>
        <w:jc w:val="left"/>
        <w:rPr>
          <w:rFonts w:ascii="Arial" w:hAnsi="Arial" w:cs="Arial"/>
          <w:sz w:val="22"/>
          <w:szCs w:val="22"/>
        </w:rPr>
      </w:pPr>
    </w:p>
    <w:p w14:paraId="44E871BC" w14:textId="47FECE89" w:rsidR="004D46D2" w:rsidRDefault="004D46D2" w:rsidP="004D46D2">
      <w:pPr>
        <w:suppressAutoHyphens w:val="0"/>
        <w:spacing w:before="0"/>
        <w:jc w:val="left"/>
        <w:rPr>
          <w:rFonts w:ascii="Arial" w:hAnsi="Arial" w:cs="Arial"/>
          <w:sz w:val="22"/>
          <w:szCs w:val="22"/>
        </w:rPr>
      </w:pPr>
    </w:p>
    <w:p w14:paraId="144A5D23" w14:textId="77777777" w:rsidR="004D46D2" w:rsidRDefault="004D46D2" w:rsidP="004D46D2">
      <w:pPr>
        <w:suppressAutoHyphens w:val="0"/>
        <w:spacing w:before="0"/>
        <w:jc w:val="left"/>
        <w:rPr>
          <w:rFonts w:ascii="Arial" w:hAnsi="Arial" w:cs="Arial"/>
          <w:sz w:val="22"/>
          <w:szCs w:val="22"/>
        </w:rPr>
      </w:pPr>
    </w:p>
    <w:p w14:paraId="738610EB" w14:textId="77777777" w:rsidR="004D46D2" w:rsidRDefault="004D46D2" w:rsidP="004D46D2">
      <w:pPr>
        <w:jc w:val="center"/>
        <w:rPr>
          <w:rFonts w:ascii="Arial" w:hAnsi="Arial" w:cs="Arial"/>
          <w:b/>
          <w:sz w:val="22"/>
          <w:szCs w:val="22"/>
          <w:u w:val="single"/>
        </w:rPr>
      </w:pPr>
    </w:p>
    <w:p w14:paraId="637805D2" w14:textId="7664C5FF" w:rsidR="004D46D2" w:rsidRPr="00B74680" w:rsidRDefault="00B74680" w:rsidP="004D46D2">
      <w:pPr>
        <w:jc w:val="center"/>
        <w:rPr>
          <w:rFonts w:ascii="Arial" w:hAnsi="Arial" w:cs="Arial"/>
          <w:sz w:val="22"/>
          <w:szCs w:val="22"/>
        </w:rPr>
      </w:pPr>
      <w:r w:rsidRPr="00B74680">
        <w:rPr>
          <w:rFonts w:ascii="Arial" w:hAnsi="Arial" w:cs="Arial"/>
          <w:sz w:val="22"/>
          <w:szCs w:val="22"/>
        </w:rPr>
        <w:t>XXXXXXXXXXXXXXXXXXXXXXXXXX</w:t>
      </w:r>
    </w:p>
    <w:p w14:paraId="463F29E8" w14:textId="66B23814" w:rsidR="004D46D2" w:rsidRDefault="004D46D2" w:rsidP="004D46D2">
      <w:pPr>
        <w:rPr>
          <w:rFonts w:ascii="Arial" w:hAnsi="Arial" w:cs="Arial"/>
          <w:b/>
          <w:sz w:val="22"/>
          <w:szCs w:val="22"/>
          <w:u w:val="single"/>
        </w:rPr>
      </w:pPr>
    </w:p>
    <w:p w14:paraId="3B7B4B86" w14:textId="77777777" w:rsidR="004D46D2" w:rsidRDefault="004D46D2" w:rsidP="004D46D2">
      <w:pPr>
        <w:rPr>
          <w:rFonts w:ascii="Arial" w:hAnsi="Arial" w:cs="Arial"/>
          <w:b/>
          <w:sz w:val="22"/>
          <w:szCs w:val="22"/>
          <w:u w:val="single"/>
        </w:rPr>
      </w:pPr>
    </w:p>
    <w:p w14:paraId="3A0FF5F2" w14:textId="77777777" w:rsidR="004D46D2" w:rsidRDefault="004D46D2" w:rsidP="004D46D2">
      <w:pPr>
        <w:rPr>
          <w:rFonts w:ascii="Arial" w:hAnsi="Arial" w:cs="Arial"/>
          <w:b/>
          <w:sz w:val="22"/>
          <w:szCs w:val="22"/>
          <w:u w:val="single"/>
        </w:rPr>
      </w:pPr>
    </w:p>
    <w:p w14:paraId="5630AD66" w14:textId="77777777" w:rsidR="004D46D2" w:rsidRDefault="004D46D2" w:rsidP="004D46D2">
      <w:pPr>
        <w:rPr>
          <w:rFonts w:ascii="Arial" w:hAnsi="Arial" w:cs="Arial"/>
          <w:b/>
          <w:sz w:val="22"/>
          <w:szCs w:val="22"/>
          <w:u w:val="single"/>
        </w:rPr>
      </w:pPr>
    </w:p>
    <w:p w14:paraId="61829076" w14:textId="59D07551" w:rsidR="004D46D2" w:rsidRDefault="004D46D2" w:rsidP="004D46D2">
      <w:pPr>
        <w:rPr>
          <w:rFonts w:ascii="Arial" w:hAnsi="Arial" w:cs="Arial"/>
          <w:b/>
          <w:sz w:val="22"/>
          <w:szCs w:val="22"/>
          <w:u w:val="single"/>
        </w:rPr>
      </w:pPr>
    </w:p>
    <w:p w14:paraId="2BA226A1" w14:textId="77777777" w:rsidR="004D46D2" w:rsidRDefault="004D46D2" w:rsidP="004D46D2">
      <w:pPr>
        <w:rPr>
          <w:rFonts w:ascii="Arial" w:hAnsi="Arial" w:cs="Arial"/>
          <w:b/>
          <w:sz w:val="22"/>
          <w:szCs w:val="22"/>
          <w:u w:val="single"/>
        </w:rPr>
      </w:pPr>
    </w:p>
    <w:p w14:paraId="17AD93B2" w14:textId="77777777" w:rsidR="004D46D2" w:rsidRDefault="004D46D2" w:rsidP="004D46D2">
      <w:pPr>
        <w:rPr>
          <w:rFonts w:ascii="Arial" w:hAnsi="Arial" w:cs="Arial"/>
          <w:b/>
          <w:sz w:val="22"/>
          <w:szCs w:val="22"/>
          <w:u w:val="single"/>
        </w:rPr>
      </w:pPr>
    </w:p>
    <w:p w14:paraId="0DE4B5B7" w14:textId="05C4BE74" w:rsidR="004D46D2" w:rsidRDefault="004D46D2" w:rsidP="004D46D2">
      <w:pPr>
        <w:rPr>
          <w:rFonts w:ascii="Arial" w:hAnsi="Arial" w:cs="Arial"/>
          <w:b/>
          <w:sz w:val="22"/>
          <w:szCs w:val="22"/>
          <w:u w:val="single"/>
        </w:rPr>
      </w:pPr>
    </w:p>
    <w:p w14:paraId="66204FF1" w14:textId="77777777" w:rsidR="004D46D2" w:rsidRDefault="004D46D2" w:rsidP="004D46D2">
      <w:pPr>
        <w:jc w:val="center"/>
        <w:rPr>
          <w:rFonts w:ascii="Arial" w:hAnsi="Arial" w:cs="Arial"/>
          <w:b/>
          <w:sz w:val="22"/>
          <w:szCs w:val="22"/>
          <w:u w:val="single"/>
        </w:rPr>
        <w:sectPr w:rsidR="004D46D2" w:rsidSect="00B74680">
          <w:footerReference w:type="default" r:id="rId10"/>
          <w:pgSz w:w="11906" w:h="16838"/>
          <w:pgMar w:top="1417" w:right="1417" w:bottom="1417" w:left="1417" w:header="708" w:footer="708" w:gutter="0"/>
          <w:cols w:space="708"/>
          <w:docGrid w:linePitch="600" w:charSpace="32768"/>
        </w:sectPr>
      </w:pPr>
    </w:p>
    <w:p w14:paraId="5F507BCB"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454F43">
        <w:rPr>
          <w:rFonts w:ascii="Arial" w:hAnsi="Arial" w:cs="Arial"/>
          <w:b/>
          <w:sz w:val="22"/>
          <w:szCs w:val="22"/>
          <w:u w:val="single"/>
        </w:rPr>
        <w:t>3</w:t>
      </w:r>
    </w:p>
    <w:p w14:paraId="6E79B1C5" w14:textId="77777777"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14:paraId="2DBF0D7D" w14:textId="77777777" w:rsidR="004D46D2" w:rsidRPr="002526A9" w:rsidRDefault="004D46D2" w:rsidP="004D46D2">
      <w:pPr>
        <w:rPr>
          <w:rFonts w:ascii="Arial" w:hAnsi="Arial" w:cs="Arial"/>
          <w:sz w:val="22"/>
          <w:szCs w:val="22"/>
        </w:rPr>
      </w:pPr>
    </w:p>
    <w:p w14:paraId="40D36757" w14:textId="77777777" w:rsidR="00B74680" w:rsidRDefault="00B74680" w:rsidP="004D46D2">
      <w:pPr>
        <w:jc w:val="center"/>
        <w:rPr>
          <w:rFonts w:ascii="Arial" w:hAnsi="Arial" w:cs="Arial"/>
          <w:b/>
          <w:sz w:val="22"/>
          <w:szCs w:val="22"/>
          <w:u w:val="single"/>
        </w:rPr>
      </w:pPr>
    </w:p>
    <w:p w14:paraId="0CCE2B7E" w14:textId="77777777" w:rsidR="00B74680" w:rsidRDefault="00B74680" w:rsidP="004D46D2">
      <w:pPr>
        <w:jc w:val="center"/>
        <w:rPr>
          <w:rFonts w:ascii="Arial" w:hAnsi="Arial" w:cs="Arial"/>
          <w:b/>
          <w:sz w:val="22"/>
          <w:szCs w:val="22"/>
          <w:u w:val="single"/>
        </w:rPr>
      </w:pPr>
    </w:p>
    <w:p w14:paraId="55CA1873" w14:textId="77777777" w:rsidR="00B74680" w:rsidRDefault="00B74680" w:rsidP="004D46D2">
      <w:pPr>
        <w:jc w:val="center"/>
        <w:rPr>
          <w:rFonts w:ascii="Arial" w:hAnsi="Arial" w:cs="Arial"/>
          <w:b/>
          <w:sz w:val="22"/>
          <w:szCs w:val="22"/>
          <w:u w:val="single"/>
        </w:rPr>
      </w:pPr>
    </w:p>
    <w:p w14:paraId="1C3C2613" w14:textId="77777777" w:rsidR="00B74680" w:rsidRDefault="00B74680" w:rsidP="004D46D2">
      <w:pPr>
        <w:jc w:val="center"/>
        <w:rPr>
          <w:rFonts w:ascii="Arial" w:hAnsi="Arial" w:cs="Arial"/>
          <w:b/>
          <w:sz w:val="22"/>
          <w:szCs w:val="22"/>
          <w:u w:val="single"/>
        </w:rPr>
      </w:pPr>
    </w:p>
    <w:p w14:paraId="311B8D22" w14:textId="77777777" w:rsidR="00B74680" w:rsidRDefault="00B74680" w:rsidP="004D46D2">
      <w:pPr>
        <w:jc w:val="center"/>
        <w:rPr>
          <w:rFonts w:ascii="Arial" w:hAnsi="Arial" w:cs="Arial"/>
          <w:b/>
          <w:sz w:val="22"/>
          <w:szCs w:val="22"/>
          <w:u w:val="single"/>
        </w:rPr>
      </w:pPr>
    </w:p>
    <w:p w14:paraId="3D6B68AF" w14:textId="77777777" w:rsidR="00B74680" w:rsidRDefault="00B74680" w:rsidP="004D46D2">
      <w:pPr>
        <w:jc w:val="center"/>
        <w:rPr>
          <w:rFonts w:ascii="Arial" w:hAnsi="Arial" w:cs="Arial"/>
          <w:b/>
          <w:sz w:val="22"/>
          <w:szCs w:val="22"/>
          <w:u w:val="single"/>
        </w:rPr>
      </w:pPr>
    </w:p>
    <w:p w14:paraId="330949B6" w14:textId="77777777" w:rsidR="00B74680" w:rsidRDefault="00B74680" w:rsidP="004D46D2">
      <w:pPr>
        <w:jc w:val="center"/>
        <w:rPr>
          <w:rFonts w:ascii="Arial" w:hAnsi="Arial" w:cs="Arial"/>
          <w:b/>
          <w:sz w:val="22"/>
          <w:szCs w:val="22"/>
          <w:u w:val="single"/>
        </w:rPr>
      </w:pPr>
    </w:p>
    <w:p w14:paraId="512384B3" w14:textId="429DEF9B" w:rsidR="00B74680" w:rsidRPr="00B74680" w:rsidRDefault="00B74680" w:rsidP="004D46D2">
      <w:pPr>
        <w:jc w:val="center"/>
        <w:rPr>
          <w:rFonts w:ascii="Arial" w:hAnsi="Arial" w:cs="Arial"/>
          <w:sz w:val="22"/>
          <w:szCs w:val="22"/>
        </w:rPr>
      </w:pPr>
      <w:r>
        <w:rPr>
          <w:rFonts w:ascii="Arial" w:hAnsi="Arial" w:cs="Arial"/>
          <w:sz w:val="22"/>
          <w:szCs w:val="22"/>
        </w:rPr>
        <w:t>XXXXXXXXXXXXXXXXXXXXXXXXXX</w:t>
      </w:r>
    </w:p>
    <w:p w14:paraId="0C5B43EC" w14:textId="77777777" w:rsidR="00B74680" w:rsidRDefault="00B74680" w:rsidP="004D46D2">
      <w:pPr>
        <w:jc w:val="center"/>
        <w:rPr>
          <w:rFonts w:ascii="Arial" w:hAnsi="Arial" w:cs="Arial"/>
          <w:b/>
          <w:sz w:val="22"/>
          <w:szCs w:val="22"/>
          <w:u w:val="single"/>
        </w:rPr>
      </w:pPr>
    </w:p>
    <w:p w14:paraId="6AC56E4B" w14:textId="77777777" w:rsidR="00B74680" w:rsidRDefault="00B74680" w:rsidP="004D46D2">
      <w:pPr>
        <w:jc w:val="center"/>
        <w:rPr>
          <w:rFonts w:ascii="Arial" w:hAnsi="Arial" w:cs="Arial"/>
          <w:b/>
          <w:sz w:val="22"/>
          <w:szCs w:val="22"/>
          <w:u w:val="single"/>
        </w:rPr>
      </w:pPr>
    </w:p>
    <w:p w14:paraId="16FA4295" w14:textId="77777777" w:rsidR="00B74680" w:rsidRDefault="00B74680" w:rsidP="004D46D2">
      <w:pPr>
        <w:jc w:val="center"/>
        <w:rPr>
          <w:rFonts w:ascii="Arial" w:hAnsi="Arial" w:cs="Arial"/>
          <w:b/>
          <w:sz w:val="22"/>
          <w:szCs w:val="22"/>
          <w:u w:val="single"/>
        </w:rPr>
      </w:pPr>
    </w:p>
    <w:p w14:paraId="06205D71" w14:textId="77777777" w:rsidR="00B74680" w:rsidRDefault="00B74680" w:rsidP="004D46D2">
      <w:pPr>
        <w:jc w:val="center"/>
        <w:rPr>
          <w:rFonts w:ascii="Arial" w:hAnsi="Arial" w:cs="Arial"/>
          <w:b/>
          <w:sz w:val="22"/>
          <w:szCs w:val="22"/>
          <w:u w:val="single"/>
        </w:rPr>
      </w:pPr>
    </w:p>
    <w:p w14:paraId="4FB30D7B" w14:textId="77777777" w:rsidR="00B74680" w:rsidRDefault="00B74680" w:rsidP="004D46D2">
      <w:pPr>
        <w:jc w:val="center"/>
        <w:rPr>
          <w:rFonts w:ascii="Arial" w:hAnsi="Arial" w:cs="Arial"/>
          <w:b/>
          <w:sz w:val="22"/>
          <w:szCs w:val="22"/>
          <w:u w:val="single"/>
        </w:rPr>
      </w:pPr>
    </w:p>
    <w:p w14:paraId="3AA1B63C" w14:textId="77777777" w:rsidR="00B74680" w:rsidRDefault="00B74680" w:rsidP="004D46D2">
      <w:pPr>
        <w:jc w:val="center"/>
        <w:rPr>
          <w:rFonts w:ascii="Arial" w:hAnsi="Arial" w:cs="Arial"/>
          <w:b/>
          <w:sz w:val="22"/>
          <w:szCs w:val="22"/>
          <w:u w:val="single"/>
        </w:rPr>
      </w:pPr>
    </w:p>
    <w:p w14:paraId="129B4EED" w14:textId="77777777" w:rsidR="00B74680" w:rsidRDefault="00B74680" w:rsidP="004D46D2">
      <w:pPr>
        <w:jc w:val="center"/>
        <w:rPr>
          <w:rFonts w:ascii="Arial" w:hAnsi="Arial" w:cs="Arial"/>
          <w:b/>
          <w:sz w:val="22"/>
          <w:szCs w:val="22"/>
          <w:u w:val="single"/>
        </w:rPr>
      </w:pPr>
    </w:p>
    <w:p w14:paraId="283CF32D" w14:textId="77777777" w:rsidR="00B74680" w:rsidRDefault="00B74680" w:rsidP="004D46D2">
      <w:pPr>
        <w:jc w:val="center"/>
        <w:rPr>
          <w:rFonts w:ascii="Arial" w:hAnsi="Arial" w:cs="Arial"/>
          <w:b/>
          <w:sz w:val="22"/>
          <w:szCs w:val="22"/>
          <w:u w:val="single"/>
        </w:rPr>
      </w:pPr>
    </w:p>
    <w:p w14:paraId="0DE46458" w14:textId="77777777" w:rsidR="00B74680" w:rsidRDefault="00B74680" w:rsidP="004D46D2">
      <w:pPr>
        <w:jc w:val="center"/>
        <w:rPr>
          <w:rFonts w:ascii="Arial" w:hAnsi="Arial" w:cs="Arial"/>
          <w:b/>
          <w:sz w:val="22"/>
          <w:szCs w:val="22"/>
          <w:u w:val="single"/>
        </w:rPr>
      </w:pPr>
    </w:p>
    <w:p w14:paraId="3C8C63CD" w14:textId="77777777" w:rsidR="00B74680" w:rsidRDefault="00B74680" w:rsidP="004D46D2">
      <w:pPr>
        <w:jc w:val="center"/>
        <w:rPr>
          <w:rFonts w:ascii="Arial" w:hAnsi="Arial" w:cs="Arial"/>
          <w:b/>
          <w:sz w:val="22"/>
          <w:szCs w:val="22"/>
          <w:u w:val="single"/>
        </w:rPr>
      </w:pPr>
    </w:p>
    <w:p w14:paraId="391E283A" w14:textId="77777777" w:rsidR="00B74680" w:rsidRDefault="00B74680" w:rsidP="004D46D2">
      <w:pPr>
        <w:jc w:val="center"/>
        <w:rPr>
          <w:rFonts w:ascii="Arial" w:hAnsi="Arial" w:cs="Arial"/>
          <w:b/>
          <w:sz w:val="22"/>
          <w:szCs w:val="22"/>
          <w:u w:val="single"/>
        </w:rPr>
      </w:pPr>
    </w:p>
    <w:p w14:paraId="5B7BF363" w14:textId="77777777" w:rsidR="00B74680" w:rsidRDefault="00B74680" w:rsidP="004D46D2">
      <w:pPr>
        <w:jc w:val="center"/>
        <w:rPr>
          <w:rFonts w:ascii="Arial" w:hAnsi="Arial" w:cs="Arial"/>
          <w:b/>
          <w:sz w:val="22"/>
          <w:szCs w:val="22"/>
          <w:u w:val="single"/>
        </w:rPr>
      </w:pPr>
    </w:p>
    <w:p w14:paraId="7972FFAB" w14:textId="77777777" w:rsidR="00B74680" w:rsidRDefault="00B74680" w:rsidP="004D46D2">
      <w:pPr>
        <w:jc w:val="center"/>
        <w:rPr>
          <w:rFonts w:ascii="Arial" w:hAnsi="Arial" w:cs="Arial"/>
          <w:b/>
          <w:sz w:val="22"/>
          <w:szCs w:val="22"/>
          <w:u w:val="single"/>
        </w:rPr>
      </w:pPr>
    </w:p>
    <w:p w14:paraId="081C46AD" w14:textId="77777777" w:rsidR="00B74680" w:rsidRDefault="00B74680" w:rsidP="004D46D2">
      <w:pPr>
        <w:jc w:val="center"/>
        <w:rPr>
          <w:rFonts w:ascii="Arial" w:hAnsi="Arial" w:cs="Arial"/>
          <w:b/>
          <w:sz w:val="22"/>
          <w:szCs w:val="22"/>
          <w:u w:val="single"/>
        </w:rPr>
      </w:pPr>
    </w:p>
    <w:p w14:paraId="0EA42CC3" w14:textId="77777777" w:rsidR="00B74680" w:rsidRDefault="00B74680" w:rsidP="004D46D2">
      <w:pPr>
        <w:jc w:val="center"/>
        <w:rPr>
          <w:rFonts w:ascii="Arial" w:hAnsi="Arial" w:cs="Arial"/>
          <w:b/>
          <w:sz w:val="22"/>
          <w:szCs w:val="22"/>
          <w:u w:val="single"/>
        </w:rPr>
      </w:pPr>
    </w:p>
    <w:p w14:paraId="06A4DA5E" w14:textId="77777777" w:rsidR="00B74680" w:rsidRDefault="00B74680" w:rsidP="004D46D2">
      <w:pPr>
        <w:jc w:val="center"/>
        <w:rPr>
          <w:rFonts w:ascii="Arial" w:hAnsi="Arial" w:cs="Arial"/>
          <w:b/>
          <w:sz w:val="22"/>
          <w:szCs w:val="22"/>
          <w:u w:val="single"/>
        </w:rPr>
      </w:pPr>
    </w:p>
    <w:p w14:paraId="6F8ED275" w14:textId="77777777" w:rsidR="00B74680" w:rsidRDefault="00B74680" w:rsidP="004D46D2">
      <w:pPr>
        <w:jc w:val="center"/>
        <w:rPr>
          <w:rFonts w:ascii="Arial" w:hAnsi="Arial" w:cs="Arial"/>
          <w:b/>
          <w:sz w:val="22"/>
          <w:szCs w:val="22"/>
          <w:u w:val="single"/>
        </w:rPr>
      </w:pPr>
    </w:p>
    <w:p w14:paraId="11C1C329" w14:textId="77777777" w:rsidR="00B74680" w:rsidRDefault="00B74680" w:rsidP="004D46D2">
      <w:pPr>
        <w:jc w:val="center"/>
        <w:rPr>
          <w:rFonts w:ascii="Arial" w:hAnsi="Arial" w:cs="Arial"/>
          <w:b/>
          <w:sz w:val="22"/>
          <w:szCs w:val="22"/>
          <w:u w:val="single"/>
        </w:rPr>
      </w:pPr>
    </w:p>
    <w:p w14:paraId="1117718C" w14:textId="77777777" w:rsidR="00B74680" w:rsidRDefault="00B74680" w:rsidP="004D46D2">
      <w:pPr>
        <w:jc w:val="center"/>
        <w:rPr>
          <w:rFonts w:ascii="Arial" w:hAnsi="Arial" w:cs="Arial"/>
          <w:b/>
          <w:sz w:val="22"/>
          <w:szCs w:val="22"/>
          <w:u w:val="single"/>
        </w:rPr>
      </w:pPr>
    </w:p>
    <w:p w14:paraId="7FC7A149" w14:textId="77777777" w:rsidR="00B74680" w:rsidRDefault="00B74680" w:rsidP="004D46D2">
      <w:pPr>
        <w:jc w:val="center"/>
        <w:rPr>
          <w:rFonts w:ascii="Arial" w:hAnsi="Arial" w:cs="Arial"/>
          <w:b/>
          <w:sz w:val="22"/>
          <w:szCs w:val="22"/>
          <w:u w:val="single"/>
        </w:rPr>
      </w:pPr>
    </w:p>
    <w:p w14:paraId="5A0A3717" w14:textId="77777777" w:rsidR="00B74680" w:rsidRDefault="00B74680" w:rsidP="004D46D2">
      <w:pPr>
        <w:jc w:val="center"/>
        <w:rPr>
          <w:rFonts w:ascii="Arial" w:hAnsi="Arial" w:cs="Arial"/>
          <w:b/>
          <w:sz w:val="22"/>
          <w:szCs w:val="22"/>
          <w:u w:val="single"/>
        </w:rPr>
      </w:pPr>
    </w:p>
    <w:p w14:paraId="4ABA0780" w14:textId="77777777" w:rsidR="00B74680" w:rsidRDefault="00B74680" w:rsidP="004D46D2">
      <w:pPr>
        <w:jc w:val="center"/>
        <w:rPr>
          <w:rFonts w:ascii="Arial" w:hAnsi="Arial" w:cs="Arial"/>
          <w:b/>
          <w:sz w:val="22"/>
          <w:szCs w:val="22"/>
          <w:u w:val="single"/>
        </w:rPr>
      </w:pPr>
    </w:p>
    <w:p w14:paraId="72A9A030" w14:textId="77777777" w:rsidR="00B74680" w:rsidRDefault="00B74680" w:rsidP="004D46D2">
      <w:pPr>
        <w:jc w:val="center"/>
        <w:rPr>
          <w:rFonts w:ascii="Arial" w:hAnsi="Arial" w:cs="Arial"/>
          <w:b/>
          <w:sz w:val="22"/>
          <w:szCs w:val="22"/>
          <w:u w:val="single"/>
        </w:rPr>
      </w:pPr>
    </w:p>
    <w:p w14:paraId="761EABC9" w14:textId="77777777" w:rsidR="00B74680" w:rsidRDefault="00B74680" w:rsidP="004D46D2">
      <w:pPr>
        <w:jc w:val="center"/>
        <w:rPr>
          <w:rFonts w:ascii="Arial" w:hAnsi="Arial" w:cs="Arial"/>
          <w:b/>
          <w:sz w:val="22"/>
          <w:szCs w:val="22"/>
          <w:u w:val="single"/>
        </w:rPr>
      </w:pPr>
    </w:p>
    <w:p w14:paraId="28F72DAB" w14:textId="77777777" w:rsidR="00B74680" w:rsidRDefault="00B74680" w:rsidP="004D46D2">
      <w:pPr>
        <w:jc w:val="center"/>
        <w:rPr>
          <w:rFonts w:ascii="Arial" w:hAnsi="Arial" w:cs="Arial"/>
          <w:b/>
          <w:sz w:val="22"/>
          <w:szCs w:val="22"/>
          <w:u w:val="single"/>
        </w:rPr>
      </w:pPr>
    </w:p>
    <w:p w14:paraId="6DFC8EA0" w14:textId="77777777" w:rsidR="00B74680" w:rsidRDefault="00B74680" w:rsidP="004D46D2">
      <w:pPr>
        <w:jc w:val="center"/>
        <w:rPr>
          <w:rFonts w:ascii="Arial" w:hAnsi="Arial" w:cs="Arial"/>
          <w:b/>
          <w:sz w:val="22"/>
          <w:szCs w:val="22"/>
          <w:u w:val="single"/>
        </w:rPr>
      </w:pPr>
    </w:p>
    <w:p w14:paraId="00799BEE" w14:textId="0C532D46"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454F43">
        <w:rPr>
          <w:rFonts w:ascii="Arial" w:hAnsi="Arial" w:cs="Arial"/>
          <w:b/>
          <w:sz w:val="22"/>
          <w:szCs w:val="22"/>
          <w:u w:val="single"/>
        </w:rPr>
        <w:t>4</w:t>
      </w:r>
    </w:p>
    <w:p w14:paraId="77CEF12A" w14:textId="77777777"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14:paraId="5023141B" w14:textId="77777777" w:rsidR="004D46D2" w:rsidRPr="009C0A25" w:rsidRDefault="004D46D2" w:rsidP="004D46D2">
      <w:pPr>
        <w:rPr>
          <w:rFonts w:ascii="Arial" w:hAnsi="Arial" w:cs="Arial"/>
          <w:b/>
          <w:sz w:val="22"/>
          <w:szCs w:val="22"/>
        </w:rPr>
      </w:pPr>
    </w:p>
    <w:p w14:paraId="01A6179B" w14:textId="77777777"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1F3B1409" w14:textId="77777777"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14:paraId="1A7A4B31" w14:textId="77777777"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14:paraId="26D5200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14:paraId="248D6B41" w14:textId="77777777"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14:paraId="38BD47F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649841BE"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14:paraId="5A16791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14:paraId="020F584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415E8C5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8F999B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14:paraId="6181BBC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14:paraId="53EC3EF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71CDBF8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FCD5EC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14:paraId="6634EE0B"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14:paraId="7D8E12F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3429FA8D"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598DEE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14:paraId="230F809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14:paraId="7D46DE0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14:paraId="33E130F8"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8941E4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14:paraId="28C4148E"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2919554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7445EAA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9B4EA1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14:paraId="7548D30B"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14:paraId="75C6261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5FD670D6"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5697EE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14:paraId="6C92A168"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14:paraId="007D7A8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358450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4B0A20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14:paraId="086C140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14:paraId="5DB728D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17DCC848"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B2B730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14:paraId="6C7FE3D8"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3D54FED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6F76D5C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D36975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14:paraId="149F102B"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14:paraId="4680F769"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7D8DA614"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737E36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14:paraId="3C5FFC58"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14:paraId="1945BC9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14:paraId="779383EE"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B73E586"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14:paraId="666D64B3"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14:paraId="2D11C50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0541A13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9F18D26"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14:paraId="4F5ABF50"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 xml:space="preserve">pracovní lávky neodpovídající BOZP (bez zábradlí, </w:t>
            </w:r>
            <w:proofErr w:type="spellStart"/>
            <w:r w:rsidRPr="009C0A25">
              <w:rPr>
                <w:rFonts w:ascii="Arial" w:hAnsi="Arial" w:cs="Arial"/>
                <w:sz w:val="22"/>
                <w:szCs w:val="22"/>
                <w:lang w:eastAsia="en-US"/>
              </w:rPr>
              <w:t>okopové</w:t>
            </w:r>
            <w:proofErr w:type="spellEnd"/>
            <w:r w:rsidRPr="009C0A25">
              <w:rPr>
                <w:rFonts w:ascii="Arial" w:hAnsi="Arial" w:cs="Arial"/>
                <w:sz w:val="22"/>
                <w:szCs w:val="22"/>
                <w:lang w:eastAsia="en-US"/>
              </w:rPr>
              <w:t xml:space="preserve">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14:paraId="001AD7C7"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49B69A6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E1E336A"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14:paraId="65353A17" w14:textId="77777777"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14:paraId="4B04CBF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45D9AD0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3CFEC6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14:paraId="2504916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14:paraId="04492EA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065FAD3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0EB5E79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14:paraId="0381C879"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nezajištěný prostor, kde se provádí bourací práce - NV 591/2006 Sb., čl. </w:t>
            </w:r>
            <w:proofErr w:type="gramStart"/>
            <w:r w:rsidRPr="009C0A25">
              <w:rPr>
                <w:rFonts w:ascii="Arial" w:hAnsi="Arial" w:cs="Arial"/>
                <w:sz w:val="22"/>
                <w:szCs w:val="22"/>
                <w:lang w:eastAsia="en-US"/>
              </w:rPr>
              <w:t>XII.,</w:t>
            </w:r>
            <w:proofErr w:type="spellStart"/>
            <w:r w:rsidRPr="009C0A25">
              <w:rPr>
                <w:rFonts w:ascii="Arial" w:hAnsi="Arial" w:cs="Arial"/>
                <w:sz w:val="22"/>
                <w:szCs w:val="22"/>
                <w:lang w:eastAsia="en-US"/>
              </w:rPr>
              <w:t>odst</w:t>
            </w:r>
            <w:proofErr w:type="spellEnd"/>
            <w:r w:rsidRPr="009C0A25">
              <w:rPr>
                <w:rFonts w:ascii="Arial" w:hAnsi="Arial" w:cs="Arial"/>
                <w:sz w:val="22"/>
                <w:szCs w:val="22"/>
                <w:lang w:eastAsia="en-US"/>
              </w:rPr>
              <w:t>.</w:t>
            </w:r>
            <w:proofErr w:type="gramEnd"/>
            <w:r w:rsidRPr="009C0A25">
              <w:rPr>
                <w:rFonts w:ascii="Arial" w:hAnsi="Arial" w:cs="Arial"/>
                <w:sz w:val="22"/>
                <w:szCs w:val="22"/>
                <w:lang w:eastAsia="en-US"/>
              </w:rPr>
              <w:t xml:space="preserve"> 6.,přílohy 3.</w:t>
            </w:r>
          </w:p>
        </w:tc>
        <w:tc>
          <w:tcPr>
            <w:tcW w:w="1474" w:type="dxa"/>
            <w:tcBorders>
              <w:top w:val="single" w:sz="4" w:space="0" w:color="000000"/>
              <w:left w:val="single" w:sz="4" w:space="0" w:color="000000"/>
              <w:bottom w:val="single" w:sz="4" w:space="0" w:color="000000"/>
              <w:right w:val="single" w:sz="4" w:space="0" w:color="000000"/>
            </w:tcBorders>
            <w:hideMark/>
          </w:tcPr>
          <w:p w14:paraId="6038EEB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535112A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11B77A1" w14:textId="77777777"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14:paraId="7E102246"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používání poškozených nebo nevyhovujících el. </w:t>
            </w:r>
            <w:proofErr w:type="gramStart"/>
            <w:r w:rsidRPr="009C0A25">
              <w:rPr>
                <w:rFonts w:ascii="Arial" w:hAnsi="Arial" w:cs="Arial"/>
                <w:sz w:val="22"/>
                <w:szCs w:val="22"/>
                <w:lang w:eastAsia="en-US"/>
              </w:rPr>
              <w:t>zařízení</w:t>
            </w:r>
            <w:proofErr w:type="gramEnd"/>
            <w:r w:rsidRPr="009C0A25">
              <w:rPr>
                <w:rFonts w:ascii="Arial" w:hAnsi="Arial" w:cs="Arial"/>
                <w:sz w:val="22"/>
                <w:szCs w:val="22"/>
                <w:lang w:eastAsia="en-US"/>
              </w:rPr>
              <w:t>,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14:paraId="705A8D3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07A8BC4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26D80A2"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14:paraId="2949182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provozování vyhrazeného zdvihacího zařízení dle </w:t>
            </w:r>
            <w:proofErr w:type="spellStart"/>
            <w:r w:rsidRPr="009C0A25">
              <w:rPr>
                <w:rFonts w:ascii="Arial" w:hAnsi="Arial" w:cs="Arial"/>
                <w:sz w:val="22"/>
                <w:szCs w:val="22"/>
                <w:lang w:eastAsia="en-US"/>
              </w:rPr>
              <w:t>vyhl</w:t>
            </w:r>
            <w:proofErr w:type="spellEnd"/>
            <w:r w:rsidRPr="009C0A25">
              <w:rPr>
                <w:rFonts w:ascii="Arial" w:hAnsi="Arial" w:cs="Arial"/>
                <w:sz w:val="22"/>
                <w:szCs w:val="22"/>
                <w:lang w:eastAsia="en-US"/>
              </w:rPr>
              <w:t>.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14:paraId="4B9BA4D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B0EBD60"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847A63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14:paraId="1891E09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5B482B7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884DF89"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007C90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14:paraId="3F267245"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14:paraId="72B514A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205BE0C1"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B568215"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14:paraId="69BE865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14:paraId="6D087DF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55CFECDC"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4C26413"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14:paraId="74B03E29"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14:paraId="4BB3A3DA"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0FBC6C31" w14:textId="77777777"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14:paraId="72E4F76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14:paraId="562C75D1" w14:textId="77777777"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14:paraId="60012810"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14:paraId="74629ED6"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1E6C759A"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1D8EB8EE"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14:paraId="5F8B0CCA"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14:paraId="39953847"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14:paraId="23A4D9C4"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BFDD700"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14:paraId="219CD3D2"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14:paraId="77E67F0F"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14:paraId="5C56E2B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6334656"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14:paraId="775E4D1A"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14:paraId="5E98FE69"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AB8DA6E"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1C0AA51"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14:paraId="469CE494"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14:paraId="01C0AD6F"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664AEF3"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57393B24"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14:paraId="009A72E4"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14:paraId="7261B986"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14:paraId="3387203F"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B34824B"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14:paraId="3270F7D6"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14:paraId="09F47805"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2A71012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19897CE"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14:paraId="77CA4975" w14:textId="77777777"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14:paraId="5D779879" w14:textId="77777777"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14:paraId="07315702"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2C8B330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14:paraId="20F8FDB3"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6E0F04F1"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6D031394"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434292C4"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14:paraId="344DBBD6"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14:paraId="11BDB00D"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14:paraId="04FCE7CB"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3D164508"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7CE58F48"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14:paraId="22EFE0EF"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14:paraId="41D366CC"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14:paraId="14CAE995" w14:textId="77777777"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14:paraId="3848D7E0"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14:paraId="3E971F47" w14:textId="77777777"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14:paraId="0C24651D" w14:textId="77777777"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14:paraId="664355AD" w14:textId="77777777" w:rsidR="004D46D2" w:rsidRPr="009C0A25" w:rsidRDefault="004D46D2" w:rsidP="004D46D2">
      <w:pPr>
        <w:spacing w:line="288" w:lineRule="exact"/>
        <w:rPr>
          <w:rFonts w:ascii="Arial" w:hAnsi="Arial" w:cs="Arial"/>
          <w:bCs/>
          <w:iCs/>
          <w:sz w:val="22"/>
          <w:szCs w:val="22"/>
        </w:rPr>
      </w:pPr>
    </w:p>
    <w:p w14:paraId="1A965116" w14:textId="77777777" w:rsidR="004D46D2" w:rsidRDefault="004D46D2" w:rsidP="004D46D2">
      <w:pPr>
        <w:suppressAutoHyphens w:val="0"/>
        <w:spacing w:before="0"/>
        <w:jc w:val="left"/>
        <w:rPr>
          <w:rFonts w:ascii="Arial" w:hAnsi="Arial" w:cs="Arial"/>
          <w:sz w:val="22"/>
          <w:szCs w:val="22"/>
        </w:rPr>
      </w:pPr>
    </w:p>
    <w:p w14:paraId="7DF4E37C" w14:textId="77777777" w:rsidR="004D46D2" w:rsidRDefault="004D46D2" w:rsidP="004D46D2">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14:paraId="2910775F" w14:textId="77777777"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Příloha č. </w:t>
      </w:r>
      <w:r w:rsidR="00454F43">
        <w:rPr>
          <w:rFonts w:ascii="Arial" w:hAnsi="Arial" w:cs="Arial"/>
          <w:b/>
          <w:sz w:val="22"/>
          <w:szCs w:val="22"/>
          <w:u w:val="single"/>
        </w:rPr>
        <w:t>5</w:t>
      </w:r>
    </w:p>
    <w:p w14:paraId="3F295E1E" w14:textId="77777777" w:rsidR="00894B88" w:rsidRPr="00344223" w:rsidRDefault="005371DE" w:rsidP="00894B88">
      <w:pPr>
        <w:jc w:val="center"/>
        <w:rPr>
          <w:rFonts w:ascii="Arial" w:hAnsi="Arial" w:cs="Arial"/>
          <w:sz w:val="22"/>
          <w:szCs w:val="22"/>
          <w:u w:val="single"/>
        </w:rPr>
      </w:pPr>
      <w:r>
        <w:rPr>
          <w:rFonts w:ascii="Arial" w:hAnsi="Arial" w:cs="Arial"/>
          <w:b/>
          <w:sz w:val="22"/>
          <w:szCs w:val="22"/>
          <w:u w:val="single"/>
        </w:rPr>
        <w:t>Harmonogram prací</w:t>
      </w:r>
    </w:p>
    <w:p w14:paraId="44FB30F8" w14:textId="77777777" w:rsidR="00894B88" w:rsidRDefault="00894B88" w:rsidP="00894B88">
      <w:pPr>
        <w:rPr>
          <w:rFonts w:ascii="Arial" w:hAnsi="Arial" w:cs="Arial"/>
          <w:sz w:val="22"/>
          <w:szCs w:val="22"/>
        </w:rPr>
      </w:pPr>
    </w:p>
    <w:p w14:paraId="1DA6542E" w14:textId="77777777" w:rsidR="00894B88" w:rsidRPr="00454F43" w:rsidRDefault="00604AC0" w:rsidP="00454F43">
      <w:pPr>
        <w:suppressAutoHyphens w:val="0"/>
        <w:spacing w:before="0"/>
        <w:jc w:val="left"/>
        <w:rPr>
          <w:rFonts w:ascii="Arial" w:hAnsi="Arial" w:cs="Arial"/>
          <w:sz w:val="22"/>
          <w:szCs w:val="22"/>
        </w:rPr>
      </w:pPr>
      <w:r>
        <w:rPr>
          <w:noProof/>
          <w:lang w:eastAsia="cs-CZ"/>
        </w:rPr>
        <w:drawing>
          <wp:inline distT="0" distB="0" distL="0" distR="0" wp14:anchorId="119B345D" wp14:editId="6885333E">
            <wp:extent cx="5759449" cy="2599055"/>
            <wp:effectExtent l="0" t="0" r="0" b="0"/>
            <wp:docPr id="125691491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pic:nvPicPr>
                  <pic:blipFill>
                    <a:blip r:embed="rId11">
                      <a:extLst>
                        <a:ext uri="{28A0092B-C50C-407E-A947-70E740481C1C}">
                          <a14:useLocalDpi xmlns:a14="http://schemas.microsoft.com/office/drawing/2010/main" val="0"/>
                        </a:ext>
                      </a:extLst>
                    </a:blip>
                    <a:stretch>
                      <a:fillRect/>
                    </a:stretch>
                  </pic:blipFill>
                  <pic:spPr>
                    <a:xfrm>
                      <a:off x="0" y="0"/>
                      <a:ext cx="5759449" cy="2599055"/>
                    </a:xfrm>
                    <a:prstGeom prst="rect">
                      <a:avLst/>
                    </a:prstGeom>
                  </pic:spPr>
                </pic:pic>
              </a:graphicData>
            </a:graphic>
          </wp:inline>
        </w:drawing>
      </w:r>
    </w:p>
    <w:p w14:paraId="3041E394" w14:textId="77777777" w:rsidR="004D46D2" w:rsidRPr="005A6444" w:rsidRDefault="00894B88" w:rsidP="005A6444">
      <w:pPr>
        <w:suppressAutoHyphens w:val="0"/>
        <w:spacing w:before="0"/>
        <w:jc w:val="left"/>
        <w:rPr>
          <w:rFonts w:ascii="Arial" w:hAnsi="Arial" w:cs="Arial"/>
          <w:sz w:val="22"/>
          <w:szCs w:val="22"/>
        </w:rPr>
      </w:pPr>
      <w:r>
        <w:rPr>
          <w:rFonts w:ascii="Arial" w:hAnsi="Arial" w:cs="Arial"/>
          <w:sz w:val="22"/>
          <w:szCs w:val="22"/>
        </w:rPr>
        <w:br w:type="page"/>
      </w:r>
    </w:p>
    <w:p w14:paraId="5D914A15" w14:textId="77777777" w:rsidR="00894220" w:rsidRPr="00344223" w:rsidRDefault="00894220" w:rsidP="00894220">
      <w:pPr>
        <w:jc w:val="center"/>
        <w:rPr>
          <w:rFonts w:ascii="Arial" w:hAnsi="Arial" w:cs="Arial"/>
          <w:b/>
          <w:sz w:val="22"/>
          <w:szCs w:val="22"/>
          <w:u w:val="single"/>
        </w:rPr>
      </w:pPr>
      <w:r w:rsidRPr="00344223">
        <w:rPr>
          <w:rFonts w:ascii="Arial" w:hAnsi="Arial" w:cs="Arial"/>
          <w:b/>
          <w:sz w:val="22"/>
          <w:szCs w:val="22"/>
          <w:u w:val="single"/>
        </w:rPr>
        <w:t xml:space="preserve">Příloha č. </w:t>
      </w:r>
      <w:r w:rsidR="00454F43">
        <w:rPr>
          <w:rFonts w:ascii="Arial" w:hAnsi="Arial" w:cs="Arial"/>
          <w:b/>
          <w:sz w:val="22"/>
          <w:szCs w:val="22"/>
          <w:u w:val="single"/>
        </w:rPr>
        <w:t>6</w:t>
      </w:r>
    </w:p>
    <w:p w14:paraId="7278275F" w14:textId="77777777" w:rsidR="00894220" w:rsidRPr="00344223" w:rsidRDefault="00894220" w:rsidP="00894220">
      <w:pPr>
        <w:jc w:val="center"/>
        <w:rPr>
          <w:rFonts w:ascii="Arial" w:hAnsi="Arial" w:cs="Arial"/>
          <w:sz w:val="22"/>
          <w:szCs w:val="22"/>
          <w:u w:val="single"/>
        </w:rPr>
      </w:pPr>
      <w:r>
        <w:rPr>
          <w:rFonts w:ascii="Arial" w:hAnsi="Arial" w:cs="Arial"/>
          <w:b/>
          <w:sz w:val="22"/>
          <w:szCs w:val="22"/>
          <w:u w:val="single"/>
        </w:rPr>
        <w:t>Kusovník jednotlivých prvků a zařízení</w:t>
      </w:r>
    </w:p>
    <w:p w14:paraId="722B00AE" w14:textId="77777777" w:rsidR="00894220" w:rsidRDefault="00894220" w:rsidP="00894220">
      <w:pPr>
        <w:rPr>
          <w:rFonts w:ascii="Arial" w:hAnsi="Arial" w:cs="Arial"/>
          <w:sz w:val="22"/>
          <w:szCs w:val="22"/>
        </w:rPr>
      </w:pPr>
    </w:p>
    <w:p w14:paraId="42C6D796" w14:textId="40CF6FF6" w:rsidR="007B6FB7" w:rsidRDefault="007B6FB7" w:rsidP="006B5E77">
      <w:pPr>
        <w:tabs>
          <w:tab w:val="center" w:pos="1800"/>
          <w:tab w:val="center" w:pos="6660"/>
        </w:tabs>
        <w:rPr>
          <w:rFonts w:asciiTheme="minorHAnsi" w:hAnsiTheme="minorHAnsi" w:cstheme="minorHAnsi"/>
        </w:rPr>
      </w:pPr>
    </w:p>
    <w:p w14:paraId="710705DC" w14:textId="6D54861B" w:rsidR="00B74680" w:rsidRDefault="00B74680" w:rsidP="006B5E77">
      <w:pPr>
        <w:tabs>
          <w:tab w:val="center" w:pos="1800"/>
          <w:tab w:val="center" w:pos="6660"/>
        </w:tabs>
        <w:rPr>
          <w:rFonts w:asciiTheme="minorHAnsi" w:hAnsiTheme="minorHAnsi" w:cstheme="minorHAnsi"/>
        </w:rPr>
      </w:pPr>
    </w:p>
    <w:p w14:paraId="5EA9B19E" w14:textId="4DF1ABD3" w:rsidR="00B74680" w:rsidRDefault="00B74680" w:rsidP="006B5E77">
      <w:pPr>
        <w:tabs>
          <w:tab w:val="center" w:pos="1800"/>
          <w:tab w:val="center" w:pos="6660"/>
        </w:tabs>
        <w:rPr>
          <w:rFonts w:asciiTheme="minorHAnsi" w:hAnsiTheme="minorHAnsi" w:cstheme="minorHAnsi"/>
        </w:rPr>
      </w:pPr>
    </w:p>
    <w:p w14:paraId="4B599D30" w14:textId="716431BD" w:rsidR="00B74680" w:rsidRPr="00B616F6" w:rsidRDefault="00B74680" w:rsidP="00B74680">
      <w:pPr>
        <w:tabs>
          <w:tab w:val="center" w:pos="1800"/>
          <w:tab w:val="center" w:pos="6660"/>
        </w:tabs>
        <w:jc w:val="center"/>
        <w:rPr>
          <w:rFonts w:asciiTheme="minorHAnsi" w:hAnsiTheme="minorHAnsi" w:cstheme="minorHAnsi"/>
        </w:rPr>
      </w:pPr>
      <w:r>
        <w:rPr>
          <w:rFonts w:asciiTheme="minorHAnsi" w:hAnsiTheme="minorHAnsi" w:cstheme="minorHAnsi"/>
        </w:rPr>
        <w:t>XXXXXXXXXXXXXXXXXXXX</w:t>
      </w:r>
      <w:bookmarkStart w:id="0" w:name="_GoBack"/>
      <w:bookmarkEnd w:id="0"/>
    </w:p>
    <w:sectPr w:rsidR="00B74680" w:rsidRPr="00B616F6" w:rsidSect="00F176E8">
      <w:footerReference w:type="default" r:id="rId12"/>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831B3" w14:textId="77777777" w:rsidR="00B31D52" w:rsidRDefault="00B31D52">
      <w:pPr>
        <w:spacing w:before="0"/>
      </w:pPr>
      <w:r>
        <w:separator/>
      </w:r>
    </w:p>
  </w:endnote>
  <w:endnote w:type="continuationSeparator" w:id="0">
    <w:p w14:paraId="54E11D2A" w14:textId="77777777" w:rsidR="00B31D52" w:rsidRDefault="00B31D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565F" w14:textId="2A6D7F69" w:rsidR="0068106D" w:rsidRPr="00A82001" w:rsidRDefault="0068106D">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B74680">
      <w:rPr>
        <w:rStyle w:val="slostrnky"/>
        <w:rFonts w:ascii="Arial" w:hAnsi="Arial" w:cs="Arial"/>
        <w:noProof/>
      </w:rPr>
      <w:t>14</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B74680">
      <w:rPr>
        <w:rStyle w:val="slostrnky"/>
        <w:rFonts w:ascii="Arial" w:hAnsi="Arial" w:cs="Arial"/>
        <w:noProof/>
      </w:rPr>
      <w:t>21</w:t>
    </w:r>
    <w:r w:rsidRPr="00A82001">
      <w:rPr>
        <w:rStyle w:val="slostrnky"/>
        <w:rFonts w:ascii="Arial" w:hAnsi="Arial" w:cs="Arial"/>
      </w:rPr>
      <w:fldChar w:fldCharType="end"/>
    </w:r>
  </w:p>
  <w:p w14:paraId="62431CDC" w14:textId="77777777" w:rsidR="0068106D" w:rsidRPr="00A82001" w:rsidRDefault="0068106D">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C793" w14:textId="605D34B4" w:rsidR="0068106D" w:rsidRPr="00A82001" w:rsidRDefault="0068106D">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B74680">
      <w:rPr>
        <w:rStyle w:val="slostrnky"/>
        <w:rFonts w:ascii="Arial" w:hAnsi="Arial" w:cs="Arial"/>
        <w:noProof/>
      </w:rPr>
      <w:t>15</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B74680">
      <w:rPr>
        <w:rStyle w:val="slostrnky"/>
        <w:rFonts w:ascii="Arial" w:hAnsi="Arial" w:cs="Arial"/>
        <w:noProof/>
      </w:rPr>
      <w:t>21</w:t>
    </w:r>
    <w:r w:rsidRPr="00A82001">
      <w:rPr>
        <w:rStyle w:val="slostrnky"/>
        <w:rFonts w:ascii="Arial" w:hAnsi="Arial" w:cs="Arial"/>
      </w:rPr>
      <w:fldChar w:fldCharType="end"/>
    </w:r>
  </w:p>
  <w:p w14:paraId="49E398E2" w14:textId="77777777" w:rsidR="0068106D" w:rsidRPr="00A82001" w:rsidRDefault="0068106D">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465C" w14:textId="713700DC" w:rsidR="0068106D" w:rsidRDefault="0068106D">
    <w:pPr>
      <w:pStyle w:val="Zpat"/>
      <w:jc w:val="center"/>
    </w:pPr>
    <w:r>
      <w:rPr>
        <w:rStyle w:val="slostrnky"/>
      </w:rPr>
      <w:fldChar w:fldCharType="begin"/>
    </w:r>
    <w:r>
      <w:rPr>
        <w:rStyle w:val="slostrnky"/>
      </w:rPr>
      <w:instrText xml:space="preserve"> PAGE </w:instrText>
    </w:r>
    <w:r>
      <w:rPr>
        <w:rStyle w:val="slostrnky"/>
      </w:rPr>
      <w:fldChar w:fldCharType="separate"/>
    </w:r>
    <w:r w:rsidR="00B74680">
      <w:rPr>
        <w:rStyle w:val="slostrnky"/>
        <w:noProof/>
      </w:rPr>
      <w:t>21</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B74680">
      <w:rPr>
        <w:rStyle w:val="slostrnky"/>
        <w:noProof/>
      </w:rPr>
      <w:t>21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6E5D" w14:textId="77777777" w:rsidR="00B31D52" w:rsidRDefault="00B31D52">
      <w:pPr>
        <w:spacing w:before="0"/>
      </w:pPr>
      <w:r>
        <w:separator/>
      </w:r>
    </w:p>
  </w:footnote>
  <w:footnote w:type="continuationSeparator" w:id="0">
    <w:p w14:paraId="2DE403A5" w14:textId="77777777" w:rsidR="00B31D52" w:rsidRDefault="00B31D5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430B7"/>
    <w:rsid w:val="000967DD"/>
    <w:rsid w:val="000B1E97"/>
    <w:rsid w:val="000B2132"/>
    <w:rsid w:val="000B5C7C"/>
    <w:rsid w:val="000D58E0"/>
    <w:rsid w:val="000E2586"/>
    <w:rsid w:val="000E5426"/>
    <w:rsid w:val="001543F5"/>
    <w:rsid w:val="0015556A"/>
    <w:rsid w:val="00185DDF"/>
    <w:rsid w:val="001A1820"/>
    <w:rsid w:val="001E4D41"/>
    <w:rsid w:val="002059C8"/>
    <w:rsid w:val="002153E8"/>
    <w:rsid w:val="0023200E"/>
    <w:rsid w:val="00234D13"/>
    <w:rsid w:val="002526A9"/>
    <w:rsid w:val="00253ADD"/>
    <w:rsid w:val="00254D8E"/>
    <w:rsid w:val="00263001"/>
    <w:rsid w:val="00267802"/>
    <w:rsid w:val="00271317"/>
    <w:rsid w:val="002A4C4D"/>
    <w:rsid w:val="002B4035"/>
    <w:rsid w:val="002C0ECE"/>
    <w:rsid w:val="002D7B78"/>
    <w:rsid w:val="002E0ADE"/>
    <w:rsid w:val="002F02EF"/>
    <w:rsid w:val="002F5101"/>
    <w:rsid w:val="00311E18"/>
    <w:rsid w:val="003575F4"/>
    <w:rsid w:val="00366671"/>
    <w:rsid w:val="003728EA"/>
    <w:rsid w:val="00391075"/>
    <w:rsid w:val="00393EEA"/>
    <w:rsid w:val="003C1D2A"/>
    <w:rsid w:val="003C5B51"/>
    <w:rsid w:val="003C61EE"/>
    <w:rsid w:val="003E1393"/>
    <w:rsid w:val="00404985"/>
    <w:rsid w:val="00407AA5"/>
    <w:rsid w:val="00407CB5"/>
    <w:rsid w:val="00424730"/>
    <w:rsid w:val="004401C7"/>
    <w:rsid w:val="0045143D"/>
    <w:rsid w:val="00454F43"/>
    <w:rsid w:val="004B119F"/>
    <w:rsid w:val="004C35F7"/>
    <w:rsid w:val="004D46D2"/>
    <w:rsid w:val="00500AF6"/>
    <w:rsid w:val="00502F89"/>
    <w:rsid w:val="0051400B"/>
    <w:rsid w:val="00527108"/>
    <w:rsid w:val="005349CE"/>
    <w:rsid w:val="005371DE"/>
    <w:rsid w:val="00554521"/>
    <w:rsid w:val="005608E9"/>
    <w:rsid w:val="00592AB9"/>
    <w:rsid w:val="005A496E"/>
    <w:rsid w:val="005A6444"/>
    <w:rsid w:val="005C2C07"/>
    <w:rsid w:val="005D0337"/>
    <w:rsid w:val="005F24BD"/>
    <w:rsid w:val="00604460"/>
    <w:rsid w:val="00604AC0"/>
    <w:rsid w:val="00607109"/>
    <w:rsid w:val="00620136"/>
    <w:rsid w:val="006212FD"/>
    <w:rsid w:val="0065285E"/>
    <w:rsid w:val="00667B04"/>
    <w:rsid w:val="006771B3"/>
    <w:rsid w:val="0068106D"/>
    <w:rsid w:val="006B5E77"/>
    <w:rsid w:val="006D2806"/>
    <w:rsid w:val="006E4425"/>
    <w:rsid w:val="006E7B01"/>
    <w:rsid w:val="00724F25"/>
    <w:rsid w:val="007442BB"/>
    <w:rsid w:val="007620CE"/>
    <w:rsid w:val="00763258"/>
    <w:rsid w:val="0079546E"/>
    <w:rsid w:val="007970CA"/>
    <w:rsid w:val="007B6FB7"/>
    <w:rsid w:val="007F587A"/>
    <w:rsid w:val="00812B6B"/>
    <w:rsid w:val="00814BDD"/>
    <w:rsid w:val="00894220"/>
    <w:rsid w:val="00894B88"/>
    <w:rsid w:val="008D6753"/>
    <w:rsid w:val="008D7AD0"/>
    <w:rsid w:val="008F3833"/>
    <w:rsid w:val="008F7560"/>
    <w:rsid w:val="00922FA1"/>
    <w:rsid w:val="0095454D"/>
    <w:rsid w:val="00955F5E"/>
    <w:rsid w:val="00956A8D"/>
    <w:rsid w:val="00966AAD"/>
    <w:rsid w:val="0096707D"/>
    <w:rsid w:val="0099361B"/>
    <w:rsid w:val="009C59A3"/>
    <w:rsid w:val="009D1DD4"/>
    <w:rsid w:val="009D762D"/>
    <w:rsid w:val="00A02FA4"/>
    <w:rsid w:val="00A06AF6"/>
    <w:rsid w:val="00A1108F"/>
    <w:rsid w:val="00A17C1E"/>
    <w:rsid w:val="00A21B12"/>
    <w:rsid w:val="00A412C0"/>
    <w:rsid w:val="00A44AA4"/>
    <w:rsid w:val="00A46DE7"/>
    <w:rsid w:val="00A51EC9"/>
    <w:rsid w:val="00A754B6"/>
    <w:rsid w:val="00A9097B"/>
    <w:rsid w:val="00A911EE"/>
    <w:rsid w:val="00A92859"/>
    <w:rsid w:val="00A96AA4"/>
    <w:rsid w:val="00AB62DD"/>
    <w:rsid w:val="00AC367A"/>
    <w:rsid w:val="00AC7FD4"/>
    <w:rsid w:val="00B04652"/>
    <w:rsid w:val="00B060CD"/>
    <w:rsid w:val="00B30EC5"/>
    <w:rsid w:val="00B31D52"/>
    <w:rsid w:val="00B379ED"/>
    <w:rsid w:val="00B47786"/>
    <w:rsid w:val="00B50ED9"/>
    <w:rsid w:val="00B616F6"/>
    <w:rsid w:val="00B62900"/>
    <w:rsid w:val="00B735AA"/>
    <w:rsid w:val="00B74680"/>
    <w:rsid w:val="00B768D9"/>
    <w:rsid w:val="00B91153"/>
    <w:rsid w:val="00B952E1"/>
    <w:rsid w:val="00BB7A45"/>
    <w:rsid w:val="00BE6789"/>
    <w:rsid w:val="00C023E1"/>
    <w:rsid w:val="00C46611"/>
    <w:rsid w:val="00C545AC"/>
    <w:rsid w:val="00C74D2E"/>
    <w:rsid w:val="00CC1342"/>
    <w:rsid w:val="00CD33B8"/>
    <w:rsid w:val="00DA526F"/>
    <w:rsid w:val="00DB2515"/>
    <w:rsid w:val="00DC2CC8"/>
    <w:rsid w:val="00DD03F8"/>
    <w:rsid w:val="00DD5AB9"/>
    <w:rsid w:val="00DE7754"/>
    <w:rsid w:val="00DF09AA"/>
    <w:rsid w:val="00E14EB3"/>
    <w:rsid w:val="00E17698"/>
    <w:rsid w:val="00E444AA"/>
    <w:rsid w:val="00E93E1A"/>
    <w:rsid w:val="00EA096C"/>
    <w:rsid w:val="00EA147C"/>
    <w:rsid w:val="00EB3872"/>
    <w:rsid w:val="00ED0278"/>
    <w:rsid w:val="00EE60E4"/>
    <w:rsid w:val="00EF0510"/>
    <w:rsid w:val="00F052F5"/>
    <w:rsid w:val="00F109BB"/>
    <w:rsid w:val="00F15972"/>
    <w:rsid w:val="00F16673"/>
    <w:rsid w:val="00F176E8"/>
    <w:rsid w:val="00F4527E"/>
    <w:rsid w:val="00F65ED9"/>
    <w:rsid w:val="00F66D86"/>
    <w:rsid w:val="00FD569B"/>
    <w:rsid w:val="55B6E8F2"/>
    <w:rsid w:val="5B815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5CEA2A8"/>
  <w15:docId w15:val="{71598501-60AE-43DB-A07E-4CC72ACC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D3888-0ECB-4F58-91FE-708FE889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6216</Words>
  <Characters>36680</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3</cp:revision>
  <cp:lastPrinted>2020-01-14T07:42:00Z</cp:lastPrinted>
  <dcterms:created xsi:type="dcterms:W3CDTF">2020-09-03T10:07:00Z</dcterms:created>
  <dcterms:modified xsi:type="dcterms:W3CDTF">2020-09-03T10:13:00Z</dcterms:modified>
</cp:coreProperties>
</file>