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C9F1D7" w14:textId="77777777" w:rsidR="00027DD4" w:rsidRDefault="00027DD4" w:rsidP="00513D43">
      <w:pPr>
        <w:widowControl w:val="0"/>
        <w:suppressAutoHyphens w:val="0"/>
        <w:overflowPunct/>
        <w:autoSpaceDN w:val="0"/>
        <w:adjustRightInd w:val="0"/>
        <w:spacing w:line="240" w:lineRule="atLeast"/>
        <w:ind w:left="567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</w:pPr>
      <w:r w:rsidRPr="003326AA"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  <w:t>Smlouva o</w:t>
      </w:r>
      <w:r w:rsidR="00297F4F"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  <w:t xml:space="preserve"> nájmu odbavovacích zařízení </w:t>
      </w:r>
      <w:r w:rsidR="00297F4F"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  <w:br/>
        <w:t>a personifikátorů a o</w:t>
      </w:r>
      <w:r w:rsidRPr="003326AA"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  <w:t xml:space="preserve"> </w:t>
      </w:r>
      <w:r w:rsidR="00A50126"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  <w:t xml:space="preserve">zajištění </w:t>
      </w:r>
      <w:r w:rsidR="009A72FC"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  <w:t>IT služeb</w:t>
      </w:r>
    </w:p>
    <w:p w14:paraId="664F9175" w14:textId="77777777" w:rsidR="0017642E" w:rsidRDefault="0017642E" w:rsidP="00513D43">
      <w:pPr>
        <w:widowControl w:val="0"/>
        <w:suppressAutoHyphens w:val="0"/>
        <w:overflowPunct/>
        <w:autoSpaceDN w:val="0"/>
        <w:adjustRightInd w:val="0"/>
        <w:spacing w:line="240" w:lineRule="atLeast"/>
        <w:ind w:left="567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</w:pPr>
    </w:p>
    <w:p w14:paraId="158C12DE" w14:textId="77777777" w:rsidR="0017642E" w:rsidRPr="004603F0" w:rsidRDefault="0017642E" w:rsidP="0017642E">
      <w:pPr>
        <w:widowControl w:val="0"/>
        <w:suppressAutoHyphens w:val="0"/>
        <w:overflowPunct/>
        <w:autoSpaceDN w:val="0"/>
        <w:adjustRightInd w:val="0"/>
        <w:spacing w:line="240" w:lineRule="atLeast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4603F0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Číslo smlouvy Pronajímatele:</w:t>
      </w:r>
    </w:p>
    <w:p w14:paraId="39BC8E90" w14:textId="77777777" w:rsidR="0017642E" w:rsidRPr="004603F0" w:rsidRDefault="0017642E" w:rsidP="0017642E">
      <w:pPr>
        <w:widowControl w:val="0"/>
        <w:suppressAutoHyphens w:val="0"/>
        <w:overflowPunct/>
        <w:autoSpaceDN w:val="0"/>
        <w:adjustRightInd w:val="0"/>
        <w:spacing w:line="240" w:lineRule="atLeast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4603F0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Číslo smlouvy Nájemce:</w:t>
      </w:r>
      <w:r w:rsidR="00A4659F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256/2020</w:t>
      </w:r>
    </w:p>
    <w:p w14:paraId="11B601D5" w14:textId="77777777" w:rsidR="0017642E" w:rsidRPr="004603F0" w:rsidRDefault="0017642E" w:rsidP="0017642E">
      <w:pPr>
        <w:widowControl w:val="0"/>
        <w:suppressAutoHyphens w:val="0"/>
        <w:overflowPunct/>
        <w:autoSpaceDN w:val="0"/>
        <w:adjustRightInd w:val="0"/>
        <w:spacing w:line="240" w:lineRule="atLeast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0E7101DA" w14:textId="77777777" w:rsidR="0017642E" w:rsidRPr="004603F0" w:rsidRDefault="0017642E" w:rsidP="0017642E">
      <w:pPr>
        <w:widowControl w:val="0"/>
        <w:suppressAutoHyphens w:val="0"/>
        <w:overflowPunct/>
        <w:autoSpaceDN w:val="0"/>
        <w:adjustRightInd w:val="0"/>
        <w:spacing w:line="240" w:lineRule="atLeast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2060C7E3" w14:textId="77777777" w:rsidR="00027DD4" w:rsidRPr="004603F0" w:rsidRDefault="00027DD4" w:rsidP="00513D43">
      <w:pPr>
        <w:widowControl w:val="0"/>
        <w:suppressAutoHyphens w:val="0"/>
        <w:overflowPunct/>
        <w:autoSpaceDN w:val="0"/>
        <w:adjustRightInd w:val="0"/>
        <w:spacing w:line="240" w:lineRule="atLeast"/>
        <w:ind w:left="567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3BE11214" w14:textId="77777777" w:rsidR="007A6881" w:rsidRPr="004603F0" w:rsidRDefault="00A50126" w:rsidP="007A6881">
      <w:pPr>
        <w:tabs>
          <w:tab w:val="left" w:pos="212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603F0">
        <w:rPr>
          <w:rFonts w:asciiTheme="minorHAnsi" w:hAnsiTheme="minorHAnsi" w:cstheme="minorHAnsi"/>
          <w:b/>
          <w:sz w:val="22"/>
          <w:szCs w:val="22"/>
          <w:lang w:eastAsia="cs-CZ"/>
        </w:rPr>
        <w:t>Poskytovatel</w:t>
      </w:r>
      <w:r w:rsidR="00840A69" w:rsidRPr="004603F0">
        <w:rPr>
          <w:rFonts w:asciiTheme="minorHAnsi" w:hAnsiTheme="minorHAnsi" w:cstheme="minorHAnsi"/>
          <w:b/>
          <w:sz w:val="22"/>
          <w:szCs w:val="22"/>
          <w:lang w:eastAsia="cs-CZ"/>
        </w:rPr>
        <w:t>:</w:t>
      </w:r>
      <w:r w:rsidR="00840A69" w:rsidRPr="004603F0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proofErr w:type="spellStart"/>
      <w:r w:rsidR="009A72FC" w:rsidRPr="004603F0">
        <w:rPr>
          <w:rFonts w:asciiTheme="minorHAnsi" w:hAnsiTheme="minorHAnsi" w:cstheme="minorHAnsi"/>
          <w:b/>
          <w:sz w:val="22"/>
          <w:szCs w:val="22"/>
        </w:rPr>
        <w:t>BusLine</w:t>
      </w:r>
      <w:proofErr w:type="spellEnd"/>
      <w:r w:rsidR="009A72FC" w:rsidRPr="004603F0">
        <w:rPr>
          <w:rFonts w:asciiTheme="minorHAnsi" w:hAnsiTheme="minorHAnsi" w:cstheme="minorHAnsi"/>
          <w:b/>
          <w:sz w:val="22"/>
          <w:szCs w:val="22"/>
        </w:rPr>
        <w:t xml:space="preserve"> Support s.r.o.</w:t>
      </w:r>
    </w:p>
    <w:p w14:paraId="447F4F19" w14:textId="77777777" w:rsidR="007A6881" w:rsidRPr="004603F0" w:rsidRDefault="009A72FC" w:rsidP="007A6881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03F0">
        <w:rPr>
          <w:rFonts w:asciiTheme="minorHAnsi" w:hAnsiTheme="minorHAnsi" w:cstheme="minorHAnsi"/>
          <w:b/>
          <w:sz w:val="22"/>
          <w:szCs w:val="22"/>
        </w:rPr>
        <w:t>jednající:</w:t>
      </w:r>
      <w:r w:rsidRPr="004603F0">
        <w:rPr>
          <w:rFonts w:asciiTheme="minorHAnsi" w:hAnsiTheme="minorHAnsi" w:cstheme="minorHAnsi"/>
          <w:b/>
          <w:sz w:val="22"/>
          <w:szCs w:val="22"/>
        </w:rPr>
        <w:tab/>
      </w:r>
      <w:r w:rsidRPr="00576B85">
        <w:rPr>
          <w:rFonts w:asciiTheme="minorHAnsi" w:hAnsiTheme="minorHAnsi" w:cstheme="minorHAnsi"/>
          <w:b/>
          <w:sz w:val="22"/>
          <w:szCs w:val="22"/>
          <w:highlight w:val="black"/>
        </w:rPr>
        <w:t>Jakub Vyskočil, jednatel</w:t>
      </w:r>
    </w:p>
    <w:p w14:paraId="630A5702" w14:textId="77777777" w:rsidR="007A6881" w:rsidRPr="004603F0" w:rsidRDefault="00C2608C" w:rsidP="007A6881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03F0">
        <w:rPr>
          <w:rFonts w:asciiTheme="minorHAnsi" w:hAnsiTheme="minorHAnsi" w:cstheme="minorHAnsi"/>
          <w:sz w:val="22"/>
          <w:szCs w:val="22"/>
        </w:rPr>
        <w:t>Sídlo</w:t>
      </w:r>
      <w:r w:rsidR="00672AD2" w:rsidRPr="004603F0">
        <w:rPr>
          <w:rFonts w:asciiTheme="minorHAnsi" w:hAnsiTheme="minorHAnsi" w:cstheme="minorHAnsi"/>
          <w:sz w:val="22"/>
          <w:szCs w:val="22"/>
        </w:rPr>
        <w:t>:</w:t>
      </w:r>
      <w:r w:rsidR="003326AA" w:rsidRPr="004603F0">
        <w:rPr>
          <w:rFonts w:asciiTheme="minorHAnsi" w:hAnsiTheme="minorHAnsi" w:cstheme="minorHAnsi"/>
          <w:sz w:val="22"/>
          <w:szCs w:val="22"/>
        </w:rPr>
        <w:tab/>
        <w:t xml:space="preserve">Na Rovinkách 211, </w:t>
      </w:r>
      <w:r w:rsidR="006875D1" w:rsidRPr="004603F0">
        <w:rPr>
          <w:rFonts w:asciiTheme="minorHAnsi" w:hAnsiTheme="minorHAnsi" w:cstheme="minorHAnsi"/>
          <w:sz w:val="22"/>
          <w:szCs w:val="22"/>
        </w:rPr>
        <w:t xml:space="preserve">Podmoklice, </w:t>
      </w:r>
      <w:r w:rsidR="003326AA" w:rsidRPr="004603F0">
        <w:rPr>
          <w:rFonts w:asciiTheme="minorHAnsi" w:hAnsiTheme="minorHAnsi" w:cstheme="minorHAnsi"/>
          <w:sz w:val="22"/>
          <w:szCs w:val="22"/>
        </w:rPr>
        <w:t>513 01 Semily</w:t>
      </w:r>
      <w:r w:rsidR="00672AD2" w:rsidRPr="004603F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B8DB45" w14:textId="77777777" w:rsidR="007A6881" w:rsidRPr="004603F0" w:rsidRDefault="00672AD2" w:rsidP="007A6881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03F0">
        <w:rPr>
          <w:rFonts w:asciiTheme="minorHAnsi" w:hAnsiTheme="minorHAnsi" w:cstheme="minorHAnsi"/>
          <w:sz w:val="22"/>
          <w:szCs w:val="22"/>
        </w:rPr>
        <w:t>IČ:</w:t>
      </w:r>
      <w:r w:rsidR="003326AA" w:rsidRPr="004603F0">
        <w:rPr>
          <w:rFonts w:asciiTheme="minorHAnsi" w:hAnsiTheme="minorHAnsi" w:cstheme="minorHAnsi"/>
          <w:sz w:val="22"/>
          <w:szCs w:val="22"/>
        </w:rPr>
        <w:tab/>
      </w:r>
      <w:r w:rsidR="009A72FC" w:rsidRPr="004603F0">
        <w:rPr>
          <w:rFonts w:asciiTheme="minorHAnsi" w:hAnsiTheme="minorHAnsi" w:cstheme="minorHAnsi"/>
          <w:sz w:val="22"/>
          <w:szCs w:val="22"/>
        </w:rPr>
        <w:t>05667470</w:t>
      </w:r>
    </w:p>
    <w:p w14:paraId="34C09CFD" w14:textId="77777777" w:rsidR="007A6881" w:rsidRPr="004603F0" w:rsidRDefault="00672AD2" w:rsidP="007A6881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03F0">
        <w:rPr>
          <w:rFonts w:asciiTheme="minorHAnsi" w:hAnsiTheme="minorHAnsi" w:cstheme="minorHAnsi"/>
          <w:sz w:val="22"/>
          <w:szCs w:val="22"/>
        </w:rPr>
        <w:t>DIČ:</w:t>
      </w:r>
      <w:r w:rsidR="003326AA" w:rsidRPr="004603F0">
        <w:rPr>
          <w:rFonts w:asciiTheme="minorHAnsi" w:hAnsiTheme="minorHAnsi" w:cstheme="minorHAnsi"/>
          <w:sz w:val="22"/>
          <w:szCs w:val="22"/>
        </w:rPr>
        <w:tab/>
        <w:t>CZ699005114</w:t>
      </w:r>
    </w:p>
    <w:p w14:paraId="5C537538" w14:textId="77777777" w:rsidR="007A6881" w:rsidRPr="004603F0" w:rsidRDefault="003326AA" w:rsidP="007A6881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03F0">
        <w:rPr>
          <w:rFonts w:asciiTheme="minorHAnsi" w:hAnsiTheme="minorHAnsi" w:cstheme="minorHAnsi"/>
          <w:sz w:val="22"/>
          <w:szCs w:val="22"/>
        </w:rPr>
        <w:t>Spisová značka:</w:t>
      </w:r>
      <w:r w:rsidRPr="004603F0">
        <w:rPr>
          <w:rFonts w:asciiTheme="minorHAnsi" w:hAnsiTheme="minorHAnsi" w:cstheme="minorHAnsi"/>
          <w:sz w:val="22"/>
          <w:szCs w:val="22"/>
        </w:rPr>
        <w:tab/>
        <w:t xml:space="preserve">C </w:t>
      </w:r>
      <w:r w:rsidR="009A72FC" w:rsidRPr="004603F0">
        <w:rPr>
          <w:rFonts w:asciiTheme="minorHAnsi" w:hAnsiTheme="minorHAnsi" w:cstheme="minorHAnsi"/>
          <w:sz w:val="22"/>
          <w:szCs w:val="22"/>
        </w:rPr>
        <w:t>40540</w:t>
      </w:r>
      <w:r w:rsidRPr="004603F0">
        <w:rPr>
          <w:rFonts w:asciiTheme="minorHAnsi" w:hAnsiTheme="minorHAnsi" w:cstheme="minorHAnsi"/>
          <w:sz w:val="22"/>
          <w:szCs w:val="22"/>
        </w:rPr>
        <w:t xml:space="preserve"> vedená u Krajského soudu v Hradci Králové</w:t>
      </w:r>
    </w:p>
    <w:p w14:paraId="08C4C0FC" w14:textId="77777777" w:rsidR="007A6881" w:rsidRPr="004603F0" w:rsidRDefault="00672AD2" w:rsidP="007A6881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03F0">
        <w:rPr>
          <w:rFonts w:asciiTheme="minorHAnsi" w:hAnsiTheme="minorHAnsi" w:cstheme="minorHAnsi"/>
          <w:sz w:val="22"/>
          <w:szCs w:val="22"/>
        </w:rPr>
        <w:t>Telefon:</w:t>
      </w:r>
      <w:r w:rsidR="003326AA" w:rsidRPr="004603F0">
        <w:rPr>
          <w:rFonts w:asciiTheme="minorHAnsi" w:hAnsiTheme="minorHAnsi" w:cstheme="minorHAnsi"/>
          <w:sz w:val="22"/>
          <w:szCs w:val="22"/>
        </w:rPr>
        <w:tab/>
      </w:r>
      <w:r w:rsidR="003326AA" w:rsidRPr="00576B85">
        <w:rPr>
          <w:rFonts w:asciiTheme="minorHAnsi" w:hAnsiTheme="minorHAnsi" w:cstheme="minorHAnsi"/>
          <w:sz w:val="22"/>
          <w:szCs w:val="22"/>
          <w:highlight w:val="black"/>
        </w:rPr>
        <w:t>481 368</w:t>
      </w:r>
      <w:r w:rsidR="007A6881" w:rsidRPr="00576B85">
        <w:rPr>
          <w:rFonts w:asciiTheme="minorHAnsi" w:hAnsiTheme="minorHAnsi" w:cstheme="minorHAnsi"/>
          <w:sz w:val="22"/>
          <w:szCs w:val="22"/>
          <w:highlight w:val="black"/>
        </w:rPr>
        <w:t> </w:t>
      </w:r>
      <w:r w:rsidR="003326AA" w:rsidRPr="00576B85">
        <w:rPr>
          <w:rFonts w:asciiTheme="minorHAnsi" w:hAnsiTheme="minorHAnsi" w:cstheme="minorHAnsi"/>
          <w:sz w:val="22"/>
          <w:szCs w:val="22"/>
          <w:highlight w:val="black"/>
        </w:rPr>
        <w:t>111</w:t>
      </w:r>
    </w:p>
    <w:p w14:paraId="7F2C3CA4" w14:textId="77777777" w:rsidR="003326AA" w:rsidRPr="004603F0" w:rsidRDefault="003326AA" w:rsidP="007A6881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03F0">
        <w:rPr>
          <w:rFonts w:asciiTheme="minorHAnsi" w:hAnsiTheme="minorHAnsi" w:cstheme="minorHAnsi"/>
          <w:sz w:val="22"/>
          <w:szCs w:val="22"/>
        </w:rPr>
        <w:t>Email:</w:t>
      </w:r>
      <w:r w:rsidRPr="004603F0">
        <w:rPr>
          <w:rFonts w:asciiTheme="minorHAnsi" w:hAnsiTheme="minorHAnsi" w:cstheme="minorHAnsi"/>
          <w:sz w:val="22"/>
          <w:szCs w:val="22"/>
        </w:rPr>
        <w:tab/>
      </w:r>
      <w:hyperlink r:id="rId12" w:history="1">
        <w:proofErr w:type="spellStart"/>
        <w:r w:rsidRPr="00576B85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highlight w:val="black"/>
          </w:rPr>
          <w:t>info.sm@busline.cz</w:t>
        </w:r>
        <w:proofErr w:type="spellEnd"/>
      </w:hyperlink>
      <w:r w:rsidRPr="004603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1F4927" w14:textId="77777777" w:rsidR="00672AD2" w:rsidRPr="004603F0" w:rsidRDefault="00672AD2" w:rsidP="00266F2B">
      <w:pPr>
        <w:jc w:val="both"/>
        <w:rPr>
          <w:rFonts w:asciiTheme="minorHAnsi" w:hAnsiTheme="minorHAnsi" w:cstheme="minorHAnsi"/>
          <w:sz w:val="22"/>
          <w:szCs w:val="22"/>
        </w:rPr>
      </w:pPr>
      <w:r w:rsidRPr="004603F0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4603F0">
        <w:rPr>
          <w:rFonts w:asciiTheme="minorHAnsi" w:hAnsiTheme="minorHAnsi" w:cstheme="minorHAnsi"/>
          <w:sz w:val="22"/>
          <w:szCs w:val="22"/>
        </w:rPr>
        <w:tab/>
      </w:r>
      <w:r w:rsidR="00C2608C" w:rsidRPr="00576B85">
        <w:rPr>
          <w:rFonts w:asciiTheme="minorHAnsi" w:hAnsiTheme="minorHAnsi" w:cstheme="minorHAnsi"/>
          <w:sz w:val="22"/>
          <w:szCs w:val="22"/>
          <w:highlight w:val="black"/>
        </w:rPr>
        <w:t>Komerční banka</w:t>
      </w:r>
      <w:r w:rsidR="003326AA" w:rsidRPr="00576B85">
        <w:rPr>
          <w:rFonts w:asciiTheme="minorHAnsi" w:hAnsiTheme="minorHAnsi" w:cstheme="minorHAnsi"/>
          <w:sz w:val="22"/>
          <w:szCs w:val="22"/>
          <w:highlight w:val="black"/>
        </w:rPr>
        <w:t xml:space="preserve"> a.s., č. účtu</w:t>
      </w:r>
      <w:r w:rsidR="001A311E" w:rsidRPr="00576B85">
        <w:rPr>
          <w:rFonts w:asciiTheme="minorHAnsi" w:hAnsiTheme="minorHAnsi" w:cstheme="minorHAnsi"/>
          <w:sz w:val="22"/>
          <w:szCs w:val="22"/>
          <w:highlight w:val="black"/>
        </w:rPr>
        <w:t>:</w:t>
      </w:r>
      <w:r w:rsidR="003326AA" w:rsidRPr="00576B85">
        <w:rPr>
          <w:rFonts w:asciiTheme="minorHAnsi" w:hAnsiTheme="minorHAnsi" w:cstheme="minorHAnsi"/>
          <w:sz w:val="22"/>
          <w:szCs w:val="22"/>
          <w:highlight w:val="black"/>
        </w:rPr>
        <w:t xml:space="preserve"> </w:t>
      </w:r>
      <w:r w:rsidR="009A72FC" w:rsidRPr="00576B85">
        <w:rPr>
          <w:rFonts w:asciiTheme="minorHAnsi" w:hAnsiTheme="minorHAnsi" w:cstheme="minorHAnsi"/>
          <w:sz w:val="22"/>
          <w:szCs w:val="22"/>
          <w:highlight w:val="black"/>
        </w:rPr>
        <w:t>115-3872890227/0100</w:t>
      </w:r>
    </w:p>
    <w:p w14:paraId="4E463475" w14:textId="77777777" w:rsidR="00027DD4" w:rsidRPr="004603F0" w:rsidRDefault="00672AD2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603F0">
        <w:rPr>
          <w:rFonts w:asciiTheme="minorHAnsi" w:hAnsiTheme="minorHAnsi" w:cstheme="minorHAnsi"/>
          <w:sz w:val="22"/>
          <w:szCs w:val="22"/>
        </w:rPr>
        <w:t xml:space="preserve">Oprávněná osoba jednající jménem </w:t>
      </w:r>
      <w:r w:rsidR="00D439D1" w:rsidRPr="004603F0">
        <w:rPr>
          <w:rFonts w:asciiTheme="minorHAnsi" w:hAnsiTheme="minorHAnsi" w:cstheme="minorHAnsi"/>
          <w:sz w:val="22"/>
          <w:szCs w:val="22"/>
        </w:rPr>
        <w:t>poskytovatele</w:t>
      </w:r>
      <w:r w:rsidRPr="004603F0">
        <w:rPr>
          <w:rFonts w:asciiTheme="minorHAnsi" w:hAnsiTheme="minorHAnsi" w:cstheme="minorHAnsi"/>
          <w:sz w:val="22"/>
          <w:szCs w:val="22"/>
        </w:rPr>
        <w:t xml:space="preserve">: </w:t>
      </w:r>
      <w:r w:rsidR="003326AA" w:rsidRPr="00576B85">
        <w:rPr>
          <w:rFonts w:asciiTheme="minorHAnsi" w:hAnsiTheme="minorHAnsi" w:cstheme="minorHAnsi"/>
          <w:sz w:val="22"/>
          <w:szCs w:val="22"/>
          <w:highlight w:val="black"/>
        </w:rPr>
        <w:t>Jakub Vyskočil, jednatel</w:t>
      </w:r>
    </w:p>
    <w:p w14:paraId="76575DCB" w14:textId="77777777" w:rsidR="0023763A" w:rsidRPr="004603F0" w:rsidRDefault="0023763A" w:rsidP="0023763A">
      <w:pPr>
        <w:jc w:val="both"/>
        <w:rPr>
          <w:rFonts w:asciiTheme="minorHAnsi" w:hAnsiTheme="minorHAnsi" w:cstheme="minorHAnsi"/>
          <w:sz w:val="22"/>
          <w:szCs w:val="22"/>
        </w:rPr>
      </w:pPr>
      <w:r w:rsidRPr="004603F0">
        <w:rPr>
          <w:rFonts w:asciiTheme="minorHAnsi" w:hAnsiTheme="minorHAnsi" w:cstheme="minorHAnsi"/>
          <w:sz w:val="22"/>
          <w:szCs w:val="22"/>
        </w:rPr>
        <w:t>(dále jen „</w:t>
      </w:r>
      <w:r w:rsidR="007A2C30" w:rsidRPr="004603F0">
        <w:rPr>
          <w:rFonts w:asciiTheme="minorHAnsi" w:hAnsiTheme="minorHAnsi" w:cstheme="minorHAnsi"/>
          <w:b/>
          <w:sz w:val="22"/>
          <w:szCs w:val="22"/>
        </w:rPr>
        <w:t>p</w:t>
      </w:r>
      <w:r w:rsidR="002905A0" w:rsidRPr="004603F0">
        <w:rPr>
          <w:rFonts w:asciiTheme="minorHAnsi" w:hAnsiTheme="minorHAnsi" w:cstheme="minorHAnsi"/>
          <w:b/>
          <w:sz w:val="22"/>
          <w:szCs w:val="22"/>
        </w:rPr>
        <w:t>ronajímatel</w:t>
      </w:r>
      <w:r w:rsidRPr="004603F0">
        <w:rPr>
          <w:rFonts w:asciiTheme="minorHAnsi" w:hAnsiTheme="minorHAnsi" w:cstheme="minorHAnsi"/>
          <w:sz w:val="22"/>
          <w:szCs w:val="22"/>
        </w:rPr>
        <w:t>“)</w:t>
      </w:r>
    </w:p>
    <w:p w14:paraId="10B6272A" w14:textId="77777777" w:rsidR="00027DD4" w:rsidRPr="004603F0" w:rsidRDefault="00027DD4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70937D2" w14:textId="77777777" w:rsidR="00027DD4" w:rsidRPr="004603F0" w:rsidRDefault="00027DD4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  <w:r w:rsidRPr="004603F0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                                       a</w:t>
      </w:r>
    </w:p>
    <w:p w14:paraId="77AF4AA7" w14:textId="77777777" w:rsidR="00027DD4" w:rsidRPr="004603F0" w:rsidRDefault="00027DD4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ACFE0EE" w14:textId="77777777" w:rsidR="007A6881" w:rsidRPr="004603F0" w:rsidRDefault="00A50126" w:rsidP="007A6881">
      <w:pPr>
        <w:tabs>
          <w:tab w:val="left" w:pos="2127"/>
        </w:tabs>
        <w:suppressAutoHyphens w:val="0"/>
        <w:overflowPunct/>
        <w:autoSpaceDE/>
        <w:jc w:val="both"/>
        <w:textAlignment w:val="auto"/>
        <w:rPr>
          <w:rFonts w:asciiTheme="minorHAnsi" w:hAnsiTheme="minorHAnsi"/>
          <w:sz w:val="22"/>
          <w:szCs w:val="22"/>
        </w:rPr>
      </w:pPr>
      <w:r w:rsidRPr="004603F0">
        <w:rPr>
          <w:rFonts w:asciiTheme="minorHAnsi" w:hAnsiTheme="minorHAnsi" w:cstheme="minorHAnsi"/>
          <w:b/>
          <w:sz w:val="22"/>
          <w:szCs w:val="22"/>
          <w:lang w:eastAsia="cs-CZ"/>
        </w:rPr>
        <w:t>Odběratel</w:t>
      </w:r>
      <w:r w:rsidR="00027DD4" w:rsidRPr="004603F0">
        <w:rPr>
          <w:rFonts w:asciiTheme="minorHAnsi" w:hAnsiTheme="minorHAnsi" w:cstheme="minorHAnsi"/>
          <w:b/>
          <w:sz w:val="22"/>
          <w:szCs w:val="22"/>
          <w:lang w:eastAsia="cs-CZ"/>
        </w:rPr>
        <w:t>:</w:t>
      </w:r>
      <w:r w:rsidR="00027DD4" w:rsidRPr="004603F0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="00DB4B44" w:rsidRPr="004603F0">
        <w:rPr>
          <w:rFonts w:asciiTheme="minorHAnsi" w:hAnsiTheme="minorHAnsi" w:cstheme="minorHAnsi"/>
          <w:b/>
          <w:sz w:val="22"/>
          <w:szCs w:val="22"/>
          <w:lang w:eastAsia="cs-CZ"/>
        </w:rPr>
        <w:t>D</w:t>
      </w:r>
      <w:r w:rsidR="00DB4B44" w:rsidRPr="004603F0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opravní společnost Ústeckého kraje, příspěvková organizace</w:t>
      </w:r>
    </w:p>
    <w:p w14:paraId="33F4D278" w14:textId="77777777" w:rsidR="007A6881" w:rsidRPr="004603F0" w:rsidRDefault="00C2608C" w:rsidP="007A6881">
      <w:pPr>
        <w:tabs>
          <w:tab w:val="left" w:pos="2127"/>
        </w:tabs>
        <w:suppressAutoHyphens w:val="0"/>
        <w:overflowPunct/>
        <w:autoSpaceDE/>
        <w:jc w:val="both"/>
        <w:textAlignment w:val="auto"/>
        <w:rPr>
          <w:rFonts w:asciiTheme="minorHAnsi" w:hAnsiTheme="minorHAnsi"/>
          <w:sz w:val="22"/>
          <w:szCs w:val="22"/>
        </w:rPr>
      </w:pPr>
      <w:r w:rsidRPr="004603F0">
        <w:rPr>
          <w:rFonts w:asciiTheme="minorHAnsi" w:hAnsiTheme="minorHAnsi"/>
          <w:sz w:val="22"/>
          <w:szCs w:val="22"/>
        </w:rPr>
        <w:t>Sídlo:</w:t>
      </w:r>
      <w:r w:rsidRPr="004603F0">
        <w:rPr>
          <w:rFonts w:asciiTheme="minorHAnsi" w:hAnsiTheme="minorHAnsi"/>
          <w:sz w:val="22"/>
          <w:szCs w:val="22"/>
        </w:rPr>
        <w:tab/>
      </w:r>
      <w:r w:rsidR="00DB4B44" w:rsidRPr="004603F0">
        <w:rPr>
          <w:rFonts w:asciiTheme="minorHAnsi" w:hAnsiTheme="minorHAnsi"/>
          <w:sz w:val="22"/>
          <w:szCs w:val="22"/>
          <w:shd w:val="clear" w:color="auto" w:fill="FFFFFF"/>
        </w:rPr>
        <w:t>Velká Hradební 3118/48, Ústí nad Labem-centrum, 400 01 Ústí nad Labem</w:t>
      </w:r>
    </w:p>
    <w:p w14:paraId="523B0E6C" w14:textId="77777777" w:rsidR="007A6881" w:rsidRPr="004603F0" w:rsidRDefault="00C2608C" w:rsidP="007A6881">
      <w:pPr>
        <w:tabs>
          <w:tab w:val="left" w:pos="2127"/>
        </w:tabs>
        <w:suppressAutoHyphens w:val="0"/>
        <w:overflowPunct/>
        <w:autoSpaceDE/>
        <w:jc w:val="both"/>
        <w:textAlignment w:val="auto"/>
        <w:rPr>
          <w:rFonts w:asciiTheme="minorHAnsi" w:hAnsiTheme="minorHAnsi"/>
          <w:sz w:val="22"/>
          <w:szCs w:val="22"/>
        </w:rPr>
      </w:pPr>
      <w:r w:rsidRPr="004603F0">
        <w:rPr>
          <w:rFonts w:asciiTheme="minorHAnsi" w:hAnsiTheme="minorHAnsi"/>
          <w:sz w:val="22"/>
          <w:szCs w:val="22"/>
        </w:rPr>
        <w:t>IČ</w:t>
      </w:r>
      <w:r w:rsidR="007A6881" w:rsidRPr="004603F0">
        <w:rPr>
          <w:rFonts w:asciiTheme="minorHAnsi" w:hAnsiTheme="minorHAnsi"/>
          <w:sz w:val="22"/>
          <w:szCs w:val="22"/>
        </w:rPr>
        <w:t>O</w:t>
      </w:r>
      <w:r w:rsidRPr="004603F0">
        <w:rPr>
          <w:rFonts w:asciiTheme="minorHAnsi" w:hAnsiTheme="minorHAnsi"/>
          <w:sz w:val="22"/>
          <w:szCs w:val="22"/>
        </w:rPr>
        <w:t>:</w:t>
      </w:r>
      <w:r w:rsidRPr="004603F0">
        <w:rPr>
          <w:rFonts w:asciiTheme="minorHAnsi" w:hAnsiTheme="minorHAnsi"/>
          <w:sz w:val="22"/>
          <w:szCs w:val="22"/>
        </w:rPr>
        <w:tab/>
      </w:r>
      <w:r w:rsidR="00DB4B44" w:rsidRPr="004603F0">
        <w:rPr>
          <w:rFonts w:asciiTheme="minorHAnsi" w:hAnsiTheme="minorHAnsi"/>
          <w:sz w:val="22"/>
          <w:szCs w:val="22"/>
        </w:rPr>
        <w:t>06231292</w:t>
      </w:r>
    </w:p>
    <w:p w14:paraId="3EA5345A" w14:textId="77777777" w:rsidR="007A6881" w:rsidRPr="004603F0" w:rsidRDefault="00C2608C" w:rsidP="007A6881">
      <w:pPr>
        <w:tabs>
          <w:tab w:val="left" w:pos="2127"/>
        </w:tabs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603F0">
        <w:rPr>
          <w:rFonts w:asciiTheme="minorHAnsi" w:hAnsiTheme="minorHAnsi"/>
          <w:sz w:val="22"/>
          <w:szCs w:val="22"/>
        </w:rPr>
        <w:t>DIČ:</w:t>
      </w:r>
      <w:r w:rsidRPr="004603F0">
        <w:rPr>
          <w:rFonts w:asciiTheme="minorHAnsi" w:hAnsiTheme="minorHAnsi"/>
          <w:sz w:val="22"/>
          <w:szCs w:val="22"/>
        </w:rPr>
        <w:tab/>
      </w:r>
      <w:r w:rsidR="00DB4B44" w:rsidRPr="004603F0">
        <w:rPr>
          <w:rFonts w:asciiTheme="minorHAnsi" w:hAnsiTheme="minorHAnsi"/>
          <w:sz w:val="22"/>
          <w:szCs w:val="22"/>
        </w:rPr>
        <w:t>CZ06231292</w:t>
      </w:r>
    </w:p>
    <w:p w14:paraId="62D648D8" w14:textId="77777777" w:rsidR="007A6881" w:rsidRPr="004603F0" w:rsidRDefault="00C2608C" w:rsidP="007A6881">
      <w:pPr>
        <w:tabs>
          <w:tab w:val="left" w:pos="2127"/>
        </w:tabs>
        <w:suppressAutoHyphens w:val="0"/>
        <w:overflowPunct/>
        <w:autoSpaceDE/>
        <w:jc w:val="both"/>
        <w:textAlignment w:val="auto"/>
        <w:rPr>
          <w:rFonts w:asciiTheme="minorHAnsi" w:hAnsiTheme="minorHAnsi"/>
          <w:sz w:val="22"/>
          <w:szCs w:val="22"/>
        </w:rPr>
      </w:pPr>
      <w:r w:rsidRPr="004603F0">
        <w:rPr>
          <w:rFonts w:asciiTheme="minorHAnsi" w:hAnsiTheme="minorHAnsi" w:cstheme="minorHAnsi"/>
          <w:sz w:val="22"/>
          <w:szCs w:val="22"/>
        </w:rPr>
        <w:t>Spisová značka:</w:t>
      </w:r>
      <w:r w:rsidRPr="004603F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B4B44" w:rsidRPr="004603F0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="00DB4B44" w:rsidRPr="004603F0">
        <w:rPr>
          <w:rFonts w:asciiTheme="minorHAnsi" w:hAnsiTheme="minorHAnsi" w:cstheme="minorHAnsi"/>
          <w:sz w:val="22"/>
          <w:szCs w:val="22"/>
        </w:rPr>
        <w:t xml:space="preserve"> 1129 vedená u Krajského soudu v Ústí nad Labem</w:t>
      </w:r>
    </w:p>
    <w:p w14:paraId="51B572BD" w14:textId="77777777" w:rsidR="00C2608C" w:rsidRPr="004603F0" w:rsidRDefault="001A311E" w:rsidP="007A6881">
      <w:pPr>
        <w:tabs>
          <w:tab w:val="left" w:pos="2127"/>
        </w:tabs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603F0">
        <w:rPr>
          <w:rFonts w:asciiTheme="minorHAnsi" w:hAnsiTheme="minorHAnsi"/>
          <w:sz w:val="22"/>
          <w:szCs w:val="22"/>
        </w:rPr>
        <w:t>B</w:t>
      </w:r>
      <w:r w:rsidR="00C2608C" w:rsidRPr="004603F0">
        <w:rPr>
          <w:rFonts w:asciiTheme="minorHAnsi" w:hAnsiTheme="minorHAnsi"/>
          <w:sz w:val="22"/>
          <w:szCs w:val="22"/>
        </w:rPr>
        <w:t xml:space="preserve">ankovní spojení: </w:t>
      </w:r>
      <w:r w:rsidR="00C2608C" w:rsidRPr="004603F0">
        <w:rPr>
          <w:rFonts w:asciiTheme="minorHAnsi" w:hAnsiTheme="minorHAnsi"/>
          <w:sz w:val="22"/>
          <w:szCs w:val="22"/>
        </w:rPr>
        <w:tab/>
      </w:r>
      <w:r w:rsidR="00DB4B44" w:rsidRPr="00576B85">
        <w:rPr>
          <w:rFonts w:asciiTheme="minorHAnsi" w:hAnsiTheme="minorHAnsi"/>
          <w:sz w:val="22"/>
          <w:szCs w:val="22"/>
          <w:highlight w:val="black"/>
        </w:rPr>
        <w:t>Česká spořitelna, a.s.</w:t>
      </w:r>
      <w:r w:rsidRPr="00576B85">
        <w:rPr>
          <w:rFonts w:asciiTheme="minorHAnsi" w:hAnsiTheme="minorHAnsi" w:cstheme="minorHAnsi"/>
          <w:sz w:val="22"/>
          <w:szCs w:val="22"/>
          <w:highlight w:val="black"/>
        </w:rPr>
        <w:t xml:space="preserve">, č. účtu: </w:t>
      </w:r>
      <w:r w:rsidR="00DB4B44" w:rsidRPr="00576B85">
        <w:rPr>
          <w:rFonts w:asciiTheme="minorHAnsi" w:hAnsiTheme="minorHAnsi" w:cstheme="minorHAnsi"/>
          <w:sz w:val="22"/>
          <w:szCs w:val="22"/>
          <w:highlight w:val="black"/>
        </w:rPr>
        <w:t>7475762/0800</w:t>
      </w:r>
    </w:p>
    <w:p w14:paraId="38FFA88F" w14:textId="77777777" w:rsidR="00C2608C" w:rsidRPr="004603F0" w:rsidRDefault="00C2608C" w:rsidP="00C2608C">
      <w:pPr>
        <w:jc w:val="both"/>
        <w:rPr>
          <w:rFonts w:asciiTheme="minorHAnsi" w:hAnsiTheme="minorHAnsi"/>
          <w:sz w:val="22"/>
          <w:szCs w:val="22"/>
        </w:rPr>
      </w:pPr>
      <w:r w:rsidRPr="004603F0">
        <w:rPr>
          <w:rFonts w:asciiTheme="minorHAnsi" w:hAnsiTheme="minorHAnsi"/>
          <w:sz w:val="22"/>
          <w:szCs w:val="22"/>
        </w:rPr>
        <w:t xml:space="preserve">Oprávněná osoba jednající jménem odběratele: </w:t>
      </w:r>
      <w:bookmarkStart w:id="0" w:name="_Hlk12007705"/>
      <w:r w:rsidR="00D270C3" w:rsidRPr="00576B85">
        <w:rPr>
          <w:rFonts w:asciiTheme="minorHAnsi" w:hAnsiTheme="minorHAnsi"/>
          <w:sz w:val="22"/>
          <w:szCs w:val="22"/>
          <w:highlight w:val="black"/>
        </w:rPr>
        <w:t xml:space="preserve">Ing. </w:t>
      </w:r>
      <w:r w:rsidR="00DB4B44" w:rsidRPr="00576B85">
        <w:rPr>
          <w:rFonts w:asciiTheme="minorHAnsi" w:hAnsiTheme="minorHAnsi"/>
          <w:sz w:val="22"/>
          <w:szCs w:val="22"/>
          <w:highlight w:val="black"/>
        </w:rPr>
        <w:t>Milan Šlejtr</w:t>
      </w:r>
      <w:r w:rsidRPr="00576B85">
        <w:rPr>
          <w:rFonts w:asciiTheme="minorHAnsi" w:hAnsiTheme="minorHAnsi"/>
          <w:sz w:val="22"/>
          <w:szCs w:val="22"/>
          <w:highlight w:val="black"/>
        </w:rPr>
        <w:t xml:space="preserve">, </w:t>
      </w:r>
      <w:r w:rsidR="00DB4B44" w:rsidRPr="00576B85">
        <w:rPr>
          <w:rFonts w:asciiTheme="minorHAnsi" w:hAnsiTheme="minorHAnsi"/>
          <w:sz w:val="22"/>
          <w:szCs w:val="22"/>
          <w:highlight w:val="black"/>
        </w:rPr>
        <w:t>ředitel</w:t>
      </w:r>
      <w:bookmarkEnd w:id="0"/>
    </w:p>
    <w:p w14:paraId="42F23F01" w14:textId="77777777" w:rsidR="000B5EE8" w:rsidRPr="004603F0" w:rsidRDefault="000B5EE8" w:rsidP="00266F2B">
      <w:pPr>
        <w:jc w:val="both"/>
        <w:rPr>
          <w:rFonts w:asciiTheme="minorHAnsi" w:hAnsiTheme="minorHAnsi" w:cstheme="minorHAnsi"/>
          <w:sz w:val="22"/>
          <w:szCs w:val="22"/>
        </w:rPr>
      </w:pPr>
      <w:r w:rsidRPr="004603F0">
        <w:rPr>
          <w:rFonts w:asciiTheme="minorHAnsi" w:hAnsiTheme="minorHAnsi" w:cstheme="minorHAnsi"/>
          <w:sz w:val="22"/>
          <w:szCs w:val="22"/>
        </w:rPr>
        <w:t>(dále jen „</w:t>
      </w:r>
      <w:r w:rsidR="002905A0" w:rsidRPr="004603F0">
        <w:rPr>
          <w:rFonts w:asciiTheme="minorHAnsi" w:hAnsiTheme="minorHAnsi" w:cstheme="minorHAnsi"/>
          <w:b/>
          <w:bCs/>
          <w:sz w:val="22"/>
          <w:szCs w:val="22"/>
        </w:rPr>
        <w:t>nájemce</w:t>
      </w:r>
      <w:r w:rsidRPr="004603F0">
        <w:rPr>
          <w:rFonts w:asciiTheme="minorHAnsi" w:hAnsiTheme="minorHAnsi" w:cstheme="minorHAnsi"/>
          <w:sz w:val="22"/>
          <w:szCs w:val="22"/>
        </w:rPr>
        <w:t>“)</w:t>
      </w:r>
    </w:p>
    <w:p w14:paraId="6267E706" w14:textId="77777777" w:rsidR="00470818" w:rsidRPr="004603F0" w:rsidRDefault="00470818" w:rsidP="00266F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6ACF7" w14:textId="77777777" w:rsidR="00EE7D08" w:rsidRPr="004603F0" w:rsidRDefault="00EE7D08" w:rsidP="00266F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F66D20" w14:textId="77777777" w:rsidR="00027DD4" w:rsidRPr="004603F0" w:rsidRDefault="00027DD4" w:rsidP="004603F0">
      <w:pPr>
        <w:pStyle w:val="Odstavecseseznamem"/>
        <w:numPr>
          <w:ilvl w:val="0"/>
          <w:numId w:val="20"/>
        </w:numPr>
        <w:spacing w:before="240" w:after="120"/>
        <w:ind w:left="426" w:hanging="426"/>
        <w:jc w:val="both"/>
        <w:rPr>
          <w:rFonts w:asciiTheme="minorHAnsi" w:hAnsiTheme="minorHAnsi" w:cstheme="minorHAnsi"/>
          <w:b/>
          <w:lang w:eastAsia="cs-CZ"/>
        </w:rPr>
      </w:pPr>
      <w:r w:rsidRPr="004603F0">
        <w:rPr>
          <w:rFonts w:asciiTheme="minorHAnsi" w:hAnsiTheme="minorHAnsi" w:cstheme="minorHAnsi"/>
          <w:b/>
          <w:lang w:eastAsia="cs-CZ"/>
        </w:rPr>
        <w:t>Předmět smlouvy</w:t>
      </w:r>
    </w:p>
    <w:p w14:paraId="47C545F5" w14:textId="77777777" w:rsidR="002905A0" w:rsidRPr="00066698" w:rsidRDefault="0023763A" w:rsidP="0017642E">
      <w:pPr>
        <w:spacing w:before="1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603F0">
        <w:rPr>
          <w:rFonts w:asciiTheme="minorHAnsi" w:hAnsiTheme="minorHAnsi" w:cstheme="minorHAnsi"/>
          <w:sz w:val="22"/>
          <w:szCs w:val="22"/>
          <w:lang w:eastAsia="cs-CZ"/>
        </w:rPr>
        <w:t xml:space="preserve">Touto smlouvou se </w:t>
      </w:r>
      <w:r w:rsidR="00A50126" w:rsidRPr="004603F0">
        <w:rPr>
          <w:rFonts w:asciiTheme="minorHAnsi" w:hAnsiTheme="minorHAnsi" w:cstheme="minorHAnsi"/>
          <w:sz w:val="22"/>
          <w:szCs w:val="22"/>
          <w:lang w:eastAsia="cs-CZ"/>
        </w:rPr>
        <w:t>p</w:t>
      </w:r>
      <w:r w:rsidR="002905A0" w:rsidRPr="004603F0">
        <w:rPr>
          <w:rFonts w:asciiTheme="minorHAnsi" w:hAnsiTheme="minorHAnsi" w:cstheme="minorHAnsi"/>
          <w:sz w:val="22"/>
          <w:szCs w:val="22"/>
          <w:lang w:eastAsia="cs-CZ"/>
        </w:rPr>
        <w:t>ronajímatel</w:t>
      </w:r>
      <w:r w:rsidRPr="004603F0">
        <w:rPr>
          <w:rFonts w:asciiTheme="minorHAnsi" w:hAnsiTheme="minorHAnsi" w:cstheme="minorHAnsi"/>
          <w:sz w:val="22"/>
          <w:szCs w:val="22"/>
          <w:lang w:eastAsia="cs-CZ"/>
        </w:rPr>
        <w:t xml:space="preserve"> zavazuje </w:t>
      </w:r>
      <w:r w:rsidR="002905A0" w:rsidRPr="004603F0">
        <w:rPr>
          <w:rFonts w:asciiTheme="minorHAnsi" w:hAnsiTheme="minorHAnsi" w:cstheme="minorHAnsi"/>
          <w:sz w:val="22"/>
          <w:szCs w:val="22"/>
          <w:lang w:eastAsia="cs-CZ"/>
        </w:rPr>
        <w:t xml:space="preserve">přenechat nájemci k dočasnému užívání </w:t>
      </w:r>
      <w:r w:rsidR="00CC6873" w:rsidRPr="004603F0">
        <w:rPr>
          <w:rFonts w:asciiTheme="minorHAnsi" w:hAnsiTheme="minorHAnsi" w:cstheme="minorHAnsi"/>
          <w:sz w:val="22"/>
          <w:szCs w:val="22"/>
          <w:lang w:eastAsia="cs-CZ"/>
        </w:rPr>
        <w:t xml:space="preserve">20 ks odbavovacích zařízení a 2 ks personifikátorů pro informační </w:t>
      </w:r>
      <w:r w:rsidR="00CC6873" w:rsidRPr="00066698">
        <w:rPr>
          <w:rFonts w:asciiTheme="minorHAnsi" w:hAnsiTheme="minorHAnsi" w:cstheme="minorHAnsi"/>
          <w:sz w:val="22"/>
          <w:szCs w:val="22"/>
          <w:lang w:eastAsia="cs-CZ"/>
        </w:rPr>
        <w:t>kancelář</w:t>
      </w:r>
      <w:r w:rsidR="007A6881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(dále jen </w:t>
      </w:r>
      <w:r w:rsidR="007B7756" w:rsidRPr="00066698">
        <w:rPr>
          <w:rFonts w:asciiTheme="minorHAnsi" w:hAnsiTheme="minorHAnsi" w:cstheme="minorHAnsi"/>
          <w:sz w:val="22"/>
          <w:szCs w:val="22"/>
          <w:lang w:eastAsia="cs-CZ"/>
        </w:rPr>
        <w:t>„</w:t>
      </w:r>
      <w:r w:rsidR="007A6881" w:rsidRPr="00066698">
        <w:rPr>
          <w:rFonts w:asciiTheme="minorHAnsi" w:hAnsiTheme="minorHAnsi" w:cstheme="minorHAnsi"/>
          <w:sz w:val="22"/>
          <w:szCs w:val="22"/>
          <w:lang w:eastAsia="cs-CZ"/>
        </w:rPr>
        <w:t>předmět nájmu</w:t>
      </w:r>
      <w:r w:rsidR="007B7756" w:rsidRPr="00066698">
        <w:rPr>
          <w:rFonts w:asciiTheme="minorHAnsi" w:hAnsiTheme="minorHAnsi" w:cstheme="minorHAnsi"/>
          <w:sz w:val="22"/>
          <w:szCs w:val="22"/>
          <w:lang w:eastAsia="cs-CZ"/>
        </w:rPr>
        <w:t>“</w:t>
      </w:r>
      <w:r w:rsidR="007A6881" w:rsidRPr="00066698">
        <w:rPr>
          <w:rFonts w:asciiTheme="minorHAnsi" w:hAnsiTheme="minorHAnsi" w:cstheme="minorHAnsi"/>
          <w:sz w:val="22"/>
          <w:szCs w:val="22"/>
          <w:lang w:eastAsia="cs-CZ"/>
        </w:rPr>
        <w:t>)</w:t>
      </w:r>
      <w:r w:rsidR="002905A0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a nájemce se zavazuje platit za to pronajímateli nájemné stanovené v této smlouvě. Pronajímatel se rovněž touto smlouvou zavazuje poskytovat nájemci níže v této smlouvě specifikované služby informačních technologií v</w:t>
      </w:r>
      <w:r w:rsidR="001519D2" w:rsidRPr="00066698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2905A0" w:rsidRPr="00066698">
        <w:rPr>
          <w:rFonts w:asciiTheme="minorHAnsi" w:hAnsiTheme="minorHAnsi" w:cstheme="minorHAnsi"/>
          <w:sz w:val="22"/>
          <w:szCs w:val="22"/>
          <w:lang w:eastAsia="cs-CZ"/>
        </w:rPr>
        <w:t>souvislosti se zajišťováním veřejné linkové dopravy nájemcem v</w:t>
      </w:r>
      <w:r w:rsidR="00C83F28" w:rsidRPr="00066698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2905A0" w:rsidRPr="00066698">
        <w:rPr>
          <w:rFonts w:asciiTheme="minorHAnsi" w:hAnsiTheme="minorHAnsi" w:cstheme="minorHAnsi"/>
          <w:sz w:val="22"/>
          <w:szCs w:val="22"/>
          <w:lang w:eastAsia="cs-CZ"/>
        </w:rPr>
        <w:t>oblasti</w:t>
      </w:r>
      <w:r w:rsidR="00C83F28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Bílina</w:t>
      </w:r>
      <w:r w:rsidR="00FD28DB" w:rsidRPr="00066698">
        <w:rPr>
          <w:rFonts w:asciiTheme="minorHAnsi" w:hAnsiTheme="minorHAnsi" w:cstheme="minorHAnsi"/>
          <w:sz w:val="22"/>
          <w:szCs w:val="22"/>
          <w:lang w:eastAsia="cs-CZ"/>
        </w:rPr>
        <w:t>/Litvínov</w:t>
      </w:r>
      <w:r w:rsidR="00EE1D0B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(dále jen „Bílina“)</w:t>
      </w:r>
      <w:r w:rsidR="002905A0" w:rsidRPr="00066698">
        <w:rPr>
          <w:rFonts w:asciiTheme="minorHAnsi" w:hAnsiTheme="minorHAnsi" w:cstheme="minorHAnsi"/>
          <w:sz w:val="22"/>
          <w:szCs w:val="22"/>
          <w:lang w:eastAsia="cs-CZ"/>
        </w:rPr>
        <w:t>, a nájemce se zavazuje za to pronajímateli hradit níže specifikovanou odměnu.</w:t>
      </w:r>
    </w:p>
    <w:p w14:paraId="76199FF7" w14:textId="77777777" w:rsidR="0017642E" w:rsidRPr="00066698" w:rsidRDefault="0017642E" w:rsidP="0017642E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501AD060" w14:textId="77777777" w:rsidR="00027DD4" w:rsidRPr="00066698" w:rsidRDefault="00027DD4" w:rsidP="004603F0">
      <w:pPr>
        <w:pStyle w:val="Odstavecseseznamem"/>
        <w:numPr>
          <w:ilvl w:val="0"/>
          <w:numId w:val="20"/>
        </w:numPr>
        <w:spacing w:after="120"/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b/>
          <w:lang w:eastAsia="cs-CZ"/>
        </w:rPr>
        <w:t xml:space="preserve">Doba </w:t>
      </w:r>
      <w:r w:rsidR="00A50126" w:rsidRPr="00066698">
        <w:rPr>
          <w:rFonts w:asciiTheme="minorHAnsi" w:hAnsiTheme="minorHAnsi" w:cstheme="minorHAnsi"/>
          <w:b/>
          <w:lang w:eastAsia="cs-CZ"/>
        </w:rPr>
        <w:t>platnosti smlouvy</w:t>
      </w:r>
    </w:p>
    <w:p w14:paraId="2FB8C047" w14:textId="77777777" w:rsidR="00DB4B44" w:rsidRPr="00066698" w:rsidRDefault="00027DD4" w:rsidP="0017642E">
      <w:pPr>
        <w:suppressAutoHyphens w:val="0"/>
        <w:overflowPunct/>
        <w:autoSpaceDE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  <w:r w:rsidRPr="00066698">
        <w:rPr>
          <w:rFonts w:asciiTheme="minorHAnsi" w:hAnsiTheme="minorHAnsi" w:cstheme="minorHAnsi"/>
          <w:sz w:val="22"/>
          <w:szCs w:val="22"/>
          <w:lang w:eastAsia="cs-CZ"/>
        </w:rPr>
        <w:t>Smluv</w:t>
      </w:r>
      <w:r w:rsidR="00464BB1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ní strany se dohodly, že </w:t>
      </w:r>
      <w:r w:rsidR="00A50126" w:rsidRPr="00066698">
        <w:rPr>
          <w:rFonts w:asciiTheme="minorHAnsi" w:hAnsiTheme="minorHAnsi" w:cstheme="minorHAnsi"/>
          <w:sz w:val="22"/>
          <w:szCs w:val="22"/>
          <w:lang w:eastAsia="cs-CZ"/>
        </w:rPr>
        <w:t>tato smlouva se uzavírá</w:t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na dobu </w:t>
      </w:r>
      <w:r w:rsidR="009F3667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určitou </w:t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od </w:t>
      </w:r>
      <w:r w:rsidR="00855350" w:rsidRPr="00066698">
        <w:rPr>
          <w:rFonts w:asciiTheme="minorHAnsi" w:hAnsiTheme="minorHAnsi" w:cstheme="minorHAnsi"/>
          <w:sz w:val="22"/>
          <w:szCs w:val="22"/>
          <w:lang w:eastAsia="cs-CZ"/>
        </w:rPr>
        <w:t>1</w:t>
      </w:r>
      <w:r w:rsidR="000B5EE8" w:rsidRPr="00066698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C2608C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7A6881" w:rsidRPr="00066698">
        <w:rPr>
          <w:rFonts w:asciiTheme="minorHAnsi" w:hAnsiTheme="minorHAnsi" w:cstheme="minorHAnsi"/>
          <w:sz w:val="22"/>
          <w:szCs w:val="22"/>
          <w:lang w:eastAsia="cs-CZ"/>
        </w:rPr>
        <w:t>9</w:t>
      </w:r>
      <w:r w:rsidR="000B5EE8" w:rsidRPr="00066698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C2608C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AC1750">
        <w:rPr>
          <w:rFonts w:asciiTheme="minorHAnsi" w:hAnsiTheme="minorHAnsi" w:cstheme="minorHAnsi"/>
          <w:sz w:val="22"/>
          <w:szCs w:val="22"/>
          <w:lang w:eastAsia="cs-CZ"/>
        </w:rPr>
        <w:t xml:space="preserve">2020 </w:t>
      </w:r>
      <w:r w:rsidR="00DB4B44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do </w:t>
      </w:r>
      <w:r w:rsidR="007A6881" w:rsidRPr="00066698">
        <w:rPr>
          <w:rFonts w:asciiTheme="minorHAnsi" w:hAnsiTheme="minorHAnsi" w:cstheme="minorHAnsi"/>
          <w:sz w:val="22"/>
          <w:szCs w:val="22"/>
          <w:lang w:eastAsia="cs-CZ"/>
        </w:rPr>
        <w:t>31</w:t>
      </w:r>
      <w:r w:rsidR="00DB4B44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  <w:r w:rsidR="007A6881" w:rsidRPr="00066698">
        <w:rPr>
          <w:rFonts w:asciiTheme="minorHAnsi" w:hAnsiTheme="minorHAnsi" w:cstheme="minorHAnsi"/>
          <w:sz w:val="22"/>
          <w:szCs w:val="22"/>
          <w:lang w:eastAsia="cs-CZ"/>
        </w:rPr>
        <w:t>1</w:t>
      </w:r>
      <w:r w:rsidR="00DB4B44" w:rsidRPr="00066698">
        <w:rPr>
          <w:rFonts w:asciiTheme="minorHAnsi" w:hAnsiTheme="minorHAnsi" w:cstheme="minorHAnsi"/>
          <w:sz w:val="22"/>
          <w:szCs w:val="22"/>
          <w:lang w:eastAsia="cs-CZ"/>
        </w:rPr>
        <w:t>2. 202</w:t>
      </w:r>
      <w:r w:rsidR="007A6881" w:rsidRPr="00066698">
        <w:rPr>
          <w:rFonts w:asciiTheme="minorHAnsi" w:hAnsiTheme="minorHAnsi" w:cstheme="minorHAnsi"/>
          <w:sz w:val="22"/>
          <w:szCs w:val="22"/>
          <w:lang w:eastAsia="cs-CZ"/>
        </w:rPr>
        <w:t>1</w:t>
      </w:r>
      <w:r w:rsidR="009F3667" w:rsidRPr="00066698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5DB52F9E" w14:textId="77777777" w:rsidR="007A6881" w:rsidRPr="00066698" w:rsidRDefault="007A6881" w:rsidP="003D26F3">
      <w:pPr>
        <w:suppressAutoHyphens w:val="0"/>
        <w:overflowPunct/>
        <w:autoSpaceDE/>
        <w:spacing w:after="200"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  <w:r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Pronajímatel a Nájemce dále sjednávají, že </w:t>
      </w:r>
      <w:r w:rsidR="007B7756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doba nájmu se </w:t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automaticky </w:t>
      </w:r>
      <w:r w:rsidR="004F4359" w:rsidRPr="00066698">
        <w:rPr>
          <w:rFonts w:asciiTheme="minorHAnsi" w:hAnsiTheme="minorHAnsi" w:cstheme="minorHAnsi"/>
          <w:sz w:val="22"/>
          <w:szCs w:val="22"/>
          <w:lang w:eastAsia="cs-CZ"/>
        </w:rPr>
        <w:t>prodlouží (a to i opakovaně) vždy</w:t>
      </w:r>
      <w:r w:rsidR="004F4359" w:rsidRPr="00066698">
        <w:t xml:space="preserve"> </w:t>
      </w:r>
      <w:r w:rsidR="004F4359" w:rsidRPr="00066698">
        <w:rPr>
          <w:rFonts w:asciiTheme="minorHAnsi" w:hAnsiTheme="minorHAnsi" w:cstheme="minorHAnsi"/>
          <w:sz w:val="22"/>
          <w:szCs w:val="22"/>
          <w:lang w:eastAsia="cs-CZ"/>
        </w:rPr>
        <w:t>do konce druhého měsíce po skončení původní doby nájmu</w:t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, pokud některý z nich písemně neoznámí </w:t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skutečnost, že již na další prodlužování nemá zájem</w:t>
      </w:r>
      <w:r w:rsidR="004F4359" w:rsidRPr="00066698">
        <w:rPr>
          <w:rFonts w:asciiTheme="minorHAnsi" w:hAnsiTheme="minorHAnsi" w:cstheme="minorHAnsi"/>
          <w:sz w:val="22"/>
          <w:szCs w:val="22"/>
          <w:lang w:eastAsia="cs-CZ"/>
        </w:rPr>
        <w:t>, přičemž toto</w:t>
      </w:r>
      <w:r w:rsidR="004F4359" w:rsidRPr="00066698">
        <w:t xml:space="preserve"> </w:t>
      </w:r>
      <w:r w:rsidR="004F4359" w:rsidRPr="00066698">
        <w:rPr>
          <w:rFonts w:asciiTheme="minorHAnsi" w:hAnsiTheme="minorHAnsi" w:cstheme="minorHAnsi"/>
          <w:sz w:val="22"/>
          <w:szCs w:val="22"/>
          <w:lang w:eastAsia="cs-CZ"/>
        </w:rPr>
        <w:t>oznámení musí být doručeno druhé smluvní straně alespoň dva měsíce předem</w:t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0AF0B9B6" w14:textId="77777777" w:rsidR="007A6881" w:rsidRPr="00066698" w:rsidRDefault="007A6881" w:rsidP="0017642E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  <w:r w:rsidRPr="00066698">
        <w:rPr>
          <w:rFonts w:asciiTheme="minorHAnsi" w:hAnsiTheme="minorHAnsi" w:cstheme="minorHAnsi"/>
          <w:sz w:val="22"/>
          <w:szCs w:val="22"/>
          <w:lang w:eastAsia="cs-CZ"/>
        </w:rPr>
        <w:t>Nájem je možné ukončit i k jednotlivé</w:t>
      </w:r>
      <w:r w:rsidR="004F4359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součásti</w:t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předmětu nájmu, přičemž ukončení nemůže být oznámeno dříve než </w:t>
      </w:r>
      <w:r w:rsidR="004F4359" w:rsidRPr="00066698">
        <w:rPr>
          <w:rFonts w:asciiTheme="minorHAnsi" w:hAnsiTheme="minorHAnsi" w:cstheme="minorHAnsi"/>
          <w:sz w:val="22"/>
          <w:szCs w:val="22"/>
          <w:lang w:eastAsia="cs-CZ"/>
        </w:rPr>
        <w:t>2. 12. 2020</w:t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a výpovědí doba činí 30 dní od doručení oznámení, které bude zasláno do datové schránky pronajímatele</w:t>
      </w:r>
      <w:r w:rsidR="004F4359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identifikační číslo „t6z84mu“</w:t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1519D2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V případě, že nebude nájem trvat celý měsíc, bude</w:t>
      </w:r>
      <w:r w:rsidR="007858F1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o </w:t>
      </w:r>
      <w:r w:rsidR="004F4359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přebývající </w:t>
      </w:r>
      <w:r w:rsidR="007858F1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počet dní </w:t>
      </w:r>
      <w:r w:rsidR="004F4359" w:rsidRPr="00066698">
        <w:rPr>
          <w:rFonts w:asciiTheme="minorHAnsi" w:hAnsiTheme="minorHAnsi" w:cstheme="minorHAnsi"/>
          <w:sz w:val="22"/>
          <w:szCs w:val="22"/>
          <w:lang w:eastAsia="cs-CZ"/>
        </w:rPr>
        <w:t>a</w:t>
      </w:r>
      <w:r w:rsidR="007858F1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částk</w:t>
      </w:r>
      <w:r w:rsidR="004F4359" w:rsidRPr="00066698">
        <w:rPr>
          <w:rFonts w:asciiTheme="minorHAnsi" w:hAnsiTheme="minorHAnsi" w:cstheme="minorHAnsi"/>
          <w:sz w:val="22"/>
          <w:szCs w:val="22"/>
          <w:lang w:eastAsia="cs-CZ"/>
        </w:rPr>
        <w:t>u</w:t>
      </w:r>
      <w:r w:rsidR="007858F1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nájmu</w:t>
      </w:r>
      <w:r w:rsidR="004F4359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připadající na tento počet dní</w:t>
      </w:r>
      <w:r w:rsidR="007858F1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ponížena výsledná faktura za daný měsíc.</w:t>
      </w:r>
    </w:p>
    <w:p w14:paraId="50113184" w14:textId="77777777" w:rsidR="007A6881" w:rsidRPr="00066698" w:rsidRDefault="007A6881" w:rsidP="0017642E">
      <w:pPr>
        <w:suppressAutoHyphens w:val="0"/>
        <w:overflowPunct/>
        <w:autoSpaceDE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EA569D9" w14:textId="77777777" w:rsidR="009A72FC" w:rsidRPr="00066698" w:rsidRDefault="009A72FC" w:rsidP="004603F0">
      <w:pPr>
        <w:pStyle w:val="Odstavecseseznamem"/>
        <w:numPr>
          <w:ilvl w:val="0"/>
          <w:numId w:val="20"/>
        </w:numPr>
        <w:spacing w:after="120"/>
        <w:ind w:left="426" w:hanging="426"/>
        <w:jc w:val="both"/>
        <w:rPr>
          <w:rFonts w:asciiTheme="minorHAnsi" w:hAnsiTheme="minorHAnsi" w:cstheme="minorHAnsi"/>
          <w:b/>
          <w:bCs/>
          <w:lang w:eastAsia="cs-CZ"/>
        </w:rPr>
      </w:pPr>
      <w:r w:rsidRPr="00066698">
        <w:rPr>
          <w:rFonts w:asciiTheme="minorHAnsi" w:hAnsiTheme="minorHAnsi" w:cstheme="minorHAnsi"/>
          <w:b/>
          <w:bCs/>
          <w:lang w:eastAsia="cs-CZ"/>
        </w:rPr>
        <w:t>Povinnosti pronajímatele při poskytování IT služeb</w:t>
      </w:r>
    </w:p>
    <w:p w14:paraId="6ADA7BF3" w14:textId="77777777" w:rsidR="009A72FC" w:rsidRPr="00066698" w:rsidRDefault="009A72FC" w:rsidP="0017642E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 xml:space="preserve">Pronajímatel je povinen i bez výzvy nájemce provádět </w:t>
      </w:r>
      <w:r w:rsidR="00284EA3" w:rsidRPr="00066698">
        <w:rPr>
          <w:rFonts w:asciiTheme="minorHAnsi" w:hAnsiTheme="minorHAnsi" w:cstheme="minorHAnsi"/>
          <w:lang w:eastAsia="cs-CZ"/>
        </w:rPr>
        <w:t xml:space="preserve">na </w:t>
      </w:r>
      <w:r w:rsidR="00CC6873" w:rsidRPr="00066698">
        <w:rPr>
          <w:rFonts w:asciiTheme="minorHAnsi" w:hAnsiTheme="minorHAnsi" w:cstheme="minorHAnsi"/>
          <w:lang w:eastAsia="cs-CZ"/>
        </w:rPr>
        <w:t>odbavovacích zařízeních</w:t>
      </w:r>
      <w:r w:rsidRPr="00066698">
        <w:rPr>
          <w:rFonts w:asciiTheme="minorHAnsi" w:hAnsiTheme="minorHAnsi" w:cstheme="minorHAnsi"/>
          <w:lang w:eastAsia="cs-CZ"/>
        </w:rPr>
        <w:t xml:space="preserve"> úkony IT služeb pro nájemce, které zahrnují:</w:t>
      </w:r>
    </w:p>
    <w:p w14:paraId="5AD21C7A" w14:textId="77777777" w:rsidR="009A72FC" w:rsidRPr="00066698" w:rsidRDefault="009A72FC" w:rsidP="00905AE0">
      <w:pPr>
        <w:pStyle w:val="Odstavecseseznamem"/>
        <w:numPr>
          <w:ilvl w:val="0"/>
          <w:numId w:val="13"/>
        </w:numPr>
        <w:spacing w:after="80" w:line="240" w:lineRule="auto"/>
        <w:ind w:left="993" w:hanging="284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 xml:space="preserve">přenechání </w:t>
      </w:r>
      <w:r w:rsidR="00CC6873" w:rsidRPr="00066698">
        <w:rPr>
          <w:rFonts w:asciiTheme="minorHAnsi" w:hAnsiTheme="minorHAnsi" w:cstheme="minorHAnsi"/>
          <w:lang w:eastAsia="cs-CZ"/>
        </w:rPr>
        <w:t xml:space="preserve">20 </w:t>
      </w:r>
      <w:r w:rsidRPr="00066698">
        <w:rPr>
          <w:rFonts w:asciiTheme="minorHAnsi" w:hAnsiTheme="minorHAnsi" w:cstheme="minorHAnsi"/>
          <w:lang w:eastAsia="cs-CZ"/>
        </w:rPr>
        <w:t xml:space="preserve">ks </w:t>
      </w:r>
      <w:r w:rsidR="00574072" w:rsidRPr="00066698">
        <w:rPr>
          <w:rFonts w:asciiTheme="minorHAnsi" w:hAnsiTheme="minorHAnsi" w:cstheme="minorHAnsi"/>
          <w:lang w:eastAsia="cs-CZ"/>
        </w:rPr>
        <w:t>odbavovacích zařízení (dále jen „OZ“)</w:t>
      </w:r>
      <w:r w:rsidRPr="00066698">
        <w:rPr>
          <w:rFonts w:asciiTheme="minorHAnsi" w:hAnsiTheme="minorHAnsi" w:cstheme="minorHAnsi"/>
          <w:lang w:eastAsia="cs-CZ"/>
        </w:rPr>
        <w:t xml:space="preserve"> do užívání;</w:t>
      </w:r>
    </w:p>
    <w:p w14:paraId="499B5042" w14:textId="77777777" w:rsidR="009A72FC" w:rsidRPr="00066698" w:rsidRDefault="009A72FC" w:rsidP="00905AE0">
      <w:pPr>
        <w:pStyle w:val="Odstavecseseznamem"/>
        <w:numPr>
          <w:ilvl w:val="0"/>
          <w:numId w:val="13"/>
        </w:numPr>
        <w:spacing w:after="80" w:line="240" w:lineRule="auto"/>
        <w:ind w:left="993" w:hanging="284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 xml:space="preserve">správu dat, vedení evidence, zajištění aktualizací, zasílání dat do clearingu, provoz </w:t>
      </w:r>
      <w:proofErr w:type="spellStart"/>
      <w:r w:rsidRPr="00066698">
        <w:rPr>
          <w:rFonts w:asciiTheme="minorHAnsi" w:hAnsiTheme="minorHAnsi" w:cstheme="minorHAnsi"/>
          <w:lang w:eastAsia="cs-CZ"/>
        </w:rPr>
        <w:t>WinAD</w:t>
      </w:r>
      <w:proofErr w:type="spellEnd"/>
      <w:r w:rsidRPr="00066698">
        <w:rPr>
          <w:rFonts w:asciiTheme="minorHAnsi" w:hAnsiTheme="minorHAnsi" w:cstheme="minorHAnsi"/>
          <w:lang w:eastAsia="cs-CZ"/>
        </w:rPr>
        <w:t>, zajištění licence;</w:t>
      </w:r>
    </w:p>
    <w:p w14:paraId="6662C8F1" w14:textId="77777777" w:rsidR="009A72FC" w:rsidRPr="00066698" w:rsidRDefault="009A72FC" w:rsidP="0017642E">
      <w:pPr>
        <w:pStyle w:val="Odstavecseseznamem"/>
        <w:numPr>
          <w:ilvl w:val="0"/>
          <w:numId w:val="13"/>
        </w:numPr>
        <w:spacing w:after="240" w:line="240" w:lineRule="auto"/>
        <w:ind w:left="993" w:hanging="284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 xml:space="preserve">přenechání </w:t>
      </w:r>
      <w:r w:rsidR="00CC6873" w:rsidRPr="00066698">
        <w:rPr>
          <w:rFonts w:asciiTheme="minorHAnsi" w:hAnsiTheme="minorHAnsi" w:cstheme="minorHAnsi"/>
          <w:lang w:eastAsia="cs-CZ"/>
        </w:rPr>
        <w:t xml:space="preserve">2 ks </w:t>
      </w:r>
      <w:r w:rsidRPr="00066698">
        <w:rPr>
          <w:rFonts w:asciiTheme="minorHAnsi" w:hAnsiTheme="minorHAnsi" w:cstheme="minorHAnsi"/>
          <w:lang w:eastAsia="cs-CZ"/>
        </w:rPr>
        <w:t>personifikátor</w:t>
      </w:r>
      <w:r w:rsidR="00CC6873" w:rsidRPr="00066698">
        <w:rPr>
          <w:rFonts w:asciiTheme="minorHAnsi" w:hAnsiTheme="minorHAnsi" w:cstheme="minorHAnsi"/>
          <w:lang w:eastAsia="cs-CZ"/>
        </w:rPr>
        <w:t>ů</w:t>
      </w:r>
      <w:r w:rsidRPr="00066698">
        <w:rPr>
          <w:rFonts w:asciiTheme="minorHAnsi" w:hAnsiTheme="minorHAnsi" w:cstheme="minorHAnsi"/>
          <w:lang w:eastAsia="cs-CZ"/>
        </w:rPr>
        <w:t xml:space="preserve"> pro informační kancelář do užívání;</w:t>
      </w:r>
    </w:p>
    <w:p w14:paraId="76C3C500" w14:textId="77777777" w:rsidR="009A72FC" w:rsidRPr="00066698" w:rsidRDefault="009A72FC" w:rsidP="0017642E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>Pronajímatel je dále povinen na výzvu nájemce provádět na OZ úkony IT služeb pro nájemce, které zahrnují:</w:t>
      </w:r>
    </w:p>
    <w:p w14:paraId="4F699014" w14:textId="77777777" w:rsidR="009A72FC" w:rsidRPr="00066698" w:rsidRDefault="009A72FC" w:rsidP="00905AE0">
      <w:pPr>
        <w:pStyle w:val="Odstavecseseznamem"/>
        <w:numPr>
          <w:ilvl w:val="0"/>
          <w:numId w:val="13"/>
        </w:numPr>
        <w:spacing w:after="80" w:line="240" w:lineRule="auto"/>
        <w:ind w:left="993" w:hanging="284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>výměnu zablokovaného SAM modulu;</w:t>
      </w:r>
    </w:p>
    <w:p w14:paraId="1FC92B81" w14:textId="77777777" w:rsidR="009A72FC" w:rsidRPr="00066698" w:rsidRDefault="009A72FC" w:rsidP="0017642E">
      <w:pPr>
        <w:pStyle w:val="Odstavecseseznamem"/>
        <w:numPr>
          <w:ilvl w:val="0"/>
          <w:numId w:val="13"/>
        </w:numPr>
        <w:spacing w:after="240" w:line="240" w:lineRule="auto"/>
        <w:ind w:left="993" w:hanging="284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>jiné související servisní práce.</w:t>
      </w:r>
    </w:p>
    <w:p w14:paraId="0396BE59" w14:textId="77777777" w:rsidR="009A72FC" w:rsidRPr="00066698" w:rsidRDefault="009A72FC" w:rsidP="0017642E">
      <w:pPr>
        <w:pStyle w:val="Odstavecseseznamem"/>
        <w:numPr>
          <w:ilvl w:val="0"/>
          <w:numId w:val="12"/>
        </w:numPr>
        <w:spacing w:after="240" w:line="240" w:lineRule="auto"/>
        <w:ind w:left="567" w:hanging="283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>Výše uvedené úkony provádí pronajímatel na sv</w:t>
      </w:r>
      <w:r w:rsidR="00C83F28" w:rsidRPr="00066698">
        <w:rPr>
          <w:rFonts w:asciiTheme="minorHAnsi" w:hAnsiTheme="minorHAnsi" w:cstheme="minorHAnsi"/>
          <w:lang w:eastAsia="cs-CZ"/>
        </w:rPr>
        <w:t>oji</w:t>
      </w:r>
      <w:r w:rsidRPr="00066698">
        <w:rPr>
          <w:rFonts w:asciiTheme="minorHAnsi" w:hAnsiTheme="minorHAnsi" w:cstheme="minorHAnsi"/>
          <w:lang w:eastAsia="cs-CZ"/>
        </w:rPr>
        <w:t xml:space="preserve"> zodpovědnost s náležitou odbornou péčí.</w:t>
      </w:r>
    </w:p>
    <w:p w14:paraId="4910FE93" w14:textId="77777777" w:rsidR="009F251A" w:rsidRPr="00066698" w:rsidRDefault="009F251A" w:rsidP="0017642E">
      <w:pPr>
        <w:pStyle w:val="Odstavecseseznamem"/>
        <w:numPr>
          <w:ilvl w:val="0"/>
          <w:numId w:val="12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>Pronajímatel je povinen závady na předmětu nájmu</w:t>
      </w:r>
      <w:r w:rsidR="005B6828" w:rsidRPr="00066698">
        <w:rPr>
          <w:rFonts w:asciiTheme="minorHAnsi" w:hAnsiTheme="minorHAnsi" w:cstheme="minorHAnsi"/>
          <w:lang w:eastAsia="cs-CZ"/>
        </w:rPr>
        <w:t>,</w:t>
      </w:r>
      <w:r w:rsidRPr="00066698">
        <w:rPr>
          <w:rFonts w:asciiTheme="minorHAnsi" w:hAnsiTheme="minorHAnsi" w:cstheme="minorHAnsi"/>
          <w:lang w:eastAsia="cs-CZ"/>
        </w:rPr>
        <w:t xml:space="preserve"> vzniklé nezávisl</w:t>
      </w:r>
      <w:r w:rsidR="005D2893" w:rsidRPr="00066698">
        <w:rPr>
          <w:rFonts w:asciiTheme="minorHAnsi" w:hAnsiTheme="minorHAnsi" w:cstheme="minorHAnsi"/>
          <w:lang w:eastAsia="cs-CZ"/>
        </w:rPr>
        <w:t>e</w:t>
      </w:r>
      <w:r w:rsidRPr="00066698">
        <w:rPr>
          <w:rFonts w:asciiTheme="minorHAnsi" w:hAnsiTheme="minorHAnsi" w:cstheme="minorHAnsi"/>
          <w:lang w:eastAsia="cs-CZ"/>
        </w:rPr>
        <w:t xml:space="preserve"> na úkonech nájemce</w:t>
      </w:r>
      <w:r w:rsidR="005B6828" w:rsidRPr="00066698">
        <w:rPr>
          <w:rFonts w:asciiTheme="minorHAnsi" w:hAnsiTheme="minorHAnsi" w:cstheme="minorHAnsi"/>
          <w:lang w:eastAsia="cs-CZ"/>
        </w:rPr>
        <w:t>,</w:t>
      </w:r>
      <w:r w:rsidRPr="00066698">
        <w:rPr>
          <w:rFonts w:asciiTheme="minorHAnsi" w:hAnsiTheme="minorHAnsi" w:cstheme="minorHAnsi"/>
          <w:lang w:eastAsia="cs-CZ"/>
        </w:rPr>
        <w:t xml:space="preserve"> neprodleně odstranit </w:t>
      </w:r>
      <w:r w:rsidR="005D2893" w:rsidRPr="00066698">
        <w:rPr>
          <w:rFonts w:asciiTheme="minorHAnsi" w:hAnsiTheme="minorHAnsi" w:cstheme="minorHAnsi"/>
          <w:lang w:eastAsia="cs-CZ"/>
        </w:rPr>
        <w:t xml:space="preserve">do </w:t>
      </w:r>
      <w:r w:rsidR="00D31CF3" w:rsidRPr="00066698">
        <w:rPr>
          <w:rFonts w:asciiTheme="minorHAnsi" w:hAnsiTheme="minorHAnsi" w:cstheme="minorHAnsi"/>
          <w:lang w:eastAsia="cs-CZ"/>
        </w:rPr>
        <w:t>tří</w:t>
      </w:r>
      <w:r w:rsidR="00D34F95" w:rsidRPr="00066698">
        <w:rPr>
          <w:rFonts w:asciiTheme="minorHAnsi" w:hAnsiTheme="minorHAnsi" w:cstheme="minorHAnsi"/>
          <w:lang w:eastAsia="cs-CZ"/>
        </w:rPr>
        <w:t xml:space="preserve"> </w:t>
      </w:r>
      <w:r w:rsidR="00A114B9" w:rsidRPr="00066698">
        <w:rPr>
          <w:rFonts w:asciiTheme="minorHAnsi" w:hAnsiTheme="minorHAnsi" w:cstheme="minorHAnsi"/>
          <w:lang w:eastAsia="cs-CZ"/>
        </w:rPr>
        <w:t>pracovní</w:t>
      </w:r>
      <w:r w:rsidR="00D34F95" w:rsidRPr="00066698">
        <w:rPr>
          <w:rFonts w:asciiTheme="minorHAnsi" w:hAnsiTheme="minorHAnsi" w:cstheme="minorHAnsi"/>
          <w:lang w:eastAsia="cs-CZ"/>
        </w:rPr>
        <w:t>ch</w:t>
      </w:r>
      <w:r w:rsidR="00A114B9" w:rsidRPr="00066698">
        <w:rPr>
          <w:rFonts w:asciiTheme="minorHAnsi" w:hAnsiTheme="minorHAnsi" w:cstheme="minorHAnsi"/>
          <w:lang w:eastAsia="cs-CZ"/>
        </w:rPr>
        <w:t xml:space="preserve"> dn</w:t>
      </w:r>
      <w:r w:rsidR="00D34F95" w:rsidRPr="00066698">
        <w:rPr>
          <w:rFonts w:asciiTheme="minorHAnsi" w:hAnsiTheme="minorHAnsi" w:cstheme="minorHAnsi"/>
          <w:lang w:eastAsia="cs-CZ"/>
        </w:rPr>
        <w:t>í</w:t>
      </w:r>
      <w:r w:rsidR="00A114B9" w:rsidRPr="00066698">
        <w:rPr>
          <w:rFonts w:asciiTheme="minorHAnsi" w:hAnsiTheme="minorHAnsi" w:cstheme="minorHAnsi"/>
          <w:lang w:eastAsia="cs-CZ"/>
        </w:rPr>
        <w:t xml:space="preserve"> o</w:t>
      </w:r>
      <w:r w:rsidR="00D304DD" w:rsidRPr="00066698">
        <w:rPr>
          <w:rFonts w:asciiTheme="minorHAnsi" w:hAnsiTheme="minorHAnsi" w:cstheme="minorHAnsi"/>
          <w:lang w:eastAsia="cs-CZ"/>
        </w:rPr>
        <w:t>d</w:t>
      </w:r>
      <w:r w:rsidR="00A114B9" w:rsidRPr="00066698">
        <w:rPr>
          <w:rFonts w:asciiTheme="minorHAnsi" w:hAnsiTheme="minorHAnsi" w:cstheme="minorHAnsi"/>
          <w:lang w:eastAsia="cs-CZ"/>
        </w:rPr>
        <w:t xml:space="preserve"> pře</w:t>
      </w:r>
      <w:r w:rsidR="00363CB0" w:rsidRPr="00066698">
        <w:rPr>
          <w:rFonts w:asciiTheme="minorHAnsi" w:hAnsiTheme="minorHAnsi" w:cstheme="minorHAnsi"/>
          <w:lang w:eastAsia="cs-CZ"/>
        </w:rPr>
        <w:t xml:space="preserve">vzetí </w:t>
      </w:r>
      <w:r w:rsidR="00A114B9" w:rsidRPr="00066698">
        <w:rPr>
          <w:rFonts w:asciiTheme="minorHAnsi" w:hAnsiTheme="minorHAnsi" w:cstheme="minorHAnsi"/>
          <w:lang w:eastAsia="cs-CZ"/>
        </w:rPr>
        <w:t>předmětu</w:t>
      </w:r>
      <w:r w:rsidR="00363CB0" w:rsidRPr="00066698">
        <w:rPr>
          <w:rFonts w:asciiTheme="minorHAnsi" w:hAnsiTheme="minorHAnsi" w:cstheme="minorHAnsi"/>
          <w:lang w:eastAsia="cs-CZ"/>
        </w:rPr>
        <w:t xml:space="preserve"> nájmu</w:t>
      </w:r>
      <w:r w:rsidR="00D34F95" w:rsidRPr="00066698">
        <w:rPr>
          <w:rFonts w:asciiTheme="minorHAnsi" w:hAnsiTheme="minorHAnsi" w:cstheme="minorHAnsi"/>
          <w:lang w:eastAsia="cs-CZ"/>
        </w:rPr>
        <w:t xml:space="preserve"> v sídle pronajímatele,</w:t>
      </w:r>
      <w:r w:rsidR="00363CB0" w:rsidRPr="00066698">
        <w:rPr>
          <w:rFonts w:asciiTheme="minorHAnsi" w:hAnsiTheme="minorHAnsi" w:cstheme="minorHAnsi"/>
          <w:lang w:eastAsia="cs-CZ"/>
        </w:rPr>
        <w:t xml:space="preserve"> </w:t>
      </w:r>
      <w:r w:rsidRPr="00066698">
        <w:rPr>
          <w:rFonts w:asciiTheme="minorHAnsi" w:hAnsiTheme="minorHAnsi" w:cstheme="minorHAnsi"/>
          <w:lang w:eastAsia="cs-CZ"/>
        </w:rPr>
        <w:t xml:space="preserve">nebo poskytnout do doby odstranění </w:t>
      </w:r>
      <w:r w:rsidR="00D304DD" w:rsidRPr="00066698">
        <w:rPr>
          <w:rFonts w:asciiTheme="minorHAnsi" w:hAnsiTheme="minorHAnsi" w:cstheme="minorHAnsi"/>
          <w:lang w:eastAsia="cs-CZ"/>
        </w:rPr>
        <w:t xml:space="preserve">závady </w:t>
      </w:r>
      <w:r w:rsidRPr="00066698">
        <w:rPr>
          <w:rFonts w:asciiTheme="minorHAnsi" w:hAnsiTheme="minorHAnsi" w:cstheme="minorHAnsi"/>
          <w:lang w:eastAsia="cs-CZ"/>
        </w:rPr>
        <w:t>stejn</w:t>
      </w:r>
      <w:r w:rsidR="00637046" w:rsidRPr="00066698">
        <w:rPr>
          <w:rFonts w:asciiTheme="minorHAnsi" w:hAnsiTheme="minorHAnsi" w:cstheme="minorHAnsi"/>
          <w:lang w:eastAsia="cs-CZ"/>
        </w:rPr>
        <w:t>ou</w:t>
      </w:r>
      <w:r w:rsidRPr="00066698">
        <w:rPr>
          <w:rFonts w:asciiTheme="minorHAnsi" w:hAnsiTheme="minorHAnsi" w:cstheme="minorHAnsi"/>
          <w:lang w:eastAsia="cs-CZ"/>
        </w:rPr>
        <w:t xml:space="preserve"> </w:t>
      </w:r>
      <w:r w:rsidR="00D34F95" w:rsidRPr="00066698">
        <w:rPr>
          <w:rFonts w:asciiTheme="minorHAnsi" w:hAnsiTheme="minorHAnsi" w:cstheme="minorHAnsi"/>
          <w:lang w:eastAsia="cs-CZ"/>
        </w:rPr>
        <w:t xml:space="preserve">náhradní součást </w:t>
      </w:r>
      <w:r w:rsidRPr="00066698">
        <w:rPr>
          <w:rFonts w:asciiTheme="minorHAnsi" w:hAnsiTheme="minorHAnsi" w:cstheme="minorHAnsi"/>
          <w:lang w:eastAsia="cs-CZ"/>
        </w:rPr>
        <w:t>předmět</w:t>
      </w:r>
      <w:r w:rsidR="00D34F95" w:rsidRPr="00066698">
        <w:rPr>
          <w:rFonts w:asciiTheme="minorHAnsi" w:hAnsiTheme="minorHAnsi" w:cstheme="minorHAnsi"/>
          <w:lang w:eastAsia="cs-CZ"/>
        </w:rPr>
        <w:t>u</w:t>
      </w:r>
      <w:r w:rsidRPr="00066698">
        <w:rPr>
          <w:rFonts w:asciiTheme="minorHAnsi" w:hAnsiTheme="minorHAnsi" w:cstheme="minorHAnsi"/>
          <w:lang w:eastAsia="cs-CZ"/>
        </w:rPr>
        <w:t xml:space="preserve"> nájmu.</w:t>
      </w:r>
      <w:r w:rsidR="00D304DD" w:rsidRPr="00066698">
        <w:rPr>
          <w:rFonts w:asciiTheme="minorHAnsi" w:hAnsiTheme="minorHAnsi" w:cstheme="minorHAnsi"/>
          <w:lang w:eastAsia="cs-CZ"/>
        </w:rPr>
        <w:t xml:space="preserve"> Mezi Pronajímatelem a</w:t>
      </w:r>
      <w:r w:rsidR="001507CF" w:rsidRPr="00066698">
        <w:rPr>
          <w:rFonts w:asciiTheme="minorHAnsi" w:hAnsiTheme="minorHAnsi" w:cstheme="minorHAnsi"/>
          <w:lang w:eastAsia="cs-CZ"/>
        </w:rPr>
        <w:t> </w:t>
      </w:r>
      <w:r w:rsidR="00D304DD" w:rsidRPr="00066698">
        <w:rPr>
          <w:rFonts w:asciiTheme="minorHAnsi" w:hAnsiTheme="minorHAnsi" w:cstheme="minorHAnsi"/>
          <w:lang w:eastAsia="cs-CZ"/>
        </w:rPr>
        <w:t xml:space="preserve">nájemcem bude </w:t>
      </w:r>
      <w:r w:rsidR="006C66B8" w:rsidRPr="00066698">
        <w:rPr>
          <w:rFonts w:asciiTheme="minorHAnsi" w:hAnsiTheme="minorHAnsi" w:cstheme="minorHAnsi"/>
          <w:lang w:eastAsia="cs-CZ"/>
        </w:rPr>
        <w:t xml:space="preserve">vždy </w:t>
      </w:r>
      <w:r w:rsidR="00D304DD" w:rsidRPr="00066698">
        <w:rPr>
          <w:rFonts w:asciiTheme="minorHAnsi" w:hAnsiTheme="minorHAnsi" w:cstheme="minorHAnsi"/>
          <w:lang w:eastAsia="cs-CZ"/>
        </w:rPr>
        <w:t>vystaven</w:t>
      </w:r>
      <w:r w:rsidR="006C66B8" w:rsidRPr="00066698">
        <w:rPr>
          <w:rFonts w:asciiTheme="minorHAnsi" w:hAnsiTheme="minorHAnsi" w:cstheme="minorHAnsi"/>
          <w:lang w:eastAsia="cs-CZ"/>
        </w:rPr>
        <w:t xml:space="preserve"> Reklamační protokol</w:t>
      </w:r>
      <w:r w:rsidR="001507CF" w:rsidRPr="00066698">
        <w:rPr>
          <w:rFonts w:asciiTheme="minorHAnsi" w:hAnsiTheme="minorHAnsi" w:cstheme="minorHAnsi"/>
          <w:lang w:eastAsia="cs-CZ"/>
        </w:rPr>
        <w:t>, který Pronajímatel i Nájemce potvrdí svým podpisem.</w:t>
      </w:r>
    </w:p>
    <w:p w14:paraId="2C03279E" w14:textId="77777777" w:rsidR="0017642E" w:rsidRPr="00066698" w:rsidRDefault="0017642E" w:rsidP="0017642E">
      <w:pPr>
        <w:pStyle w:val="Odstavecseseznamem"/>
        <w:spacing w:before="120" w:after="120" w:line="240" w:lineRule="auto"/>
        <w:ind w:left="567"/>
        <w:contextualSpacing w:val="0"/>
        <w:jc w:val="both"/>
        <w:rPr>
          <w:rFonts w:asciiTheme="minorHAnsi" w:hAnsiTheme="minorHAnsi" w:cstheme="minorHAnsi"/>
          <w:lang w:eastAsia="cs-CZ"/>
        </w:rPr>
      </w:pPr>
    </w:p>
    <w:p w14:paraId="1013A68D" w14:textId="77777777" w:rsidR="009A72FC" w:rsidRPr="00066698" w:rsidRDefault="00297F4F" w:rsidP="004603F0">
      <w:pPr>
        <w:pStyle w:val="Odstavecseseznamem"/>
        <w:numPr>
          <w:ilvl w:val="0"/>
          <w:numId w:val="20"/>
        </w:numPr>
        <w:spacing w:after="120"/>
        <w:ind w:left="426" w:hanging="426"/>
        <w:jc w:val="both"/>
        <w:rPr>
          <w:rFonts w:asciiTheme="minorHAnsi" w:hAnsiTheme="minorHAnsi" w:cstheme="minorHAnsi"/>
          <w:b/>
          <w:bCs/>
          <w:lang w:eastAsia="cs-CZ"/>
        </w:rPr>
      </w:pPr>
      <w:r w:rsidRPr="00066698">
        <w:rPr>
          <w:rFonts w:asciiTheme="minorHAnsi" w:hAnsiTheme="minorHAnsi" w:cstheme="minorHAnsi"/>
          <w:b/>
          <w:bCs/>
          <w:lang w:eastAsia="cs-CZ"/>
        </w:rPr>
        <w:t>Nájemné a o</w:t>
      </w:r>
      <w:r w:rsidR="009A72FC" w:rsidRPr="00066698">
        <w:rPr>
          <w:rFonts w:asciiTheme="minorHAnsi" w:hAnsiTheme="minorHAnsi" w:cstheme="minorHAnsi"/>
          <w:b/>
          <w:bCs/>
          <w:lang w:eastAsia="cs-CZ"/>
        </w:rPr>
        <w:t>dměna pronajímatele za poskytování IT služeb</w:t>
      </w:r>
    </w:p>
    <w:p w14:paraId="5CE93401" w14:textId="77777777" w:rsidR="009A72FC" w:rsidRPr="00066698" w:rsidRDefault="009A72FC" w:rsidP="00905AE0">
      <w:pPr>
        <w:pStyle w:val="Odstavecseseznamem"/>
        <w:numPr>
          <w:ilvl w:val="0"/>
          <w:numId w:val="15"/>
        </w:numPr>
        <w:spacing w:after="120"/>
        <w:ind w:left="568" w:hanging="284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>Nájemce se zavazuje platit pronajímateli:</w:t>
      </w:r>
    </w:p>
    <w:p w14:paraId="797D00D2" w14:textId="77777777" w:rsidR="009A72FC" w:rsidRPr="00066698" w:rsidRDefault="009A72FC" w:rsidP="00905AE0">
      <w:pPr>
        <w:pStyle w:val="Odstavecseseznamem"/>
        <w:numPr>
          <w:ilvl w:val="0"/>
          <w:numId w:val="13"/>
        </w:numPr>
        <w:spacing w:after="80" w:line="240" w:lineRule="auto"/>
        <w:ind w:left="993" w:hanging="284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 xml:space="preserve">za úkony podle čl. </w:t>
      </w:r>
      <w:r w:rsidR="00C83F28" w:rsidRPr="00066698">
        <w:rPr>
          <w:rFonts w:asciiTheme="minorHAnsi" w:hAnsiTheme="minorHAnsi" w:cstheme="minorHAnsi"/>
          <w:lang w:eastAsia="cs-CZ"/>
        </w:rPr>
        <w:t>II</w:t>
      </w:r>
      <w:r w:rsidRPr="00066698">
        <w:rPr>
          <w:rFonts w:asciiTheme="minorHAnsi" w:hAnsiTheme="minorHAnsi" w:cstheme="minorHAnsi"/>
          <w:lang w:eastAsia="cs-CZ"/>
        </w:rPr>
        <w:t xml:space="preserve">I odst. </w:t>
      </w:r>
      <w:r w:rsidR="00D25D92" w:rsidRPr="00066698">
        <w:rPr>
          <w:rFonts w:asciiTheme="minorHAnsi" w:hAnsiTheme="minorHAnsi" w:cstheme="minorHAnsi"/>
          <w:lang w:eastAsia="cs-CZ"/>
        </w:rPr>
        <w:t xml:space="preserve">1 </w:t>
      </w:r>
      <w:r w:rsidRPr="00066698">
        <w:rPr>
          <w:rFonts w:asciiTheme="minorHAnsi" w:hAnsiTheme="minorHAnsi" w:cstheme="minorHAnsi"/>
          <w:lang w:eastAsia="cs-CZ"/>
        </w:rPr>
        <w:t xml:space="preserve">této smlouvy měsíční odměnu ve výši </w:t>
      </w:r>
      <w:r w:rsidR="002905A0" w:rsidRPr="00066698">
        <w:rPr>
          <w:rFonts w:asciiTheme="minorHAnsi" w:hAnsiTheme="minorHAnsi" w:cstheme="minorHAnsi"/>
          <w:lang w:eastAsia="cs-CZ"/>
        </w:rPr>
        <w:t>7</w:t>
      </w:r>
      <w:r w:rsidR="00CC6873" w:rsidRPr="00066698">
        <w:rPr>
          <w:rFonts w:asciiTheme="minorHAnsi" w:hAnsiTheme="minorHAnsi" w:cstheme="minorHAnsi"/>
          <w:lang w:eastAsia="cs-CZ"/>
        </w:rPr>
        <w:t>9</w:t>
      </w:r>
      <w:r w:rsidRPr="00066698">
        <w:rPr>
          <w:rFonts w:asciiTheme="minorHAnsi" w:hAnsiTheme="minorHAnsi" w:cstheme="minorHAnsi"/>
          <w:lang w:eastAsia="cs-CZ"/>
        </w:rPr>
        <w:t>.000,- Kč (</w:t>
      </w:r>
      <w:r w:rsidR="002905A0" w:rsidRPr="00066698">
        <w:rPr>
          <w:rFonts w:asciiTheme="minorHAnsi" w:hAnsiTheme="minorHAnsi" w:cstheme="minorHAnsi"/>
          <w:lang w:eastAsia="cs-CZ"/>
        </w:rPr>
        <w:t>sedmdesát</w:t>
      </w:r>
      <w:r w:rsidR="006E1AF4" w:rsidRPr="00066698">
        <w:rPr>
          <w:rFonts w:asciiTheme="minorHAnsi" w:hAnsiTheme="minorHAnsi" w:cstheme="minorHAnsi"/>
          <w:lang w:eastAsia="cs-CZ"/>
        </w:rPr>
        <w:t xml:space="preserve"> </w:t>
      </w:r>
      <w:r w:rsidR="00C83F28" w:rsidRPr="00066698">
        <w:rPr>
          <w:rFonts w:asciiTheme="minorHAnsi" w:hAnsiTheme="minorHAnsi" w:cstheme="minorHAnsi"/>
          <w:lang w:eastAsia="cs-CZ"/>
        </w:rPr>
        <w:t>devět</w:t>
      </w:r>
      <w:r w:rsidR="006E1AF4" w:rsidRPr="00066698">
        <w:rPr>
          <w:rFonts w:asciiTheme="minorHAnsi" w:hAnsiTheme="minorHAnsi" w:cstheme="minorHAnsi"/>
          <w:lang w:eastAsia="cs-CZ"/>
        </w:rPr>
        <w:t xml:space="preserve"> </w:t>
      </w:r>
      <w:r w:rsidRPr="00066698">
        <w:rPr>
          <w:rFonts w:asciiTheme="minorHAnsi" w:hAnsiTheme="minorHAnsi" w:cstheme="minorHAnsi"/>
          <w:lang w:eastAsia="cs-CZ"/>
        </w:rPr>
        <w:t>tisíc korun českých)</w:t>
      </w:r>
      <w:r w:rsidR="00297F4F" w:rsidRPr="00066698">
        <w:rPr>
          <w:rFonts w:asciiTheme="minorHAnsi" w:hAnsiTheme="minorHAnsi" w:cstheme="minorHAnsi"/>
          <w:lang w:eastAsia="cs-CZ"/>
        </w:rPr>
        <w:t>, která zahrnuje i nájemné za</w:t>
      </w:r>
      <w:r w:rsidR="00297F4F" w:rsidRPr="00066698">
        <w:t xml:space="preserve"> </w:t>
      </w:r>
      <w:r w:rsidR="00297F4F" w:rsidRPr="00066698">
        <w:rPr>
          <w:rFonts w:asciiTheme="minorHAnsi" w:hAnsiTheme="minorHAnsi" w:cstheme="minorHAnsi"/>
          <w:lang w:eastAsia="cs-CZ"/>
        </w:rPr>
        <w:t xml:space="preserve">užívání </w:t>
      </w:r>
      <w:r w:rsidR="006E1AF4" w:rsidRPr="00066698">
        <w:rPr>
          <w:rFonts w:asciiTheme="minorHAnsi" w:hAnsiTheme="minorHAnsi" w:cstheme="minorHAnsi"/>
          <w:lang w:eastAsia="cs-CZ"/>
        </w:rPr>
        <w:t>OZ</w:t>
      </w:r>
      <w:r w:rsidR="00297F4F" w:rsidRPr="00066698">
        <w:rPr>
          <w:rFonts w:asciiTheme="minorHAnsi" w:hAnsiTheme="minorHAnsi" w:cstheme="minorHAnsi"/>
          <w:lang w:eastAsia="cs-CZ"/>
        </w:rPr>
        <w:t xml:space="preserve"> a</w:t>
      </w:r>
      <w:r w:rsidR="003D26F3" w:rsidRPr="00066698">
        <w:rPr>
          <w:rFonts w:asciiTheme="minorHAnsi" w:hAnsiTheme="minorHAnsi" w:cstheme="minorHAnsi"/>
          <w:lang w:eastAsia="cs-CZ"/>
        </w:rPr>
        <w:t> </w:t>
      </w:r>
      <w:r w:rsidR="00297F4F" w:rsidRPr="00066698">
        <w:rPr>
          <w:rFonts w:asciiTheme="minorHAnsi" w:hAnsiTheme="minorHAnsi" w:cstheme="minorHAnsi"/>
          <w:lang w:eastAsia="cs-CZ"/>
        </w:rPr>
        <w:t>personifikátorů</w:t>
      </w:r>
      <w:r w:rsidRPr="00066698">
        <w:rPr>
          <w:rFonts w:asciiTheme="minorHAnsi" w:hAnsiTheme="minorHAnsi" w:cstheme="minorHAnsi"/>
          <w:lang w:eastAsia="cs-CZ"/>
        </w:rPr>
        <w:t>;</w:t>
      </w:r>
    </w:p>
    <w:p w14:paraId="4B957F29" w14:textId="77777777" w:rsidR="009A72FC" w:rsidRPr="00576B85" w:rsidRDefault="009A72FC" w:rsidP="0017642E">
      <w:pPr>
        <w:pStyle w:val="Odstavecseseznamem"/>
        <w:numPr>
          <w:ilvl w:val="0"/>
          <w:numId w:val="13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 xml:space="preserve">za úkony podle čl. </w:t>
      </w:r>
      <w:r w:rsidR="00C83F28" w:rsidRPr="00066698">
        <w:rPr>
          <w:rFonts w:asciiTheme="minorHAnsi" w:hAnsiTheme="minorHAnsi" w:cstheme="minorHAnsi"/>
          <w:lang w:eastAsia="cs-CZ"/>
        </w:rPr>
        <w:t>II</w:t>
      </w:r>
      <w:r w:rsidRPr="00066698">
        <w:rPr>
          <w:rFonts w:asciiTheme="minorHAnsi" w:hAnsiTheme="minorHAnsi" w:cstheme="minorHAnsi"/>
          <w:lang w:eastAsia="cs-CZ"/>
        </w:rPr>
        <w:t xml:space="preserve">I odst. </w:t>
      </w:r>
      <w:r w:rsidR="00574072" w:rsidRPr="00066698">
        <w:rPr>
          <w:rFonts w:asciiTheme="minorHAnsi" w:hAnsiTheme="minorHAnsi" w:cstheme="minorHAnsi"/>
          <w:lang w:eastAsia="cs-CZ"/>
        </w:rPr>
        <w:t>2</w:t>
      </w:r>
      <w:r w:rsidRPr="00066698">
        <w:rPr>
          <w:rFonts w:asciiTheme="minorHAnsi" w:hAnsiTheme="minorHAnsi" w:cstheme="minorHAnsi"/>
          <w:lang w:eastAsia="cs-CZ"/>
        </w:rPr>
        <w:t xml:space="preserve"> této smlouvy měsíční odměnu ve výši stanovené v ceníku, který </w:t>
      </w:r>
      <w:r w:rsidRPr="00576B85">
        <w:rPr>
          <w:rFonts w:asciiTheme="minorHAnsi" w:hAnsiTheme="minorHAnsi" w:cstheme="minorHAnsi"/>
          <w:color w:val="000000" w:themeColor="text1"/>
          <w:lang w:eastAsia="cs-CZ"/>
        </w:rPr>
        <w:t xml:space="preserve">tvoří přílohu č. </w:t>
      </w:r>
      <w:r w:rsidR="00DB4B44" w:rsidRPr="00576B85">
        <w:rPr>
          <w:rFonts w:asciiTheme="minorHAnsi" w:hAnsiTheme="minorHAnsi" w:cstheme="minorHAnsi"/>
          <w:color w:val="000000" w:themeColor="text1"/>
          <w:lang w:eastAsia="cs-CZ"/>
        </w:rPr>
        <w:t>1</w:t>
      </w:r>
      <w:r w:rsidRPr="00576B85">
        <w:rPr>
          <w:rFonts w:asciiTheme="minorHAnsi" w:hAnsiTheme="minorHAnsi" w:cstheme="minorHAnsi"/>
          <w:color w:val="000000" w:themeColor="text1"/>
          <w:lang w:eastAsia="cs-CZ"/>
        </w:rPr>
        <w:t xml:space="preserve"> této smlouvy.</w:t>
      </w:r>
    </w:p>
    <w:p w14:paraId="413C1FEF" w14:textId="77777777" w:rsidR="009A72FC" w:rsidRPr="00066698" w:rsidRDefault="009A72FC" w:rsidP="0017642E">
      <w:pPr>
        <w:spacing w:after="24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66698">
        <w:rPr>
          <w:rFonts w:asciiTheme="minorHAnsi" w:hAnsiTheme="minorHAnsi" w:cstheme="minorHAnsi"/>
          <w:sz w:val="22"/>
          <w:szCs w:val="22"/>
          <w:lang w:eastAsia="cs-CZ"/>
        </w:rPr>
        <w:t>Odměna bude vždy navýšena o daň z přidané hodnoty podle platných právních předpisů.</w:t>
      </w:r>
    </w:p>
    <w:p w14:paraId="3AA1FE13" w14:textId="77777777" w:rsidR="009A72FC" w:rsidRPr="00066698" w:rsidRDefault="009A72FC" w:rsidP="0017642E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 xml:space="preserve">Nájemce hradí odměnu za úkony podle </w:t>
      </w:r>
      <w:r w:rsidR="00DB4B44" w:rsidRPr="00066698">
        <w:rPr>
          <w:rFonts w:asciiTheme="minorHAnsi" w:hAnsiTheme="minorHAnsi" w:cstheme="minorHAnsi"/>
          <w:lang w:eastAsia="cs-CZ"/>
        </w:rPr>
        <w:t>tohoto článku</w:t>
      </w:r>
      <w:r w:rsidRPr="00066698">
        <w:rPr>
          <w:rFonts w:asciiTheme="minorHAnsi" w:hAnsiTheme="minorHAnsi" w:cstheme="minorHAnsi"/>
          <w:lang w:eastAsia="cs-CZ"/>
        </w:rPr>
        <w:t xml:space="preserve"> měsíčně na základě daňového dokladu, který vystaví pronajímatel a zašle jej nájemci, a se splatností </w:t>
      </w:r>
      <w:r w:rsidR="00476B5F" w:rsidRPr="00066698">
        <w:rPr>
          <w:rFonts w:asciiTheme="minorHAnsi" w:hAnsiTheme="minorHAnsi" w:cstheme="minorHAnsi"/>
          <w:lang w:eastAsia="cs-CZ"/>
        </w:rPr>
        <w:t>30</w:t>
      </w:r>
      <w:r w:rsidRPr="00066698">
        <w:rPr>
          <w:rFonts w:asciiTheme="minorHAnsi" w:hAnsiTheme="minorHAnsi" w:cstheme="minorHAnsi"/>
          <w:lang w:eastAsia="cs-CZ"/>
        </w:rPr>
        <w:t xml:space="preserve"> dní ode dne vystavení daňového dokladu.</w:t>
      </w:r>
    </w:p>
    <w:p w14:paraId="739CE81B" w14:textId="77777777" w:rsidR="00BB1DBC" w:rsidRDefault="00BB1DBC" w:rsidP="0017642E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65813F67" w14:textId="77777777" w:rsidR="00066698" w:rsidRDefault="00066698" w:rsidP="0017642E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2A6A4C54" w14:textId="77777777" w:rsidR="00066698" w:rsidRPr="00066698" w:rsidRDefault="00066698" w:rsidP="0017642E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AFEFA4C" w14:textId="77777777" w:rsidR="00B27B84" w:rsidRPr="00066698" w:rsidRDefault="004603F0" w:rsidP="00905AE0">
      <w:pPr>
        <w:pStyle w:val="Odstavecseseznamem"/>
        <w:numPr>
          <w:ilvl w:val="0"/>
          <w:numId w:val="20"/>
        </w:numPr>
        <w:spacing w:after="8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lang w:eastAsia="cs-CZ"/>
        </w:rPr>
      </w:pPr>
      <w:r w:rsidRPr="00066698">
        <w:rPr>
          <w:rFonts w:asciiTheme="minorHAnsi" w:hAnsiTheme="minorHAnsi" w:cstheme="minorHAnsi"/>
          <w:b/>
          <w:bCs/>
          <w:lang w:eastAsia="cs-CZ"/>
        </w:rPr>
        <w:t xml:space="preserve">Kontaktní </w:t>
      </w:r>
      <w:r w:rsidR="00B27B84" w:rsidRPr="00066698">
        <w:rPr>
          <w:rFonts w:asciiTheme="minorHAnsi" w:hAnsiTheme="minorHAnsi" w:cstheme="minorHAnsi"/>
          <w:b/>
          <w:bCs/>
          <w:lang w:eastAsia="cs-CZ"/>
        </w:rPr>
        <w:t>o</w:t>
      </w:r>
      <w:r w:rsidRPr="00066698">
        <w:rPr>
          <w:rFonts w:asciiTheme="minorHAnsi" w:hAnsiTheme="minorHAnsi" w:cstheme="minorHAnsi"/>
          <w:b/>
          <w:bCs/>
          <w:lang w:eastAsia="cs-CZ"/>
        </w:rPr>
        <w:t>soby pro jednání</w:t>
      </w:r>
    </w:p>
    <w:p w14:paraId="32D50FE6" w14:textId="77777777" w:rsidR="00B27B84" w:rsidRPr="00066698" w:rsidRDefault="00B27B84" w:rsidP="001E6D17">
      <w:pPr>
        <w:pStyle w:val="Odstavecseseznamem"/>
        <w:spacing w:after="120"/>
        <w:ind w:left="567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lastRenderedPageBreak/>
        <w:t>Za Pr</w:t>
      </w:r>
      <w:r w:rsidR="008C6CFF" w:rsidRPr="00066698">
        <w:rPr>
          <w:rFonts w:asciiTheme="minorHAnsi" w:hAnsiTheme="minorHAnsi" w:cstheme="minorHAnsi"/>
          <w:lang w:eastAsia="cs-CZ"/>
        </w:rPr>
        <w:t>o</w:t>
      </w:r>
      <w:r w:rsidRPr="00066698">
        <w:rPr>
          <w:rFonts w:asciiTheme="minorHAnsi" w:hAnsiTheme="minorHAnsi" w:cstheme="minorHAnsi"/>
          <w:lang w:eastAsia="cs-CZ"/>
        </w:rPr>
        <w:t>najímatele je v rámci této smlouvy oprávněn jednat:</w:t>
      </w:r>
    </w:p>
    <w:p w14:paraId="32CFBFAD" w14:textId="77777777" w:rsidR="00637046" w:rsidRPr="00576B85" w:rsidRDefault="00637046" w:rsidP="00637046">
      <w:pPr>
        <w:pStyle w:val="Odstavecseseznamem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  <w:color w:val="000000" w:themeColor="text1"/>
          <w:highlight w:val="black"/>
          <w:lang w:eastAsia="cs-CZ"/>
        </w:rPr>
      </w:pPr>
      <w:r w:rsidRPr="00576B85">
        <w:rPr>
          <w:rFonts w:asciiTheme="minorHAnsi" w:hAnsiTheme="minorHAnsi" w:cstheme="minorHAnsi"/>
          <w:highlight w:val="black"/>
          <w:lang w:eastAsia="cs-CZ"/>
        </w:rPr>
        <w:t xml:space="preserve">Vít Jirka, IT Manager, mob.: 702 125 963, e-mail: </w:t>
      </w:r>
      <w:hyperlink r:id="rId13" w:history="1">
        <w:proofErr w:type="spellStart"/>
        <w:r w:rsidRPr="00576B85">
          <w:rPr>
            <w:rStyle w:val="Hypertextovodkaz"/>
            <w:color w:val="000000" w:themeColor="text1"/>
            <w:highlight w:val="black"/>
          </w:rPr>
          <w:t>vit.jirka@busline.cz</w:t>
        </w:r>
        <w:proofErr w:type="spellEnd"/>
      </w:hyperlink>
    </w:p>
    <w:p w14:paraId="66F91082" w14:textId="77777777" w:rsidR="00637046" w:rsidRPr="00576B85" w:rsidRDefault="00637046" w:rsidP="00637046">
      <w:pPr>
        <w:pStyle w:val="Odstavecseseznamem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  <w:color w:val="000000" w:themeColor="text1"/>
          <w:highlight w:val="black"/>
          <w:lang w:eastAsia="cs-CZ"/>
        </w:rPr>
      </w:pPr>
      <w:r w:rsidRPr="00576B85">
        <w:rPr>
          <w:rFonts w:asciiTheme="minorHAnsi" w:hAnsiTheme="minorHAnsi" w:cstheme="minorHAnsi"/>
          <w:color w:val="000000" w:themeColor="text1"/>
          <w:highlight w:val="black"/>
          <w:lang w:eastAsia="cs-CZ"/>
        </w:rPr>
        <w:t xml:space="preserve">Martin Havel, technik odbav. systémů, mob.: 602 450 630, e-mail: </w:t>
      </w:r>
      <w:hyperlink r:id="rId14" w:history="1">
        <w:proofErr w:type="spellStart"/>
        <w:r w:rsidR="00066698" w:rsidRPr="00576B85">
          <w:rPr>
            <w:rStyle w:val="Hypertextovodkaz"/>
            <w:rFonts w:asciiTheme="minorHAnsi" w:hAnsiTheme="minorHAnsi" w:cstheme="minorHAnsi"/>
            <w:color w:val="000000" w:themeColor="text1"/>
            <w:highlight w:val="black"/>
            <w:lang w:eastAsia="cs-CZ"/>
          </w:rPr>
          <w:t>martin.havel@busline.cz</w:t>
        </w:r>
        <w:proofErr w:type="spellEnd"/>
      </w:hyperlink>
    </w:p>
    <w:p w14:paraId="7BFB420F" w14:textId="77777777" w:rsidR="00D428D5" w:rsidRPr="00066698" w:rsidRDefault="00D428D5" w:rsidP="00B27B84">
      <w:pPr>
        <w:pStyle w:val="Odstavecseseznamem"/>
        <w:spacing w:after="120"/>
        <w:ind w:left="1080"/>
        <w:jc w:val="both"/>
        <w:rPr>
          <w:rFonts w:asciiTheme="minorHAnsi" w:hAnsiTheme="minorHAnsi" w:cstheme="minorHAnsi"/>
          <w:lang w:eastAsia="cs-CZ"/>
        </w:rPr>
      </w:pPr>
    </w:p>
    <w:p w14:paraId="71223CCC" w14:textId="77777777" w:rsidR="00D428D5" w:rsidRPr="00066698" w:rsidRDefault="00D428D5" w:rsidP="00905AE0">
      <w:pPr>
        <w:pStyle w:val="Odstavecseseznamem"/>
        <w:spacing w:after="80"/>
        <w:ind w:left="567"/>
        <w:jc w:val="both"/>
        <w:rPr>
          <w:rFonts w:asciiTheme="minorHAnsi" w:hAnsiTheme="minorHAnsi" w:cstheme="minorHAnsi"/>
          <w:lang w:eastAsia="cs-CZ"/>
        </w:rPr>
      </w:pPr>
      <w:r w:rsidRPr="00066698">
        <w:rPr>
          <w:rFonts w:asciiTheme="minorHAnsi" w:hAnsiTheme="minorHAnsi" w:cstheme="minorHAnsi"/>
          <w:lang w:eastAsia="cs-CZ"/>
        </w:rPr>
        <w:t>Za Nájemce je v rámci této smlouvy oprávněn jednat:</w:t>
      </w:r>
    </w:p>
    <w:p w14:paraId="498347FC" w14:textId="77777777" w:rsidR="005F13F2" w:rsidRPr="00576B85" w:rsidRDefault="001E6D17" w:rsidP="000075F5">
      <w:pPr>
        <w:pStyle w:val="Odstavecseseznamem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  <w:color w:val="000000" w:themeColor="text1"/>
          <w:highlight w:val="black"/>
          <w:lang w:eastAsia="cs-CZ"/>
        </w:rPr>
      </w:pPr>
      <w:r w:rsidRPr="00576B85">
        <w:rPr>
          <w:rFonts w:asciiTheme="minorHAnsi" w:hAnsiTheme="minorHAnsi" w:cstheme="minorHAnsi"/>
          <w:highlight w:val="black"/>
          <w:lang w:eastAsia="cs-CZ"/>
        </w:rPr>
        <w:t xml:space="preserve">Jakub Dieti, technik OZ, </w:t>
      </w:r>
      <w:r w:rsidR="005F13F2" w:rsidRPr="00576B85">
        <w:rPr>
          <w:rFonts w:asciiTheme="minorHAnsi" w:hAnsiTheme="minorHAnsi" w:cstheme="minorHAnsi"/>
          <w:highlight w:val="black"/>
          <w:lang w:eastAsia="cs-CZ"/>
        </w:rPr>
        <w:t>mob.: 778 111 801, e-mail</w:t>
      </w:r>
      <w:r w:rsidR="005F13F2" w:rsidRPr="00576B85">
        <w:rPr>
          <w:rFonts w:asciiTheme="minorHAnsi" w:hAnsiTheme="minorHAnsi" w:cstheme="minorHAnsi"/>
          <w:color w:val="000000" w:themeColor="text1"/>
          <w:highlight w:val="black"/>
          <w:lang w:eastAsia="cs-CZ"/>
        </w:rPr>
        <w:t xml:space="preserve">: </w:t>
      </w:r>
      <w:hyperlink r:id="rId15" w:history="1">
        <w:proofErr w:type="spellStart"/>
        <w:r w:rsidR="005F13F2" w:rsidRPr="00576B85">
          <w:rPr>
            <w:rStyle w:val="Hypertextovodkaz"/>
            <w:rFonts w:asciiTheme="minorHAnsi" w:hAnsiTheme="minorHAnsi" w:cstheme="minorHAnsi"/>
            <w:color w:val="000000" w:themeColor="text1"/>
            <w:highlight w:val="black"/>
            <w:lang w:eastAsia="cs-CZ"/>
          </w:rPr>
          <w:t>dieti.j@ds-uk.cz</w:t>
        </w:r>
        <w:proofErr w:type="spellEnd"/>
      </w:hyperlink>
      <w:bookmarkStart w:id="1" w:name="_GoBack"/>
      <w:bookmarkEnd w:id="1"/>
    </w:p>
    <w:p w14:paraId="4C6D5B59" w14:textId="77777777" w:rsidR="00D428D5" w:rsidRPr="00576B85" w:rsidRDefault="00E75DCB" w:rsidP="000075F5">
      <w:pPr>
        <w:pStyle w:val="Odstavecseseznamem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  <w:color w:val="000000" w:themeColor="text1"/>
          <w:highlight w:val="black"/>
          <w:lang w:eastAsia="cs-CZ"/>
        </w:rPr>
      </w:pPr>
      <w:r w:rsidRPr="00576B85">
        <w:rPr>
          <w:rFonts w:asciiTheme="minorHAnsi" w:hAnsiTheme="minorHAnsi" w:cstheme="minorHAnsi"/>
          <w:color w:val="000000" w:themeColor="text1"/>
          <w:highlight w:val="black"/>
          <w:lang w:eastAsia="cs-CZ"/>
        </w:rPr>
        <w:t xml:space="preserve">Ing. Pavel Velký, projektant </w:t>
      </w:r>
      <w:r w:rsidR="00A30323" w:rsidRPr="00576B85">
        <w:rPr>
          <w:rFonts w:asciiTheme="minorHAnsi" w:hAnsiTheme="minorHAnsi" w:cstheme="minorHAnsi"/>
          <w:color w:val="000000" w:themeColor="text1"/>
          <w:highlight w:val="black"/>
          <w:lang w:eastAsia="cs-CZ"/>
        </w:rPr>
        <w:t>ITC</w:t>
      </w:r>
      <w:r w:rsidRPr="00576B85">
        <w:rPr>
          <w:rFonts w:asciiTheme="minorHAnsi" w:hAnsiTheme="minorHAnsi" w:cstheme="minorHAnsi"/>
          <w:color w:val="000000" w:themeColor="text1"/>
          <w:highlight w:val="black"/>
          <w:lang w:eastAsia="cs-CZ"/>
        </w:rPr>
        <w:t xml:space="preserve">, </w:t>
      </w:r>
      <w:r w:rsidR="004D091F" w:rsidRPr="00576B85">
        <w:rPr>
          <w:rFonts w:asciiTheme="minorHAnsi" w:hAnsiTheme="minorHAnsi" w:cstheme="minorHAnsi"/>
          <w:color w:val="000000" w:themeColor="text1"/>
          <w:highlight w:val="black"/>
          <w:lang w:eastAsia="cs-CZ"/>
        </w:rPr>
        <w:t xml:space="preserve">mob.: 733 756 625, e-mail: </w:t>
      </w:r>
      <w:hyperlink r:id="rId16" w:history="1">
        <w:proofErr w:type="spellStart"/>
        <w:r w:rsidR="000075F5" w:rsidRPr="00576B85">
          <w:rPr>
            <w:rStyle w:val="Hypertextovodkaz"/>
            <w:rFonts w:asciiTheme="minorHAnsi" w:hAnsiTheme="minorHAnsi" w:cstheme="minorHAnsi"/>
            <w:color w:val="000000" w:themeColor="text1"/>
            <w:highlight w:val="black"/>
            <w:lang w:eastAsia="cs-CZ"/>
          </w:rPr>
          <w:t>velky.p@ds-uk.cz</w:t>
        </w:r>
        <w:proofErr w:type="spellEnd"/>
      </w:hyperlink>
      <w:r w:rsidR="000075F5" w:rsidRPr="00576B85">
        <w:rPr>
          <w:rFonts w:asciiTheme="minorHAnsi" w:hAnsiTheme="minorHAnsi" w:cstheme="minorHAnsi"/>
          <w:color w:val="000000" w:themeColor="text1"/>
          <w:highlight w:val="black"/>
          <w:lang w:eastAsia="cs-CZ"/>
        </w:rPr>
        <w:t xml:space="preserve"> </w:t>
      </w:r>
      <w:r w:rsidR="00D428D5" w:rsidRPr="00576B85">
        <w:rPr>
          <w:rFonts w:asciiTheme="minorHAnsi" w:hAnsiTheme="minorHAnsi" w:cstheme="minorHAnsi"/>
          <w:color w:val="000000" w:themeColor="text1"/>
          <w:highlight w:val="black"/>
          <w:lang w:eastAsia="cs-CZ"/>
        </w:rPr>
        <w:t xml:space="preserve"> </w:t>
      </w:r>
    </w:p>
    <w:p w14:paraId="1A564624" w14:textId="77777777" w:rsidR="00D428D5" w:rsidRPr="00066698" w:rsidRDefault="00D428D5" w:rsidP="008C6CFF">
      <w:pPr>
        <w:pStyle w:val="Odstavecseseznamem"/>
        <w:spacing w:after="120"/>
        <w:ind w:left="1080"/>
        <w:jc w:val="both"/>
        <w:rPr>
          <w:rFonts w:asciiTheme="minorHAnsi" w:hAnsiTheme="minorHAnsi" w:cstheme="minorHAnsi"/>
          <w:b/>
          <w:bCs/>
          <w:lang w:eastAsia="cs-CZ"/>
        </w:rPr>
      </w:pPr>
    </w:p>
    <w:p w14:paraId="7ACDA0A0" w14:textId="77777777" w:rsidR="00027DD4" w:rsidRPr="00066698" w:rsidRDefault="00027DD4" w:rsidP="008C6CFF">
      <w:pPr>
        <w:pStyle w:val="Odstavecseseznamem"/>
        <w:numPr>
          <w:ilvl w:val="0"/>
          <w:numId w:val="20"/>
        </w:numPr>
        <w:spacing w:after="120"/>
        <w:ind w:left="426" w:hanging="426"/>
        <w:jc w:val="both"/>
        <w:rPr>
          <w:rFonts w:asciiTheme="minorHAnsi" w:hAnsiTheme="minorHAnsi" w:cstheme="minorHAnsi"/>
          <w:b/>
          <w:bCs/>
          <w:lang w:eastAsia="cs-CZ"/>
        </w:rPr>
      </w:pPr>
      <w:r w:rsidRPr="00066698">
        <w:rPr>
          <w:rFonts w:asciiTheme="minorHAnsi" w:hAnsiTheme="minorHAnsi" w:cstheme="minorHAnsi"/>
          <w:b/>
          <w:bCs/>
          <w:lang w:eastAsia="cs-CZ"/>
        </w:rPr>
        <w:t>Závěrečná ustanovení</w:t>
      </w:r>
    </w:p>
    <w:p w14:paraId="3D981A41" w14:textId="77777777" w:rsidR="00297F4F" w:rsidRPr="00066698" w:rsidRDefault="00297F4F" w:rsidP="0017642E">
      <w:pPr>
        <w:spacing w:after="2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66698">
        <w:rPr>
          <w:rFonts w:asciiTheme="minorHAnsi" w:hAnsiTheme="minorHAnsi" w:cstheme="minorHAnsi"/>
          <w:sz w:val="22"/>
          <w:szCs w:val="22"/>
          <w:lang w:eastAsia="cs-CZ"/>
        </w:rPr>
        <w:t>1. Smluvní strany berou v oboustranném souhlasu na vědomí skutečnost, že se na tuto smlouvu vztahují povinnosti zveřejnění dle příslušných ustanovení zákona č. 106/1999 Sb., o svobodném přístupu k</w:t>
      </w:r>
      <w:r w:rsidR="00A30323" w:rsidRPr="00066698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>informacím, v platném znění, dle zákona č. 340/2015 Sb., zákona o registru smluv, v platném znění, jakož i poskytnutí informací orgánům státní správy či samosprávy, soudům nebo jiným veřejným orgánům, budou-li vyžadovány v souladu s právními předpisy nebo touto smlouvou. Smluvní strany se dohodly, že splnění povinnosti týkající se uveřejnění smlouvy v registru smluv zajistí nájemce.</w:t>
      </w:r>
    </w:p>
    <w:p w14:paraId="0F33FA78" w14:textId="77777777" w:rsidR="00027DD4" w:rsidRPr="00066698" w:rsidRDefault="00297F4F" w:rsidP="00297F4F">
      <w:p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2. </w:t>
      </w:r>
      <w:r w:rsidR="00027DD4" w:rsidRPr="00066698">
        <w:rPr>
          <w:rFonts w:asciiTheme="minorHAnsi" w:hAnsiTheme="minorHAnsi" w:cstheme="minorHAnsi"/>
          <w:sz w:val="22"/>
          <w:szCs w:val="22"/>
          <w:lang w:eastAsia="cs-CZ"/>
        </w:rPr>
        <w:t>Tato smlouva je vyhotovena ve dvou stejnopisech, přičemž každá ze smluvních stran obdrží jedno vyhotovení.</w:t>
      </w:r>
      <w:r w:rsidR="00311400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027DD4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Tuto smlouvu lze měnit pouze na základě dohody smluvních stran formou písemných číslovaných dodatků. Právní vztahy mezi </w:t>
      </w:r>
      <w:r w:rsidR="00A50126" w:rsidRPr="00066698">
        <w:rPr>
          <w:rFonts w:asciiTheme="minorHAnsi" w:hAnsiTheme="minorHAnsi" w:cstheme="minorHAnsi"/>
          <w:sz w:val="22"/>
          <w:szCs w:val="22"/>
          <w:lang w:eastAsia="cs-CZ"/>
        </w:rPr>
        <w:t>poskytovatelem a odběratelem</w:t>
      </w:r>
      <w:r w:rsidR="00027DD4" w:rsidRPr="00066698">
        <w:rPr>
          <w:rFonts w:asciiTheme="minorHAnsi" w:hAnsiTheme="minorHAnsi" w:cstheme="minorHAnsi"/>
          <w:sz w:val="22"/>
          <w:szCs w:val="22"/>
          <w:lang w:eastAsia="cs-CZ"/>
        </w:rPr>
        <w:t>, které vyplývají z této smlouvy a</w:t>
      </w:r>
      <w:r w:rsidR="00A30323" w:rsidRPr="00066698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027DD4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nejsou v ní upraveny, se řídí </w:t>
      </w:r>
      <w:r w:rsidR="00C51DEB"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českým </w:t>
      </w:r>
      <w:r w:rsidR="00027DD4" w:rsidRPr="00066698">
        <w:rPr>
          <w:rFonts w:asciiTheme="minorHAnsi" w:hAnsiTheme="minorHAnsi" w:cstheme="minorHAnsi"/>
          <w:sz w:val="22"/>
          <w:szCs w:val="22"/>
          <w:lang w:eastAsia="cs-CZ"/>
        </w:rPr>
        <w:t>právem. Smluvní strany prohlašují, že si tuto smlouvu před jejím podpisem přečetly, že byla uzavřena po vzájemném projednání podle jejich pravé a</w:t>
      </w:r>
      <w:r w:rsidR="00476B5F" w:rsidRPr="00066698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027DD4" w:rsidRPr="00066698">
        <w:rPr>
          <w:rFonts w:asciiTheme="minorHAnsi" w:hAnsiTheme="minorHAnsi" w:cstheme="minorHAnsi"/>
          <w:sz w:val="22"/>
          <w:szCs w:val="22"/>
          <w:lang w:eastAsia="cs-CZ"/>
        </w:rPr>
        <w:t>svobodné vůle, určitě, vážně a srozumitelně, nikoliv v tísni a za n</w:t>
      </w:r>
      <w:r w:rsidR="006D648D" w:rsidRPr="00066698">
        <w:rPr>
          <w:rFonts w:asciiTheme="minorHAnsi" w:hAnsiTheme="minorHAnsi" w:cstheme="minorHAnsi"/>
          <w:sz w:val="22"/>
          <w:szCs w:val="22"/>
          <w:lang w:eastAsia="cs-CZ"/>
        </w:rPr>
        <w:t>ápadně nevýhodných podmínek. Na </w:t>
      </w:r>
      <w:r w:rsidR="00027DD4" w:rsidRPr="00066698">
        <w:rPr>
          <w:rFonts w:asciiTheme="minorHAnsi" w:hAnsiTheme="minorHAnsi" w:cstheme="minorHAnsi"/>
          <w:sz w:val="22"/>
          <w:szCs w:val="22"/>
          <w:lang w:eastAsia="cs-CZ"/>
        </w:rPr>
        <w:t>důkaz souhlasu s jejím obsahem připojují své podpisy.</w:t>
      </w:r>
    </w:p>
    <w:p w14:paraId="581C92AD" w14:textId="77777777" w:rsidR="00027DD4" w:rsidRPr="00066698" w:rsidRDefault="00027DD4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5B33E2D1" w14:textId="77777777" w:rsidR="0017642E" w:rsidRPr="00066698" w:rsidRDefault="0017642E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7091624F" w14:textId="77777777" w:rsidR="0017642E" w:rsidRPr="00066698" w:rsidRDefault="0017642E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475709B" w14:textId="77777777" w:rsidR="0017642E" w:rsidRPr="00066698" w:rsidRDefault="0017642E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u w:val="single"/>
          <w:lang w:eastAsia="cs-CZ"/>
        </w:rPr>
      </w:pPr>
      <w:r w:rsidRPr="00066698">
        <w:rPr>
          <w:rFonts w:asciiTheme="minorHAnsi" w:hAnsiTheme="minorHAnsi" w:cstheme="minorHAnsi"/>
          <w:sz w:val="22"/>
          <w:szCs w:val="22"/>
          <w:u w:val="single"/>
          <w:lang w:eastAsia="cs-CZ"/>
        </w:rPr>
        <w:t>Přílohy:</w:t>
      </w:r>
    </w:p>
    <w:p w14:paraId="786DA02E" w14:textId="77777777" w:rsidR="0017642E" w:rsidRPr="00066698" w:rsidRDefault="0017642E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  <w:r w:rsidRPr="00066698">
        <w:rPr>
          <w:rFonts w:asciiTheme="minorHAnsi" w:hAnsiTheme="minorHAnsi" w:cstheme="minorHAnsi"/>
          <w:sz w:val="22"/>
          <w:szCs w:val="22"/>
          <w:lang w:eastAsia="cs-CZ"/>
        </w:rPr>
        <w:t>Příloha č. 1</w:t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ab/>
        <w:t>Ceník služeb</w:t>
      </w:r>
    </w:p>
    <w:p w14:paraId="20A6F58E" w14:textId="77777777" w:rsidR="0017642E" w:rsidRPr="00066698" w:rsidRDefault="0017642E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0271157" w14:textId="77777777" w:rsidR="0017642E" w:rsidRPr="00066698" w:rsidRDefault="0017642E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5D11EC2" w14:textId="77777777" w:rsidR="0017642E" w:rsidRPr="00066698" w:rsidRDefault="0017642E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295BE63" w14:textId="77777777" w:rsidR="0017642E" w:rsidRPr="00066698" w:rsidRDefault="0017642E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5B5A180" w14:textId="77777777" w:rsidR="00027DD4" w:rsidRPr="00066698" w:rsidRDefault="00027DD4" w:rsidP="0001473A">
      <w:pPr>
        <w:tabs>
          <w:tab w:val="left" w:pos="4962"/>
        </w:tabs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  <w:r w:rsidRPr="00066698">
        <w:rPr>
          <w:rFonts w:asciiTheme="minorHAnsi" w:hAnsiTheme="minorHAnsi" w:cstheme="minorHAnsi"/>
          <w:sz w:val="22"/>
          <w:szCs w:val="22"/>
          <w:lang w:eastAsia="cs-CZ"/>
        </w:rPr>
        <w:t>V</w:t>
      </w:r>
      <w:r w:rsidR="0001473A" w:rsidRPr="00066698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D439D1" w:rsidRPr="00066698">
        <w:rPr>
          <w:rFonts w:asciiTheme="minorHAnsi" w:hAnsiTheme="minorHAnsi" w:cstheme="minorHAnsi"/>
          <w:sz w:val="22"/>
          <w:szCs w:val="22"/>
          <w:lang w:eastAsia="cs-CZ"/>
        </w:rPr>
        <w:t>Semilech</w:t>
      </w:r>
      <w:r w:rsidR="0001473A" w:rsidRPr="00066698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dne </w:t>
      </w:r>
      <w:r w:rsidR="0001473A" w:rsidRPr="00066698">
        <w:rPr>
          <w:rFonts w:asciiTheme="minorHAnsi" w:hAnsiTheme="minorHAnsi" w:cstheme="minorHAnsi"/>
          <w:sz w:val="22"/>
          <w:szCs w:val="22"/>
          <w:lang w:eastAsia="cs-CZ"/>
        </w:rPr>
        <w:t>…………………….</w:t>
      </w:r>
      <w:r w:rsidR="0001473A" w:rsidRPr="00066698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V Ústí nad Labem, dne </w:t>
      </w:r>
      <w:r w:rsidR="0017642E" w:rsidRPr="00066698">
        <w:rPr>
          <w:rFonts w:asciiTheme="minorHAnsi" w:hAnsiTheme="minorHAnsi" w:cstheme="minorHAnsi"/>
          <w:sz w:val="22"/>
          <w:szCs w:val="22"/>
          <w:lang w:eastAsia="cs-CZ"/>
        </w:rPr>
        <w:t>…………………….</w:t>
      </w:r>
    </w:p>
    <w:p w14:paraId="1401748F" w14:textId="77777777" w:rsidR="00027DD4" w:rsidRPr="00066698" w:rsidRDefault="00027DD4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6E14940" w14:textId="77777777" w:rsidR="00A30323" w:rsidRPr="00066698" w:rsidRDefault="00A30323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5BC3D1AC" w14:textId="77777777" w:rsidR="00A30323" w:rsidRPr="00066698" w:rsidRDefault="00A30323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024FA0E2" w14:textId="77777777" w:rsidR="003A080A" w:rsidRPr="00066698" w:rsidRDefault="003A080A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3DBB912" w14:textId="77777777" w:rsidR="006E1AF4" w:rsidRPr="00066698" w:rsidRDefault="006E1AF4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5F57BF81" w14:textId="77777777" w:rsidR="00476B5F" w:rsidRPr="00066698" w:rsidRDefault="00476B5F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45AB225" w14:textId="77777777" w:rsidR="00476B5F" w:rsidRPr="00066698" w:rsidRDefault="00476B5F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66712010" w14:textId="77777777" w:rsidR="003D26F3" w:rsidRPr="00066698" w:rsidRDefault="003D26F3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CE7F1DD" w14:textId="77777777" w:rsidR="00476B5F" w:rsidRPr="00066698" w:rsidRDefault="00027DD4" w:rsidP="00476B5F">
      <w:pPr>
        <w:tabs>
          <w:tab w:val="left" w:pos="4962"/>
        </w:tabs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  <w:lang w:eastAsia="cs-CZ"/>
        </w:rPr>
      </w:pPr>
      <w:r w:rsidRPr="00066698">
        <w:rPr>
          <w:rFonts w:asciiTheme="minorHAnsi" w:hAnsiTheme="minorHAnsi" w:cstheme="minorHAnsi"/>
          <w:sz w:val="22"/>
          <w:szCs w:val="22"/>
          <w:lang w:eastAsia="cs-CZ"/>
        </w:rPr>
        <w:t>--------------------------------------</w:t>
      </w:r>
      <w:r w:rsidR="00266F2B" w:rsidRPr="0006669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>---------------------------------------</w:t>
      </w:r>
    </w:p>
    <w:p w14:paraId="09365BEB" w14:textId="77777777" w:rsidR="00476B5F" w:rsidRPr="00066698" w:rsidRDefault="00027DD4" w:rsidP="00476B5F">
      <w:pPr>
        <w:tabs>
          <w:tab w:val="left" w:pos="4962"/>
        </w:tabs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za </w:t>
      </w:r>
      <w:r w:rsidR="00A50126" w:rsidRPr="00066698">
        <w:rPr>
          <w:rFonts w:asciiTheme="minorHAnsi" w:hAnsiTheme="minorHAnsi" w:cstheme="minorHAnsi"/>
          <w:sz w:val="22"/>
          <w:szCs w:val="22"/>
          <w:lang w:eastAsia="cs-CZ"/>
        </w:rPr>
        <w:t>poskytovatele</w:t>
      </w:r>
      <w:r w:rsidR="00266F2B" w:rsidRPr="0006669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za </w:t>
      </w:r>
      <w:r w:rsidR="00A50126" w:rsidRPr="00066698">
        <w:rPr>
          <w:rFonts w:asciiTheme="minorHAnsi" w:hAnsiTheme="minorHAnsi" w:cstheme="minorHAnsi"/>
          <w:sz w:val="22"/>
          <w:szCs w:val="22"/>
          <w:lang w:eastAsia="cs-CZ"/>
        </w:rPr>
        <w:t>odběratele</w:t>
      </w:r>
      <w:r w:rsidRPr="0006669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0570F56E" w14:textId="77777777" w:rsidR="00455C3A" w:rsidRPr="004603F0" w:rsidRDefault="00266F2B" w:rsidP="00476B5F">
      <w:pPr>
        <w:tabs>
          <w:tab w:val="left" w:pos="4962"/>
        </w:tabs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76B85">
        <w:rPr>
          <w:rFonts w:asciiTheme="minorHAnsi" w:hAnsiTheme="minorHAnsi" w:cstheme="minorHAnsi"/>
          <w:sz w:val="22"/>
          <w:szCs w:val="22"/>
          <w:highlight w:val="black"/>
        </w:rPr>
        <w:t>Jakub Vyskočil</w:t>
      </w:r>
      <w:r w:rsidR="006D648D" w:rsidRPr="00576B85">
        <w:rPr>
          <w:rFonts w:asciiTheme="minorHAnsi" w:hAnsiTheme="minorHAnsi" w:cstheme="minorHAnsi"/>
          <w:sz w:val="22"/>
          <w:szCs w:val="22"/>
          <w:highlight w:val="black"/>
        </w:rPr>
        <w:t>, jednatel</w:t>
      </w:r>
      <w:r w:rsidRPr="00066698">
        <w:rPr>
          <w:rFonts w:asciiTheme="minorHAnsi" w:hAnsiTheme="minorHAnsi" w:cstheme="minorHAnsi"/>
          <w:sz w:val="22"/>
          <w:szCs w:val="22"/>
        </w:rPr>
        <w:tab/>
      </w:r>
      <w:r w:rsidR="0001473A" w:rsidRPr="00576B85">
        <w:rPr>
          <w:rFonts w:asciiTheme="minorHAnsi" w:hAnsiTheme="minorHAnsi" w:cstheme="minorHAnsi"/>
          <w:sz w:val="22"/>
          <w:szCs w:val="22"/>
          <w:highlight w:val="black"/>
        </w:rPr>
        <w:t xml:space="preserve">Ing. </w:t>
      </w:r>
      <w:r w:rsidR="00DB4B44" w:rsidRPr="00576B85">
        <w:rPr>
          <w:rFonts w:asciiTheme="minorHAnsi" w:hAnsiTheme="minorHAnsi" w:cstheme="minorHAnsi"/>
          <w:sz w:val="22"/>
          <w:szCs w:val="22"/>
          <w:highlight w:val="black"/>
        </w:rPr>
        <w:t>Milan Šlejtr, ředitel</w:t>
      </w:r>
    </w:p>
    <w:p w14:paraId="59843322" w14:textId="77777777" w:rsidR="0017642E" w:rsidRDefault="0017642E" w:rsidP="00476B5F">
      <w:pPr>
        <w:tabs>
          <w:tab w:val="left" w:pos="4962"/>
        </w:tabs>
        <w:suppressAutoHyphens w:val="0"/>
        <w:overflowPunct/>
        <w:autoSpaceDE/>
        <w:jc w:val="both"/>
        <w:textAlignment w:val="auto"/>
        <w:rPr>
          <w:b/>
          <w:bCs/>
          <w:sz w:val="24"/>
          <w:szCs w:val="24"/>
        </w:rPr>
        <w:sectPr w:rsidR="0017642E" w:rsidSect="00455C3A">
          <w:footerReference w:type="default" r:id="rId17"/>
          <w:pgSz w:w="12240" w:h="15840"/>
          <w:pgMar w:top="1134" w:right="1418" w:bottom="1134" w:left="1418" w:header="709" w:footer="709" w:gutter="0"/>
          <w:cols w:space="708"/>
          <w:docGrid w:linePitch="360"/>
        </w:sectPr>
      </w:pPr>
    </w:p>
    <w:p w14:paraId="3FAA85B4" w14:textId="77777777" w:rsidR="00455C3A" w:rsidRPr="00AF6181" w:rsidRDefault="00455C3A" w:rsidP="00455C3A">
      <w:pPr>
        <w:jc w:val="both"/>
        <w:rPr>
          <w:b/>
          <w:sz w:val="24"/>
          <w:szCs w:val="24"/>
        </w:rPr>
      </w:pPr>
      <w:r w:rsidRPr="00AF6181">
        <w:rPr>
          <w:b/>
          <w:bCs/>
          <w:sz w:val="24"/>
          <w:szCs w:val="24"/>
        </w:rPr>
        <w:lastRenderedPageBreak/>
        <w:t xml:space="preserve">Příloha </w:t>
      </w:r>
      <w:r w:rsidR="00DB4B44">
        <w:rPr>
          <w:b/>
          <w:bCs/>
          <w:sz w:val="24"/>
          <w:szCs w:val="24"/>
        </w:rPr>
        <w:t>1</w:t>
      </w:r>
      <w:r w:rsidRPr="00AF6181">
        <w:rPr>
          <w:b/>
          <w:bCs/>
          <w:sz w:val="24"/>
          <w:szCs w:val="24"/>
        </w:rPr>
        <w:t xml:space="preserve"> - </w:t>
      </w:r>
      <w:r w:rsidRPr="00AF6181">
        <w:rPr>
          <w:b/>
          <w:sz w:val="24"/>
          <w:szCs w:val="24"/>
        </w:rPr>
        <w:t xml:space="preserve">Ceník IT služeb </w:t>
      </w:r>
    </w:p>
    <w:p w14:paraId="0BD828E1" w14:textId="77777777" w:rsidR="00455C3A" w:rsidRDefault="00455C3A" w:rsidP="00455C3A">
      <w:pPr>
        <w:jc w:val="both"/>
        <w:rPr>
          <w:b/>
          <w:bCs/>
          <w:sz w:val="24"/>
          <w:szCs w:val="24"/>
        </w:rPr>
      </w:pPr>
    </w:p>
    <w:tbl>
      <w:tblPr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0"/>
        <w:gridCol w:w="1780"/>
        <w:gridCol w:w="5440"/>
      </w:tblGrid>
      <w:tr w:rsidR="00455C3A" w:rsidRPr="00D06B28" w14:paraId="0A34A89E" w14:textId="77777777" w:rsidTr="009F251A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F515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cs-CZ"/>
              </w:rPr>
              <w:t>IT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336C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cs-CZ"/>
              </w:rPr>
              <w:t>Cena v Kč bez DPH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7566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455C3A" w:rsidRPr="00D06B28" w14:paraId="2BF43FE7" w14:textId="77777777" w:rsidTr="00DB4B44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571B8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85BCA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613D9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lang w:eastAsia="cs-CZ"/>
              </w:rPr>
            </w:pPr>
          </w:p>
        </w:tc>
      </w:tr>
      <w:tr w:rsidR="00455C3A" w:rsidRPr="00D06B28" w14:paraId="77E89CB4" w14:textId="77777777" w:rsidTr="009F251A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531D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Trvalé platby za pronájem OZ vč. dispečinku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56357" w14:textId="77777777" w:rsidR="00455C3A" w:rsidRPr="00D06B28" w:rsidRDefault="00DB4B44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3</w:t>
            </w:r>
            <w:r w:rsidR="00455C3A"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9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0</w:t>
            </w:r>
            <w:r w:rsidR="00455C3A"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0,-/kompletní set/měsíc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85A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Cena zahrnuje kompletní odbavovací zařízení vč. servisu (vyjma závad způsobených řidičem)</w:t>
            </w:r>
          </w:p>
        </w:tc>
      </w:tr>
      <w:tr w:rsidR="00455C3A" w:rsidRPr="00D06B28" w14:paraId="5495010E" w14:textId="77777777" w:rsidTr="009F251A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A572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 xml:space="preserve">Pronájem </w:t>
            </w:r>
            <w:proofErr w:type="spellStart"/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personifikátoru</w:t>
            </w:r>
            <w:proofErr w:type="spellEnd"/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 xml:space="preserve"> pro informační kancelář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7CA3A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500,-/měsíc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D54F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</w:p>
        </w:tc>
      </w:tr>
      <w:tr w:rsidR="00455C3A" w:rsidRPr="00D06B28" w14:paraId="5C1FF10D" w14:textId="77777777" w:rsidTr="009F251A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4941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3447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76C4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lang w:eastAsia="cs-CZ"/>
              </w:rPr>
            </w:pPr>
          </w:p>
        </w:tc>
      </w:tr>
      <w:tr w:rsidR="00455C3A" w:rsidRPr="00D06B28" w14:paraId="0E22039A" w14:textId="77777777" w:rsidTr="009F251A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743C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Výměna zablokovaného SAM modulu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0CF1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900,-/SAM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7004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</w:p>
        </w:tc>
      </w:tr>
      <w:tr w:rsidR="00455C3A" w:rsidRPr="00D06B28" w14:paraId="09826ED9" w14:textId="77777777" w:rsidTr="009F251A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DC9F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Servisní práce (v případě porušené pečeti na strojku, závadě způsobené řidičem atd…)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AA03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900,-/hodina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FE4B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účtováno každých započatých 30 minut</w:t>
            </w:r>
          </w:p>
        </w:tc>
      </w:tr>
      <w:tr w:rsidR="00455C3A" w:rsidRPr="00D06B28" w14:paraId="37E349DA" w14:textId="77777777" w:rsidTr="009F251A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2803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Cestovní náklady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93D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10,-/km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7D3D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účtováno při servisních pracích na závadách způsobených cizím zaviněním</w:t>
            </w:r>
          </w:p>
        </w:tc>
      </w:tr>
      <w:tr w:rsidR="00455C3A" w:rsidRPr="00D06B28" w14:paraId="0D052329" w14:textId="77777777" w:rsidTr="009F251A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0EFB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Čas technika na cestě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8467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450,-/hodina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5FB9" w14:textId="77777777" w:rsidR="00455C3A" w:rsidRPr="00D06B28" w:rsidRDefault="00455C3A" w:rsidP="009F251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účtováno při servisních pracích na závadách způsobených cizím zaviněním</w:t>
            </w:r>
          </w:p>
        </w:tc>
      </w:tr>
    </w:tbl>
    <w:p w14:paraId="1922A58D" w14:textId="77777777" w:rsidR="00455C3A" w:rsidRPr="000F4CAC" w:rsidRDefault="00455C3A" w:rsidP="00455C3A">
      <w:pPr>
        <w:jc w:val="both"/>
        <w:rPr>
          <w:b/>
          <w:bCs/>
          <w:sz w:val="24"/>
          <w:szCs w:val="24"/>
        </w:rPr>
      </w:pPr>
    </w:p>
    <w:p w14:paraId="6135DAE7" w14:textId="77777777" w:rsidR="007A2C30" w:rsidRDefault="007A2C30">
      <w:pPr>
        <w:suppressAutoHyphens w:val="0"/>
        <w:overflowPunct/>
        <w:autoSpaceDE/>
        <w:textAlignment w:val="auto"/>
        <w:rPr>
          <w:rFonts w:asciiTheme="minorHAnsi" w:hAnsiTheme="minorHAnsi" w:cstheme="minorHAnsi"/>
          <w:sz w:val="24"/>
          <w:szCs w:val="24"/>
        </w:rPr>
      </w:pPr>
    </w:p>
    <w:sectPr w:rsidR="007A2C30" w:rsidSect="00455C3A">
      <w:pgSz w:w="15840" w:h="12240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5AEFD" w14:textId="77777777" w:rsidR="00013B0D" w:rsidRDefault="00013B0D">
      <w:r>
        <w:separator/>
      </w:r>
    </w:p>
  </w:endnote>
  <w:endnote w:type="continuationSeparator" w:id="0">
    <w:p w14:paraId="0A2D4390" w14:textId="77777777" w:rsidR="00013B0D" w:rsidRDefault="0001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3899" w14:textId="77777777" w:rsidR="009F251A" w:rsidRDefault="009F251A" w:rsidP="0095583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186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43270" w14:textId="77777777" w:rsidR="00013B0D" w:rsidRDefault="00013B0D">
      <w:r>
        <w:separator/>
      </w:r>
    </w:p>
  </w:footnote>
  <w:footnote w:type="continuationSeparator" w:id="0">
    <w:p w14:paraId="46982AC9" w14:textId="77777777" w:rsidR="00013B0D" w:rsidRDefault="0001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130742"/>
    <w:multiLevelType w:val="hybridMultilevel"/>
    <w:tmpl w:val="AAAB9A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7E6D0C"/>
    <w:multiLevelType w:val="hybridMultilevel"/>
    <w:tmpl w:val="A6D372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5B77FB"/>
    <w:multiLevelType w:val="hybridMultilevel"/>
    <w:tmpl w:val="191AD2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4B062B"/>
    <w:multiLevelType w:val="hybridMultilevel"/>
    <w:tmpl w:val="B3A07C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32144"/>
    <w:multiLevelType w:val="hybridMultilevel"/>
    <w:tmpl w:val="B074F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82A25"/>
    <w:multiLevelType w:val="hybridMultilevel"/>
    <w:tmpl w:val="3FEA5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87909"/>
    <w:multiLevelType w:val="hybridMultilevel"/>
    <w:tmpl w:val="C1FC529E"/>
    <w:lvl w:ilvl="0" w:tplc="4B300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372FF"/>
    <w:multiLevelType w:val="hybridMultilevel"/>
    <w:tmpl w:val="5B6A4306"/>
    <w:lvl w:ilvl="0" w:tplc="8C088F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25C0"/>
    <w:multiLevelType w:val="multilevel"/>
    <w:tmpl w:val="1CCE5AEE"/>
    <w:lvl w:ilvl="0">
      <w:start w:val="1"/>
      <w:numFmt w:val="upperRoman"/>
      <w:lvlText w:val="%1."/>
      <w:lvlJc w:val="right"/>
      <w:pPr>
        <w:tabs>
          <w:tab w:val="num" w:pos="2590"/>
        </w:tabs>
        <w:ind w:left="2590" w:hanging="180"/>
      </w:pPr>
      <w:rPr>
        <w:rFonts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514154"/>
    <w:multiLevelType w:val="hybridMultilevel"/>
    <w:tmpl w:val="0622B2B4"/>
    <w:lvl w:ilvl="0" w:tplc="C79095F0"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E5991"/>
    <w:multiLevelType w:val="hybridMultilevel"/>
    <w:tmpl w:val="66A42536"/>
    <w:lvl w:ilvl="0" w:tplc="8C088F4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87020C"/>
    <w:multiLevelType w:val="hybridMultilevel"/>
    <w:tmpl w:val="5214208E"/>
    <w:lvl w:ilvl="0" w:tplc="5D4201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700B4B"/>
    <w:multiLevelType w:val="hybridMultilevel"/>
    <w:tmpl w:val="F370C2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5018F"/>
    <w:multiLevelType w:val="hybridMultilevel"/>
    <w:tmpl w:val="1B04F1E6"/>
    <w:lvl w:ilvl="0" w:tplc="C6D8FEF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75A7D"/>
    <w:multiLevelType w:val="hybridMultilevel"/>
    <w:tmpl w:val="901604AA"/>
    <w:lvl w:ilvl="0" w:tplc="10BC4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EE7D8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sz w:val="22"/>
        <w:szCs w:val="22"/>
      </w:rPr>
    </w:lvl>
    <w:lvl w:ilvl="2" w:tplc="651C7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5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A0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AC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90F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02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47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02291C"/>
    <w:multiLevelType w:val="hybridMultilevel"/>
    <w:tmpl w:val="B25E3B1E"/>
    <w:lvl w:ilvl="0" w:tplc="C79095F0"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E6182"/>
    <w:multiLevelType w:val="hybridMultilevel"/>
    <w:tmpl w:val="CA162FFC"/>
    <w:lvl w:ilvl="0" w:tplc="78B4280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71F76"/>
    <w:multiLevelType w:val="hybridMultilevel"/>
    <w:tmpl w:val="4F10DF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4A60DEC"/>
    <w:multiLevelType w:val="hybridMultilevel"/>
    <w:tmpl w:val="706E9FE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6E4A4ED6"/>
    <w:multiLevelType w:val="hybridMultilevel"/>
    <w:tmpl w:val="7B40B818"/>
    <w:lvl w:ilvl="0" w:tplc="C79095F0">
      <w:numFmt w:val="bullet"/>
      <w:lvlText w:val=""/>
      <w:lvlJc w:val="left"/>
      <w:rPr>
        <w:rFonts w:ascii="Symbol" w:eastAsia="Arial Unicode MS" w:hAnsi="Symbol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BE1453C"/>
    <w:multiLevelType w:val="hybridMultilevel"/>
    <w:tmpl w:val="4BBAACBC"/>
    <w:lvl w:ilvl="0" w:tplc="F664F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"/>
  </w:num>
  <w:num w:numId="5">
    <w:abstractNumId w:val="0"/>
  </w:num>
  <w:num w:numId="6">
    <w:abstractNumId w:val="17"/>
  </w:num>
  <w:num w:numId="7">
    <w:abstractNumId w:val="2"/>
  </w:num>
  <w:num w:numId="8">
    <w:abstractNumId w:val="9"/>
  </w:num>
  <w:num w:numId="9">
    <w:abstractNumId w:val="16"/>
  </w:num>
  <w:num w:numId="10">
    <w:abstractNumId w:val="19"/>
  </w:num>
  <w:num w:numId="11">
    <w:abstractNumId w:val="15"/>
  </w:num>
  <w:num w:numId="12">
    <w:abstractNumId w:val="5"/>
  </w:num>
  <w:num w:numId="13">
    <w:abstractNumId w:val="7"/>
  </w:num>
  <w:num w:numId="14">
    <w:abstractNumId w:val="4"/>
  </w:num>
  <w:num w:numId="15">
    <w:abstractNumId w:val="11"/>
  </w:num>
  <w:num w:numId="16">
    <w:abstractNumId w:val="14"/>
  </w:num>
  <w:num w:numId="17">
    <w:abstractNumId w:val="8"/>
  </w:num>
  <w:num w:numId="18">
    <w:abstractNumId w:val="3"/>
  </w:num>
  <w:num w:numId="19">
    <w:abstractNumId w:val="12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EE"/>
    <w:rsid w:val="000075F5"/>
    <w:rsid w:val="000107FA"/>
    <w:rsid w:val="00013B0D"/>
    <w:rsid w:val="0001473A"/>
    <w:rsid w:val="00024092"/>
    <w:rsid w:val="00027DD4"/>
    <w:rsid w:val="00030E60"/>
    <w:rsid w:val="00053187"/>
    <w:rsid w:val="0005678D"/>
    <w:rsid w:val="00060D3C"/>
    <w:rsid w:val="00066698"/>
    <w:rsid w:val="00077DEF"/>
    <w:rsid w:val="00082F7E"/>
    <w:rsid w:val="000B0C1B"/>
    <w:rsid w:val="000B5EE8"/>
    <w:rsid w:val="000C22CE"/>
    <w:rsid w:val="000C60C7"/>
    <w:rsid w:val="000E3400"/>
    <w:rsid w:val="00100EF6"/>
    <w:rsid w:val="001051A8"/>
    <w:rsid w:val="00130F91"/>
    <w:rsid w:val="00135974"/>
    <w:rsid w:val="00142537"/>
    <w:rsid w:val="001507CF"/>
    <w:rsid w:val="001519D2"/>
    <w:rsid w:val="001674AA"/>
    <w:rsid w:val="0017642E"/>
    <w:rsid w:val="0018525A"/>
    <w:rsid w:val="00195F5D"/>
    <w:rsid w:val="001A311E"/>
    <w:rsid w:val="001A4A84"/>
    <w:rsid w:val="001C7C82"/>
    <w:rsid w:val="001D5E59"/>
    <w:rsid w:val="001E639E"/>
    <w:rsid w:val="001E6D17"/>
    <w:rsid w:val="0020636C"/>
    <w:rsid w:val="00215904"/>
    <w:rsid w:val="00230946"/>
    <w:rsid w:val="002368DE"/>
    <w:rsid w:val="0023763A"/>
    <w:rsid w:val="00252300"/>
    <w:rsid w:val="002609E9"/>
    <w:rsid w:val="002629EF"/>
    <w:rsid w:val="00266F2B"/>
    <w:rsid w:val="002762F4"/>
    <w:rsid w:val="00284EA3"/>
    <w:rsid w:val="002905A0"/>
    <w:rsid w:val="00297F4F"/>
    <w:rsid w:val="002C5C4E"/>
    <w:rsid w:val="002D291B"/>
    <w:rsid w:val="002F03BA"/>
    <w:rsid w:val="002F0666"/>
    <w:rsid w:val="002F64E7"/>
    <w:rsid w:val="003008B6"/>
    <w:rsid w:val="00301C70"/>
    <w:rsid w:val="00302279"/>
    <w:rsid w:val="003106BF"/>
    <w:rsid w:val="00311400"/>
    <w:rsid w:val="0033229B"/>
    <w:rsid w:val="003326AA"/>
    <w:rsid w:val="003514C2"/>
    <w:rsid w:val="003566AA"/>
    <w:rsid w:val="003600AC"/>
    <w:rsid w:val="00363CB0"/>
    <w:rsid w:val="00374A23"/>
    <w:rsid w:val="00374C5E"/>
    <w:rsid w:val="003816BF"/>
    <w:rsid w:val="003A080A"/>
    <w:rsid w:val="003C7455"/>
    <w:rsid w:val="003D26F3"/>
    <w:rsid w:val="003E355B"/>
    <w:rsid w:val="0040077F"/>
    <w:rsid w:val="0040175F"/>
    <w:rsid w:val="00410D58"/>
    <w:rsid w:val="00412E8B"/>
    <w:rsid w:val="004226B7"/>
    <w:rsid w:val="0042738E"/>
    <w:rsid w:val="00433A04"/>
    <w:rsid w:val="00443699"/>
    <w:rsid w:val="004520CC"/>
    <w:rsid w:val="00455C3A"/>
    <w:rsid w:val="004603F0"/>
    <w:rsid w:val="00464BB1"/>
    <w:rsid w:val="00470818"/>
    <w:rsid w:val="00473EE0"/>
    <w:rsid w:val="00476B5F"/>
    <w:rsid w:val="00480D36"/>
    <w:rsid w:val="004942A9"/>
    <w:rsid w:val="00497440"/>
    <w:rsid w:val="004C2F0C"/>
    <w:rsid w:val="004C7CBB"/>
    <w:rsid w:val="004D091F"/>
    <w:rsid w:val="004D4C5A"/>
    <w:rsid w:val="004E14ED"/>
    <w:rsid w:val="004E2515"/>
    <w:rsid w:val="004E339D"/>
    <w:rsid w:val="004F0ADA"/>
    <w:rsid w:val="004F142A"/>
    <w:rsid w:val="004F3A1C"/>
    <w:rsid w:val="004F4359"/>
    <w:rsid w:val="005003E7"/>
    <w:rsid w:val="00502947"/>
    <w:rsid w:val="00513D43"/>
    <w:rsid w:val="00520807"/>
    <w:rsid w:val="00530C55"/>
    <w:rsid w:val="00541DE5"/>
    <w:rsid w:val="00541FA4"/>
    <w:rsid w:val="00543968"/>
    <w:rsid w:val="005469DA"/>
    <w:rsid w:val="00573B4F"/>
    <w:rsid w:val="00574072"/>
    <w:rsid w:val="005754E5"/>
    <w:rsid w:val="00576B85"/>
    <w:rsid w:val="005832F4"/>
    <w:rsid w:val="005A5090"/>
    <w:rsid w:val="005B6828"/>
    <w:rsid w:val="005D0ECE"/>
    <w:rsid w:val="005D162E"/>
    <w:rsid w:val="005D2893"/>
    <w:rsid w:val="005D7A88"/>
    <w:rsid w:val="005F13F2"/>
    <w:rsid w:val="00620BA5"/>
    <w:rsid w:val="006312C8"/>
    <w:rsid w:val="00637046"/>
    <w:rsid w:val="00641FB2"/>
    <w:rsid w:val="00665CB2"/>
    <w:rsid w:val="00670B83"/>
    <w:rsid w:val="00672AD2"/>
    <w:rsid w:val="006875D1"/>
    <w:rsid w:val="006C66B8"/>
    <w:rsid w:val="006D648D"/>
    <w:rsid w:val="006E1AF4"/>
    <w:rsid w:val="006E679D"/>
    <w:rsid w:val="0070162E"/>
    <w:rsid w:val="00705A46"/>
    <w:rsid w:val="00761D5A"/>
    <w:rsid w:val="007858F1"/>
    <w:rsid w:val="007A2C30"/>
    <w:rsid w:val="007A6881"/>
    <w:rsid w:val="007B6412"/>
    <w:rsid w:val="007B7756"/>
    <w:rsid w:val="007C339F"/>
    <w:rsid w:val="007C7C71"/>
    <w:rsid w:val="007F6849"/>
    <w:rsid w:val="008048EA"/>
    <w:rsid w:val="00806B1A"/>
    <w:rsid w:val="008165C9"/>
    <w:rsid w:val="00840A69"/>
    <w:rsid w:val="00855350"/>
    <w:rsid w:val="00863863"/>
    <w:rsid w:val="0087163E"/>
    <w:rsid w:val="00877734"/>
    <w:rsid w:val="00895FB2"/>
    <w:rsid w:val="00897CDE"/>
    <w:rsid w:val="008C6CFF"/>
    <w:rsid w:val="008D36AD"/>
    <w:rsid w:val="008E6604"/>
    <w:rsid w:val="008F62BE"/>
    <w:rsid w:val="00901697"/>
    <w:rsid w:val="00905AE0"/>
    <w:rsid w:val="0093597B"/>
    <w:rsid w:val="00955831"/>
    <w:rsid w:val="00962CBE"/>
    <w:rsid w:val="0097539F"/>
    <w:rsid w:val="00982FB7"/>
    <w:rsid w:val="009A2A22"/>
    <w:rsid w:val="009A72FC"/>
    <w:rsid w:val="009B2197"/>
    <w:rsid w:val="009C1868"/>
    <w:rsid w:val="009F251A"/>
    <w:rsid w:val="009F3667"/>
    <w:rsid w:val="00A114B9"/>
    <w:rsid w:val="00A228ED"/>
    <w:rsid w:val="00A22A2B"/>
    <w:rsid w:val="00A239BB"/>
    <w:rsid w:val="00A2556E"/>
    <w:rsid w:val="00A2627E"/>
    <w:rsid w:val="00A30323"/>
    <w:rsid w:val="00A32460"/>
    <w:rsid w:val="00A4659F"/>
    <w:rsid w:val="00A50126"/>
    <w:rsid w:val="00A62128"/>
    <w:rsid w:val="00A70D9E"/>
    <w:rsid w:val="00A8233A"/>
    <w:rsid w:val="00AC1750"/>
    <w:rsid w:val="00AF0BDF"/>
    <w:rsid w:val="00AF7591"/>
    <w:rsid w:val="00B04CB3"/>
    <w:rsid w:val="00B068EE"/>
    <w:rsid w:val="00B27B84"/>
    <w:rsid w:val="00B27DAC"/>
    <w:rsid w:val="00B36AD5"/>
    <w:rsid w:val="00B41F6A"/>
    <w:rsid w:val="00B74CE3"/>
    <w:rsid w:val="00B810A7"/>
    <w:rsid w:val="00B85F87"/>
    <w:rsid w:val="00B86395"/>
    <w:rsid w:val="00B97A69"/>
    <w:rsid w:val="00BB04EB"/>
    <w:rsid w:val="00BB1DBC"/>
    <w:rsid w:val="00BB3C93"/>
    <w:rsid w:val="00BB5611"/>
    <w:rsid w:val="00BC19E4"/>
    <w:rsid w:val="00BC6301"/>
    <w:rsid w:val="00BC6882"/>
    <w:rsid w:val="00BD0278"/>
    <w:rsid w:val="00C16DD7"/>
    <w:rsid w:val="00C1745B"/>
    <w:rsid w:val="00C2608C"/>
    <w:rsid w:val="00C41B0E"/>
    <w:rsid w:val="00C41B40"/>
    <w:rsid w:val="00C51DEB"/>
    <w:rsid w:val="00C63D5A"/>
    <w:rsid w:val="00C8298E"/>
    <w:rsid w:val="00C83159"/>
    <w:rsid w:val="00C836DA"/>
    <w:rsid w:val="00C83F28"/>
    <w:rsid w:val="00CC6873"/>
    <w:rsid w:val="00CE3144"/>
    <w:rsid w:val="00CE60B9"/>
    <w:rsid w:val="00D25D92"/>
    <w:rsid w:val="00D270C3"/>
    <w:rsid w:val="00D304DD"/>
    <w:rsid w:val="00D31CF3"/>
    <w:rsid w:val="00D34F95"/>
    <w:rsid w:val="00D4117A"/>
    <w:rsid w:val="00D41FDB"/>
    <w:rsid w:val="00D428D5"/>
    <w:rsid w:val="00D4340D"/>
    <w:rsid w:val="00D439D1"/>
    <w:rsid w:val="00D45743"/>
    <w:rsid w:val="00D60E76"/>
    <w:rsid w:val="00D61E08"/>
    <w:rsid w:val="00D715D4"/>
    <w:rsid w:val="00D86FA3"/>
    <w:rsid w:val="00DB4B44"/>
    <w:rsid w:val="00DC5AF6"/>
    <w:rsid w:val="00DE0A0F"/>
    <w:rsid w:val="00DE5A11"/>
    <w:rsid w:val="00DF5B0A"/>
    <w:rsid w:val="00E01802"/>
    <w:rsid w:val="00E1708C"/>
    <w:rsid w:val="00E47DA2"/>
    <w:rsid w:val="00E6278F"/>
    <w:rsid w:val="00E6594E"/>
    <w:rsid w:val="00E67C14"/>
    <w:rsid w:val="00E75DCB"/>
    <w:rsid w:val="00E76E08"/>
    <w:rsid w:val="00E8177A"/>
    <w:rsid w:val="00ED0A56"/>
    <w:rsid w:val="00ED3F9E"/>
    <w:rsid w:val="00EE1D0B"/>
    <w:rsid w:val="00EE7D08"/>
    <w:rsid w:val="00EF483A"/>
    <w:rsid w:val="00F24D8B"/>
    <w:rsid w:val="00F40168"/>
    <w:rsid w:val="00F476D3"/>
    <w:rsid w:val="00F50BFF"/>
    <w:rsid w:val="00F66020"/>
    <w:rsid w:val="00F72454"/>
    <w:rsid w:val="00F832EE"/>
    <w:rsid w:val="00F84605"/>
    <w:rsid w:val="00FC7767"/>
    <w:rsid w:val="00FD28DB"/>
    <w:rsid w:val="00FD3A05"/>
    <w:rsid w:val="00FD6ECB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4E582E4"/>
  <w15:docId w15:val="{A4DA148F-CA62-4CDF-8102-C236C4B9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6BF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816BF"/>
  </w:style>
  <w:style w:type="character" w:customStyle="1" w:styleId="WW-Absatz-Standardschriftart">
    <w:name w:val="WW-Absatz-Standardschriftart"/>
    <w:rsid w:val="003816BF"/>
  </w:style>
  <w:style w:type="character" w:customStyle="1" w:styleId="WW-Absatz-Standardschriftart1">
    <w:name w:val="WW-Absatz-Standardschriftart1"/>
    <w:rsid w:val="003816BF"/>
  </w:style>
  <w:style w:type="character" w:customStyle="1" w:styleId="WW-Absatz-Standardschriftart11">
    <w:name w:val="WW-Absatz-Standardschriftart11"/>
    <w:rsid w:val="003816BF"/>
  </w:style>
  <w:style w:type="character" w:customStyle="1" w:styleId="WW-Absatz-Standardschriftart111">
    <w:name w:val="WW-Absatz-Standardschriftart111"/>
    <w:rsid w:val="003816BF"/>
  </w:style>
  <w:style w:type="character" w:customStyle="1" w:styleId="WW-Absatz-Standardschriftart1111">
    <w:name w:val="WW-Absatz-Standardschriftart1111"/>
    <w:rsid w:val="003816BF"/>
  </w:style>
  <w:style w:type="character" w:customStyle="1" w:styleId="WW-Absatz-Standardschriftart11111">
    <w:name w:val="WW-Absatz-Standardschriftart11111"/>
    <w:rsid w:val="003816BF"/>
  </w:style>
  <w:style w:type="character" w:customStyle="1" w:styleId="WW-Absatz-Standardschriftart111111">
    <w:name w:val="WW-Absatz-Standardschriftart111111"/>
    <w:rsid w:val="003816BF"/>
  </w:style>
  <w:style w:type="character" w:customStyle="1" w:styleId="Standardnpsmoodstavce1">
    <w:name w:val="Standardní písmo odstavce1"/>
    <w:rsid w:val="003816BF"/>
  </w:style>
  <w:style w:type="character" w:styleId="slostrnky">
    <w:name w:val="page number"/>
    <w:basedOn w:val="Standardnpsmoodstavce1"/>
    <w:rsid w:val="003816BF"/>
  </w:style>
  <w:style w:type="character" w:styleId="Hypertextovodkaz">
    <w:name w:val="Hyperlink"/>
    <w:rsid w:val="003816BF"/>
    <w:rPr>
      <w:color w:val="0000FF"/>
      <w:u w:val="single"/>
    </w:rPr>
  </w:style>
  <w:style w:type="character" w:styleId="Siln">
    <w:name w:val="Strong"/>
    <w:uiPriority w:val="22"/>
    <w:qFormat/>
    <w:rsid w:val="003816BF"/>
    <w:rPr>
      <w:b/>
      <w:bCs/>
    </w:rPr>
  </w:style>
  <w:style w:type="character" w:customStyle="1" w:styleId="contact">
    <w:name w:val="contact"/>
    <w:basedOn w:val="Standardnpsmoodstavce1"/>
    <w:rsid w:val="003816BF"/>
  </w:style>
  <w:style w:type="paragraph" w:customStyle="1" w:styleId="Nadpis">
    <w:name w:val="Nadpis"/>
    <w:basedOn w:val="Normln"/>
    <w:next w:val="Zkladntext"/>
    <w:rsid w:val="003816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3816BF"/>
    <w:pPr>
      <w:spacing w:after="120"/>
    </w:pPr>
  </w:style>
  <w:style w:type="paragraph" w:styleId="Seznam">
    <w:name w:val="List"/>
    <w:basedOn w:val="Zkladntext"/>
    <w:rsid w:val="003816BF"/>
    <w:rPr>
      <w:rFonts w:cs="Mangal"/>
    </w:rPr>
  </w:style>
  <w:style w:type="paragraph" w:customStyle="1" w:styleId="Popisek">
    <w:name w:val="Popisek"/>
    <w:basedOn w:val="Normln"/>
    <w:rsid w:val="00381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3816BF"/>
    <w:pPr>
      <w:suppressLineNumbers/>
    </w:pPr>
    <w:rPr>
      <w:rFonts w:cs="Mangal"/>
    </w:rPr>
  </w:style>
  <w:style w:type="paragraph" w:styleId="Zpat">
    <w:name w:val="footer"/>
    <w:basedOn w:val="Normln"/>
    <w:rsid w:val="003816BF"/>
    <w:pPr>
      <w:tabs>
        <w:tab w:val="center" w:pos="4703"/>
        <w:tab w:val="right" w:pos="9406"/>
      </w:tabs>
    </w:pPr>
  </w:style>
  <w:style w:type="paragraph" w:styleId="Zkladntextodsazen">
    <w:name w:val="Body Text Indent"/>
    <w:basedOn w:val="Normln"/>
    <w:rsid w:val="003816BF"/>
    <w:pPr>
      <w:ind w:hanging="284"/>
      <w:jc w:val="both"/>
    </w:pPr>
    <w:rPr>
      <w:sz w:val="24"/>
    </w:rPr>
  </w:style>
  <w:style w:type="paragraph" w:styleId="Zhlav">
    <w:name w:val="header"/>
    <w:basedOn w:val="Normln"/>
    <w:rsid w:val="003816BF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3816BF"/>
    <w:pPr>
      <w:spacing w:after="120" w:line="480" w:lineRule="auto"/>
    </w:pPr>
  </w:style>
  <w:style w:type="paragraph" w:styleId="Textbubliny">
    <w:name w:val="Balloon Text"/>
    <w:basedOn w:val="Normln"/>
    <w:rsid w:val="003816BF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3816BF"/>
  </w:style>
  <w:style w:type="paragraph" w:customStyle="1" w:styleId="Obsahtabulky">
    <w:name w:val="Obsah tabulky"/>
    <w:basedOn w:val="Normln"/>
    <w:rsid w:val="003816BF"/>
    <w:pPr>
      <w:suppressLineNumbers/>
    </w:pPr>
  </w:style>
  <w:style w:type="paragraph" w:customStyle="1" w:styleId="Nadpistabulky">
    <w:name w:val="Nadpis tabulky"/>
    <w:basedOn w:val="Obsahtabulky"/>
    <w:rsid w:val="003816BF"/>
    <w:pPr>
      <w:jc w:val="center"/>
    </w:pPr>
    <w:rPr>
      <w:b/>
      <w:bCs/>
    </w:rPr>
  </w:style>
  <w:style w:type="paragraph" w:customStyle="1" w:styleId="Citace1">
    <w:name w:val="Citace1"/>
    <w:basedOn w:val="Normln"/>
    <w:rsid w:val="003816BF"/>
    <w:pPr>
      <w:spacing w:after="283"/>
      <w:ind w:left="567" w:right="567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77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077DEF"/>
    <w:rPr>
      <w:rFonts w:ascii="Courier New" w:hAnsi="Courier New" w:cs="Courier New"/>
    </w:rPr>
  </w:style>
  <w:style w:type="character" w:styleId="Odkaznakoment">
    <w:name w:val="annotation reference"/>
    <w:uiPriority w:val="99"/>
    <w:semiHidden/>
    <w:unhideWhenUsed/>
    <w:rsid w:val="00A3246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32460"/>
  </w:style>
  <w:style w:type="character" w:customStyle="1" w:styleId="TextkomenteChar">
    <w:name w:val="Text komentáře Char"/>
    <w:link w:val="Textkomente"/>
    <w:uiPriority w:val="99"/>
    <w:rsid w:val="00A3246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46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2460"/>
    <w:rPr>
      <w:b/>
      <w:bCs/>
      <w:lang w:eastAsia="ar-SA"/>
    </w:rPr>
  </w:style>
  <w:style w:type="paragraph" w:styleId="Odstavecseseznamem">
    <w:name w:val="List Paragraph"/>
    <w:basedOn w:val="Normln"/>
    <w:qFormat/>
    <w:rsid w:val="003C745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26AA"/>
    <w:rPr>
      <w:color w:val="605E5C"/>
      <w:shd w:val="clear" w:color="auto" w:fill="E1DFDD"/>
    </w:rPr>
  </w:style>
  <w:style w:type="paragraph" w:customStyle="1" w:styleId="Default">
    <w:name w:val="Default"/>
    <w:rsid w:val="0042738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F13F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37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t.jirka@buslin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.sm@busline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velky.p@ds-uk.c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ieti.j@ds-uk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in.havel@buslin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A99B211DEF14DBA05640D9DB1F53A" ma:contentTypeVersion="5" ma:contentTypeDescription="Create a new document." ma:contentTypeScope="" ma:versionID="89d0c8f8fd9bd1ab4f504422e41fd69a">
  <xsd:schema xmlns:xsd="http://www.w3.org/2001/XMLSchema" xmlns:xs="http://www.w3.org/2001/XMLSchema" xmlns:p="http://schemas.microsoft.com/office/2006/metadata/properties" xmlns:ns3="26c0ea20-98d0-48a1-8b0a-51d2e9c8897a" targetNamespace="http://schemas.microsoft.com/office/2006/metadata/properties" ma:root="true" ma:fieldsID="e7b51a0a96aa677be8e8db97bef2b107" ns3:_="">
    <xsd:import namespace="26c0ea20-98d0-48a1-8b0a-51d2e9c889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0ea20-98d0-48a1-8b0a-51d2e9c88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4ecbf47d-2ec6-497d-85fc-f65b66e62fe7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14AD-E7B8-410F-9774-3272184A3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0ea20-98d0-48a1-8b0a-51d2e9c88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638D5-E198-466F-884F-AF7FB272E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F49F1-A517-415C-87A8-D53A6CACB36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26c0ea20-98d0-48a1-8b0a-51d2e9c8897a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B89CE9C-C834-4EB6-9857-8CE9D9DD629D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A1FB061A-4FA8-49B2-B9EC-C1EA4125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BusLine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Jitka Žižková</dc:creator>
  <cp:lastModifiedBy>Jitka Žižková</cp:lastModifiedBy>
  <cp:revision>2</cp:revision>
  <cp:lastPrinted>2019-06-21T09:15:00Z</cp:lastPrinted>
  <dcterms:created xsi:type="dcterms:W3CDTF">2020-09-03T08:58:00Z</dcterms:created>
  <dcterms:modified xsi:type="dcterms:W3CDTF">2020-09-03T11:19:00Z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3f4037f3-ab7f-4fa6-997b-473bb61fa26b</vt:lpwstr>
  </property>
  <property fmtid="{D5CDD505-2E9C-101B-9397-08002B2CF9AE}" pid="3" name="bjSaver">
    <vt:lpwstr>PG5SrEvaa0T+J3MBRNStCaZNVAF1n+dc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5" name="bjDocumentLabelXML-0">
    <vt:lpwstr>nternal/label"&gt;&lt;element uid="4ecbf47d-2ec6-497d-85fc-f65b66e62fe7" value="" /&gt;&lt;/sisl&gt;</vt:lpwstr>
  </property>
  <property fmtid="{D5CDD505-2E9C-101B-9397-08002B2CF9AE}" pid="6" name="bjDocumentSecurityLabel">
    <vt:lpwstr>CNH Industrial: GENERAL BUSINESS [Minor prejudice to Company from unauthorised disclosure.]</vt:lpwstr>
  </property>
  <property fmtid="{D5CDD505-2E9C-101B-9397-08002B2CF9AE}" pid="7" name="CNH-LabelledBy:">
    <vt:lpwstr>CE677,14.10.2016 9:47:59,GENERAL BUSINESS</vt:lpwstr>
  </property>
  <property fmtid="{D5CDD505-2E9C-101B-9397-08002B2CF9AE}" pid="8" name="CNH-Classification">
    <vt:lpwstr>[GENERAL BUSINESS]</vt:lpwstr>
  </property>
  <property fmtid="{D5CDD505-2E9C-101B-9397-08002B2CF9AE}" pid="9" name="ContentTypeId">
    <vt:lpwstr>0x0101005EEA99B211DEF14DBA05640D9DB1F53A</vt:lpwstr>
  </property>
</Properties>
</file>