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1264B" w:rsidRDefault="00C655CE" w:rsidP="00422D93">
      <w:pPr>
        <w:autoSpaceDE w:val="0"/>
        <w:autoSpaceDN w:val="0"/>
        <w:adjustRightInd w:val="0"/>
        <w:spacing w:after="0" w:line="240" w:lineRule="auto"/>
        <w:jc w:val="center"/>
        <w:outlineLvl w:val="0"/>
        <w:rPr>
          <w:rFonts w:ascii="Tahoma" w:eastAsia="Times New Roman" w:hAnsi="Tahoma" w:cs="Tahoma"/>
          <w:bCs/>
          <w:color w:val="000000"/>
          <w:sz w:val="16"/>
          <w:szCs w:val="16"/>
          <w:lang w:eastAsia="cs-CZ"/>
        </w:rPr>
      </w:pPr>
      <w:r w:rsidRPr="0061264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18850BE1" w14:textId="77777777" w:rsidR="0006458E" w:rsidRPr="00731B37" w:rsidRDefault="0006458E" w:rsidP="0006458E">
      <w:pPr>
        <w:tabs>
          <w:tab w:val="left" w:pos="3795"/>
        </w:tabs>
        <w:suppressAutoHyphens/>
        <w:spacing w:after="0" w:line="240" w:lineRule="auto"/>
        <w:rPr>
          <w:rFonts w:ascii="Tahoma" w:eastAsia="Times New Roman" w:hAnsi="Tahoma" w:cs="Tahoma"/>
          <w:sz w:val="16"/>
          <w:szCs w:val="16"/>
          <w:lang w:eastAsia="ar-SA"/>
        </w:rPr>
      </w:pPr>
      <w:r w:rsidRPr="00731B37">
        <w:rPr>
          <w:rFonts w:ascii="Tahoma" w:eastAsia="Times New Roman" w:hAnsi="Tahoma" w:cs="Tahoma"/>
          <w:b/>
          <w:sz w:val="16"/>
          <w:szCs w:val="16"/>
          <w:lang w:eastAsia="ar-SA"/>
        </w:rPr>
        <w:t>PHOENIX lékárenský velkoobchod, s.r.o.</w:t>
      </w:r>
      <w:r w:rsidRPr="00731B37">
        <w:rPr>
          <w:rFonts w:ascii="Tahoma" w:eastAsia="Times New Roman" w:hAnsi="Tahoma" w:cs="Tahoma"/>
          <w:b/>
          <w:sz w:val="16"/>
          <w:szCs w:val="16"/>
          <w:lang w:eastAsia="ar-SA"/>
        </w:rPr>
        <w:tab/>
      </w:r>
    </w:p>
    <w:p w14:paraId="432580C4" w14:textId="2B88EC95" w:rsidR="0006458E" w:rsidRPr="00731B37" w:rsidRDefault="00103575" w:rsidP="0006458E">
      <w:pPr>
        <w:suppressAutoHyphens/>
        <w:spacing w:after="0" w:line="240" w:lineRule="auto"/>
        <w:rPr>
          <w:rFonts w:ascii="Tahoma" w:eastAsia="Times New Roman" w:hAnsi="Tahoma" w:cs="Tahoma"/>
          <w:sz w:val="16"/>
          <w:szCs w:val="16"/>
          <w:lang w:eastAsia="ar-SA"/>
        </w:rPr>
      </w:pPr>
      <w:r>
        <w:rPr>
          <w:rFonts w:ascii="Tahoma" w:eastAsia="Times New Roman" w:hAnsi="Tahoma" w:cs="Tahoma"/>
          <w:sz w:val="16"/>
          <w:szCs w:val="16"/>
          <w:lang w:eastAsia="ar-SA"/>
        </w:rPr>
        <w:t xml:space="preserve">společnost </w:t>
      </w:r>
      <w:r w:rsidR="0006458E" w:rsidRPr="00731B37">
        <w:rPr>
          <w:rFonts w:ascii="Tahoma" w:eastAsia="Times New Roman" w:hAnsi="Tahoma" w:cs="Tahoma"/>
          <w:sz w:val="16"/>
          <w:szCs w:val="16"/>
          <w:lang w:eastAsia="ar-SA"/>
        </w:rPr>
        <w:t>zapsána v obchodním rejstříku vedeném Městským soudem v Praze, oddíl C, vložka 275345</w:t>
      </w:r>
    </w:p>
    <w:p w14:paraId="10C9CABA" w14:textId="77777777" w:rsidR="0006458E" w:rsidRPr="00731B37" w:rsidRDefault="0006458E" w:rsidP="0006458E">
      <w:pPr>
        <w:suppressAutoHyphens/>
        <w:spacing w:after="0" w:line="240" w:lineRule="auto"/>
        <w:rPr>
          <w:rFonts w:ascii="Tahoma" w:eastAsia="Times New Roman" w:hAnsi="Tahoma" w:cs="Tahoma"/>
          <w:sz w:val="16"/>
          <w:szCs w:val="16"/>
          <w:lang w:eastAsia="ar-SA"/>
        </w:rPr>
      </w:pPr>
      <w:r w:rsidRPr="00731B37">
        <w:rPr>
          <w:rFonts w:ascii="Tahoma" w:eastAsia="Times New Roman" w:hAnsi="Tahoma" w:cs="Tahoma"/>
          <w:sz w:val="16"/>
          <w:szCs w:val="16"/>
          <w:lang w:eastAsia="ar-SA"/>
        </w:rPr>
        <w:t>se sídlem:</w:t>
      </w:r>
      <w:r w:rsidRPr="00731B37">
        <w:rPr>
          <w:rFonts w:ascii="Tahoma" w:eastAsia="Times New Roman" w:hAnsi="Tahoma" w:cs="Tahoma"/>
          <w:sz w:val="16"/>
          <w:szCs w:val="16"/>
          <w:lang w:eastAsia="ar-SA"/>
        </w:rPr>
        <w:tab/>
        <w:t>K pérovně 945/7, 102 00 Praha 10 – Hostivař</w:t>
      </w:r>
      <w:r w:rsidRPr="00731B37">
        <w:rPr>
          <w:rFonts w:ascii="Tahoma" w:eastAsia="Times New Roman" w:hAnsi="Tahoma" w:cs="Tahoma"/>
          <w:sz w:val="16"/>
          <w:szCs w:val="16"/>
          <w:lang w:eastAsia="ar-SA"/>
        </w:rPr>
        <w:tab/>
        <w:t xml:space="preserve"> </w:t>
      </w:r>
    </w:p>
    <w:p w14:paraId="28730E26" w14:textId="77777777" w:rsidR="0006458E" w:rsidRPr="00731B37" w:rsidRDefault="0006458E" w:rsidP="0006458E">
      <w:pPr>
        <w:suppressAutoHyphens/>
        <w:spacing w:after="0" w:line="240" w:lineRule="auto"/>
        <w:rPr>
          <w:rFonts w:ascii="Tahoma" w:eastAsia="Times New Roman" w:hAnsi="Tahoma" w:cs="Tahoma"/>
          <w:sz w:val="16"/>
          <w:szCs w:val="16"/>
          <w:lang w:eastAsia="ar-SA"/>
        </w:rPr>
      </w:pPr>
      <w:r w:rsidRPr="00731B37">
        <w:rPr>
          <w:rFonts w:ascii="Tahoma" w:eastAsia="Times New Roman" w:hAnsi="Tahoma" w:cs="Tahoma"/>
          <w:sz w:val="16"/>
          <w:szCs w:val="16"/>
          <w:lang w:eastAsia="ar-SA"/>
        </w:rPr>
        <w:t>IČ: 45359326</w:t>
      </w:r>
      <w:r w:rsidRPr="00731B37">
        <w:rPr>
          <w:rFonts w:ascii="Tahoma" w:eastAsia="Times New Roman" w:hAnsi="Tahoma" w:cs="Tahoma"/>
          <w:sz w:val="16"/>
          <w:szCs w:val="16"/>
          <w:lang w:eastAsia="ar-SA"/>
        </w:rPr>
        <w:tab/>
        <w:t>DIČ: CZ45359326</w:t>
      </w:r>
    </w:p>
    <w:p w14:paraId="60F293B5" w14:textId="11048CB6" w:rsidR="0006458E" w:rsidRPr="00731B37" w:rsidRDefault="0006458E" w:rsidP="0006458E">
      <w:pPr>
        <w:suppressAutoHyphens/>
        <w:spacing w:after="0" w:line="240" w:lineRule="auto"/>
        <w:rPr>
          <w:rFonts w:ascii="Tahoma" w:eastAsia="Times New Roman" w:hAnsi="Tahoma" w:cs="Tahoma"/>
          <w:sz w:val="16"/>
          <w:szCs w:val="16"/>
          <w:lang w:eastAsia="ar-SA"/>
        </w:rPr>
      </w:pPr>
      <w:r w:rsidRPr="00731B37">
        <w:rPr>
          <w:rFonts w:ascii="Tahoma" w:eastAsia="Times New Roman" w:hAnsi="Tahoma" w:cs="Tahoma"/>
          <w:sz w:val="16"/>
          <w:szCs w:val="16"/>
          <w:lang w:eastAsia="ar-SA"/>
        </w:rPr>
        <w:t xml:space="preserve">zastoupená:  </w:t>
      </w:r>
      <w:r w:rsidRPr="00731B37">
        <w:rPr>
          <w:rFonts w:ascii="Tahoma" w:eastAsia="Times New Roman" w:hAnsi="Tahoma" w:cs="Tahoma"/>
          <w:sz w:val="16"/>
          <w:szCs w:val="16"/>
          <w:lang w:eastAsia="ar-SA"/>
        </w:rPr>
        <w:tab/>
      </w:r>
      <w:proofErr w:type="spellStart"/>
      <w:r w:rsidR="00243AF1">
        <w:rPr>
          <w:rFonts w:ascii="Tahoma" w:eastAsia="Times New Roman" w:hAnsi="Tahoma" w:cs="Tahoma"/>
          <w:sz w:val="16"/>
          <w:szCs w:val="16"/>
          <w:lang w:eastAsia="ar-SA"/>
        </w:rPr>
        <w:t>xxxxxxxxxxxx</w:t>
      </w:r>
      <w:proofErr w:type="spellEnd"/>
      <w:r w:rsidRPr="00731B37">
        <w:rPr>
          <w:rFonts w:ascii="Tahoma" w:eastAsia="Times New Roman" w:hAnsi="Tahoma" w:cs="Tahoma"/>
          <w:sz w:val="16"/>
          <w:szCs w:val="16"/>
          <w:lang w:eastAsia="ar-SA"/>
        </w:rPr>
        <w:t xml:space="preserve"> </w:t>
      </w:r>
    </w:p>
    <w:p w14:paraId="551960AB" w14:textId="77777777" w:rsidR="0006458E" w:rsidRPr="00731B37" w:rsidRDefault="0006458E" w:rsidP="0006458E">
      <w:pPr>
        <w:suppressAutoHyphens/>
        <w:spacing w:after="0" w:line="240" w:lineRule="auto"/>
        <w:rPr>
          <w:rFonts w:ascii="Tahoma" w:eastAsia="Times New Roman" w:hAnsi="Tahoma" w:cs="Tahoma"/>
          <w:sz w:val="16"/>
          <w:szCs w:val="16"/>
          <w:lang w:eastAsia="ar-SA"/>
        </w:rPr>
      </w:pPr>
      <w:r w:rsidRPr="00731B37">
        <w:rPr>
          <w:rFonts w:ascii="Tahoma" w:eastAsia="Times New Roman" w:hAnsi="Tahoma" w:cs="Tahoma"/>
          <w:sz w:val="16"/>
          <w:szCs w:val="16"/>
          <w:lang w:eastAsia="ar-SA"/>
        </w:rPr>
        <w:t xml:space="preserve">bankovní spojení: </w:t>
      </w:r>
      <w:r w:rsidRPr="00731B37">
        <w:rPr>
          <w:rFonts w:ascii="Tahoma" w:eastAsia="Times New Roman" w:hAnsi="Tahoma" w:cs="Tahoma"/>
          <w:sz w:val="16"/>
          <w:szCs w:val="16"/>
          <w:lang w:eastAsia="ar-SA"/>
        </w:rPr>
        <w:tab/>
        <w:t>Česká spořitelna, a.s.</w:t>
      </w:r>
    </w:p>
    <w:p w14:paraId="499E58C3" w14:textId="77777777" w:rsidR="0006458E" w:rsidRPr="00731B37" w:rsidRDefault="0006458E" w:rsidP="0006458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731B37">
        <w:rPr>
          <w:rFonts w:ascii="Tahoma" w:eastAsia="Times New Roman" w:hAnsi="Tahoma" w:cs="Tahoma"/>
          <w:sz w:val="16"/>
          <w:szCs w:val="16"/>
          <w:lang w:eastAsia="ar-SA"/>
        </w:rPr>
        <w:t xml:space="preserve">číslo účtu: </w:t>
      </w:r>
      <w:r w:rsidRPr="00731B37">
        <w:rPr>
          <w:rFonts w:ascii="Tahoma" w:eastAsia="Times New Roman" w:hAnsi="Tahoma" w:cs="Tahoma"/>
          <w:sz w:val="16"/>
          <w:szCs w:val="16"/>
          <w:lang w:eastAsia="ar-SA"/>
        </w:rPr>
        <w:tab/>
        <w:t>1054262/0800</w:t>
      </w:r>
    </w:p>
    <w:p w14:paraId="2F246CC8" w14:textId="5AC0061B" w:rsidR="00C655CE" w:rsidRPr="000B5F26" w:rsidRDefault="0006458E" w:rsidP="0006458E">
      <w:pPr>
        <w:autoSpaceDE w:val="0"/>
        <w:autoSpaceDN w:val="0"/>
        <w:adjustRightInd w:val="0"/>
        <w:rPr>
          <w:rFonts w:ascii="Tahoma" w:hAnsi="Tahoma" w:cs="Tahoma"/>
          <w:sz w:val="16"/>
          <w:szCs w:val="16"/>
        </w:rPr>
      </w:pPr>
      <w:r w:rsidRPr="00731B37">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652E684C" w:rsidR="00C655CE" w:rsidRPr="004D6012" w:rsidRDefault="00C655CE" w:rsidP="00C655CE">
      <w:pPr>
        <w:spacing w:after="0" w:line="240" w:lineRule="auto"/>
        <w:jc w:val="both"/>
        <w:rPr>
          <w:rFonts w:ascii="Tahoma" w:hAnsi="Tahoma" w:cs="Tahoma"/>
          <w:sz w:val="16"/>
          <w:szCs w:val="16"/>
        </w:rPr>
      </w:pPr>
      <w:r w:rsidRPr="004D6012">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4D6012">
          <w:rPr>
            <w:rFonts w:ascii="Tahoma" w:hAnsi="Tahoma" w:cs="Tahoma"/>
            <w:sz w:val="16"/>
            <w:szCs w:val="16"/>
          </w:rPr>
          <w:t>2 a</w:t>
        </w:r>
      </w:smartTag>
      <w:r w:rsidRPr="004D6012">
        <w:rPr>
          <w:rFonts w:ascii="Tahoma" w:hAnsi="Tahoma" w:cs="Tahoma"/>
          <w:sz w:val="16"/>
          <w:szCs w:val="16"/>
        </w:rPr>
        <w:t xml:space="preserve"> § </w:t>
      </w:r>
      <w:smartTag w:uri="urn:schemas-microsoft-com:office:smarttags" w:element="metricconverter">
        <w:smartTagPr>
          <w:attr w:name="ProductID" w:val="2079 a"/>
        </w:smartTagPr>
        <w:r w:rsidRPr="004D6012">
          <w:rPr>
            <w:rFonts w:ascii="Tahoma" w:hAnsi="Tahoma" w:cs="Tahoma"/>
            <w:sz w:val="16"/>
            <w:szCs w:val="16"/>
          </w:rPr>
          <w:t>2079 a</w:t>
        </w:r>
      </w:smartTag>
      <w:r w:rsidRPr="004D6012">
        <w:rPr>
          <w:rFonts w:ascii="Tahoma" w:hAnsi="Tahoma" w:cs="Tahoma"/>
          <w:sz w:val="16"/>
          <w:szCs w:val="16"/>
        </w:rPr>
        <w:t xml:space="preserve"> násl. zákona č. 89/2012 Sb., občanského zákoníku v platném znění a na základě vyhodnocení výsledku </w:t>
      </w:r>
      <w:r w:rsidRPr="004D6012">
        <w:rPr>
          <w:rFonts w:ascii="Tahoma" w:hAnsi="Tahoma" w:cs="Tahoma"/>
          <w:b/>
          <w:sz w:val="16"/>
          <w:szCs w:val="16"/>
        </w:rPr>
        <w:t xml:space="preserve">nadlimitní veřejné zakázky s názvem </w:t>
      </w:r>
      <w:r w:rsidR="007F3222" w:rsidRPr="004D6012">
        <w:rPr>
          <w:rFonts w:ascii="Tahoma" w:hAnsi="Tahoma" w:cs="Tahoma"/>
          <w:b/>
          <w:sz w:val="16"/>
          <w:szCs w:val="16"/>
        </w:rPr>
        <w:t>„</w:t>
      </w:r>
      <w:r w:rsidR="00733B74" w:rsidRPr="00422D93">
        <w:rPr>
          <w:rFonts w:ascii="Tahoma" w:hAnsi="Tahoma" w:cs="Tahoma"/>
          <w:b/>
          <w:sz w:val="16"/>
          <w:szCs w:val="16"/>
        </w:rPr>
        <w:t xml:space="preserve">Dodávky </w:t>
      </w:r>
      <w:r w:rsidR="00FD41B9" w:rsidRPr="00422D93">
        <w:rPr>
          <w:rFonts w:ascii="Tahoma" w:hAnsi="Tahoma" w:cs="Tahoma"/>
          <w:b/>
          <w:sz w:val="16"/>
          <w:szCs w:val="16"/>
        </w:rPr>
        <w:t xml:space="preserve">léčivého přípravku </w:t>
      </w:r>
      <w:proofErr w:type="spellStart"/>
      <w:r w:rsidR="00FD41B9" w:rsidRPr="00422D93">
        <w:rPr>
          <w:rFonts w:ascii="Tahoma" w:hAnsi="Tahoma" w:cs="Tahoma"/>
          <w:b/>
          <w:sz w:val="16"/>
          <w:szCs w:val="16"/>
        </w:rPr>
        <w:t>Avonex</w:t>
      </w:r>
      <w:proofErr w:type="spellEnd"/>
      <w:r w:rsidRPr="004D6012">
        <w:rPr>
          <w:rFonts w:ascii="Tahoma" w:hAnsi="Tahoma" w:cs="Tahoma"/>
          <w:b/>
          <w:sz w:val="16"/>
          <w:szCs w:val="16"/>
        </w:rPr>
        <w:t>“,</w:t>
      </w:r>
      <w:r w:rsidRPr="004D6012">
        <w:rPr>
          <w:rFonts w:ascii="Tahoma" w:hAnsi="Tahoma" w:cs="Tahoma"/>
          <w:sz w:val="16"/>
          <w:szCs w:val="16"/>
        </w:rPr>
        <w:t xml:space="preserve"> vyhlášené otevřeným řízením dle záko</w:t>
      </w:r>
      <w:r w:rsidR="00F87B73" w:rsidRPr="0017686F">
        <w:rPr>
          <w:rFonts w:ascii="Tahoma" w:hAnsi="Tahoma" w:cs="Tahoma"/>
          <w:sz w:val="16"/>
          <w:szCs w:val="16"/>
        </w:rPr>
        <w:t>n</w:t>
      </w:r>
      <w:r w:rsidRPr="0017686F">
        <w:rPr>
          <w:rFonts w:ascii="Tahoma" w:hAnsi="Tahoma" w:cs="Tahoma"/>
          <w:sz w:val="16"/>
          <w:szCs w:val="16"/>
        </w:rPr>
        <w:t xml:space="preserve">a č. 134/2016 Sb., o zadávání veřejných zakázek (dále jen „z. č. 134/2016 Sb.“) a zveřejněné ve Věstníku veřejných zakázek. pod ev. č. </w:t>
      </w:r>
      <w:r w:rsidR="00D8210D" w:rsidRPr="0017686F">
        <w:rPr>
          <w:rFonts w:ascii="Tahoma" w:hAnsi="Tahoma" w:cs="Tahoma"/>
          <w:sz w:val="16"/>
          <w:szCs w:val="16"/>
        </w:rPr>
        <w:t>Z2020-011507</w:t>
      </w:r>
      <w:r w:rsidRPr="0017686F">
        <w:rPr>
          <w:rFonts w:ascii="Tahoma" w:hAnsi="Tahoma" w:cs="Tahoma"/>
          <w:sz w:val="16"/>
          <w:szCs w:val="16"/>
        </w:rPr>
        <w:t xml:space="preserve"> ze dne </w:t>
      </w:r>
      <w:r w:rsidR="00D8210D" w:rsidRPr="0017686F">
        <w:rPr>
          <w:rFonts w:ascii="Tahoma" w:hAnsi="Tahoma" w:cs="Tahoma"/>
          <w:sz w:val="16"/>
          <w:szCs w:val="16"/>
        </w:rPr>
        <w:t xml:space="preserve">06.04.2020 </w:t>
      </w:r>
      <w:r w:rsidRPr="0017686F">
        <w:rPr>
          <w:rFonts w:ascii="Tahoma" w:hAnsi="Tahoma" w:cs="Tahoma"/>
          <w:sz w:val="16"/>
          <w:szCs w:val="16"/>
        </w:rPr>
        <w:t xml:space="preserve">a v Úředním věstníku Evropské unie pod č. oznámení o zahájení zadávacího řízení </w:t>
      </w:r>
      <w:r w:rsidR="00CF79FE" w:rsidRPr="00356E1B">
        <w:rPr>
          <w:rFonts w:ascii="Tahoma" w:hAnsi="Tahoma" w:cs="Tahoma"/>
          <w:sz w:val="16"/>
          <w:szCs w:val="16"/>
        </w:rPr>
        <w:t>2020/S 069-1636</w:t>
      </w:r>
      <w:r w:rsidR="00B553B4" w:rsidRPr="00356E1B">
        <w:rPr>
          <w:rFonts w:ascii="Tahoma" w:hAnsi="Tahoma" w:cs="Tahoma"/>
          <w:sz w:val="16"/>
          <w:szCs w:val="16"/>
        </w:rPr>
        <w:t>12</w:t>
      </w:r>
      <w:r w:rsidR="00CF79FE" w:rsidRPr="004D6012">
        <w:rPr>
          <w:rFonts w:ascii="Tahoma" w:hAnsi="Tahoma" w:cs="Tahoma"/>
          <w:sz w:val="16"/>
          <w:szCs w:val="16"/>
        </w:rPr>
        <w:t xml:space="preserve"> </w:t>
      </w:r>
      <w:r w:rsidRPr="004D6012">
        <w:rPr>
          <w:rFonts w:ascii="Tahoma" w:hAnsi="Tahoma" w:cs="Tahoma"/>
          <w:sz w:val="16"/>
          <w:szCs w:val="16"/>
        </w:rPr>
        <w:t>ze dne</w:t>
      </w:r>
      <w:r w:rsidR="00CF79FE" w:rsidRPr="004D6012">
        <w:rPr>
          <w:rFonts w:ascii="Tahoma" w:hAnsi="Tahoma" w:cs="Tahoma"/>
          <w:sz w:val="16"/>
          <w:szCs w:val="16"/>
        </w:rPr>
        <w:t xml:space="preserve"> 3.4.2020 </w:t>
      </w:r>
      <w:r w:rsidRPr="004D6012">
        <w:rPr>
          <w:rFonts w:ascii="Tahoma" w:hAnsi="Tahoma" w:cs="Tahoma"/>
          <w:sz w:val="16"/>
          <w:szCs w:val="16"/>
        </w:rPr>
        <w:t xml:space="preserve">(dále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4934AA1D" w:rsidR="00C655CE" w:rsidRPr="00EE2B4E"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103575">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6D207E">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47651F2E"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r w:rsidR="00CF79FE">
        <w:rPr>
          <w:rFonts w:ascii="Tahoma" w:hAnsi="Tahoma" w:cs="Tahoma"/>
          <w:b/>
          <w:sz w:val="16"/>
          <w:szCs w:val="16"/>
        </w:rPr>
        <w:t>nemocnicecechy@phoenix.cz</w:t>
      </w:r>
      <w:r w:rsidRPr="000B5F26">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25897F2F" w14:textId="77777777" w:rsidR="000B5F26" w:rsidRDefault="000B5F26" w:rsidP="00202A1F">
      <w:pPr>
        <w:autoSpaceDE w:val="0"/>
        <w:autoSpaceDN w:val="0"/>
        <w:adjustRightInd w:val="0"/>
        <w:spacing w:after="0" w:line="240" w:lineRule="auto"/>
        <w:jc w:val="both"/>
        <w:rPr>
          <w:rFonts w:ascii="Tahoma" w:hAnsi="Tahoma" w:cs="Tahoma"/>
          <w:sz w:val="16"/>
          <w:szCs w:val="16"/>
        </w:rPr>
      </w:pPr>
    </w:p>
    <w:p w14:paraId="06508855" w14:textId="77777777" w:rsidR="00D8210D" w:rsidRPr="000B5F26" w:rsidRDefault="00D8210D"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0B5F26"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1"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0289AF84"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22E04">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5"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 xml:space="preserve">měsíců a které nemá závady v jakosti ani porušený obal a jehož distribuce nebyla zakázána </w:t>
      </w:r>
      <w:r w:rsidRPr="00DF26E5">
        <w:rPr>
          <w:rFonts w:ascii="Tahoma" w:hAnsi="Tahoma" w:cs="Tahoma"/>
          <w:sz w:val="16"/>
          <w:szCs w:val="16"/>
        </w:rPr>
        <w:lastRenderedPageBreak/>
        <w:t>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5063B86C"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r w:rsidR="00551769" w:rsidRPr="00DF26E5">
        <w:rPr>
          <w:rFonts w:ascii="Tahoma" w:hAnsi="Tahoma" w:cs="Tahoma"/>
          <w:sz w:val="16"/>
          <w:szCs w:val="16"/>
        </w:rPr>
        <w:t>10</w:t>
      </w:r>
      <w:r w:rsidR="00823118">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 xml:space="preserve">000,- </w:t>
      </w:r>
      <w:r w:rsidRPr="00DF26E5">
        <w:rPr>
          <w:rFonts w:ascii="Tahoma" w:hAnsi="Tahoma" w:cs="Tahoma"/>
          <w:sz w:val="16"/>
          <w:szCs w:val="16"/>
        </w:rPr>
        <w:t>Kč.</w:t>
      </w:r>
    </w:p>
    <w:p w14:paraId="3CE1AD74" w14:textId="4B6E2C8B"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823118">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77777777"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26EF512B" w:rsidR="0081013B" w:rsidRPr="000B5F26" w:rsidRDefault="00C655CE" w:rsidP="00DF26E5">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 xml:space="preserve">Prodávající bere na vědomí, že kupující je povinen dle ustanovení § 219 odst. 1 písm. a) z. </w:t>
      </w:r>
      <w:r w:rsidR="00B553B4">
        <w:rPr>
          <w:rFonts w:ascii="Tahoma" w:hAnsi="Tahoma" w:cs="Tahoma"/>
          <w:sz w:val="16"/>
          <w:szCs w:val="16"/>
        </w:rPr>
        <w:t>č. 134/2016 Sb. a dle zákona č. </w:t>
      </w:r>
      <w:r w:rsidRPr="000B5F26">
        <w:rPr>
          <w:rFonts w:ascii="Tahoma" w:hAnsi="Tahoma" w:cs="Tahoma"/>
          <w:sz w:val="16"/>
          <w:szCs w:val="16"/>
        </w:rPr>
        <w:t>340/2015 Sb., o registru smluv, uveřejnit tuto smlouvu včetně případných dodatků a objednávek vystavených na základě této smlouvy stanoveným způsobem</w:t>
      </w:r>
      <w:bookmarkStart w:id="0" w:name="_Hlk524693074"/>
      <w:r w:rsidR="00394D67">
        <w:rPr>
          <w:rFonts w:ascii="Tahoma" w:hAnsi="Tahoma" w:cs="Tahoma"/>
          <w:sz w:val="16"/>
          <w:szCs w:val="16"/>
        </w:rPr>
        <w:t>.</w:t>
      </w:r>
    </w:p>
    <w:bookmarkEnd w:id="0"/>
    <w:p w14:paraId="593A1CD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046EF6B3" w14:textId="77777777" w:rsidR="00103575" w:rsidRPr="000B5F26" w:rsidRDefault="00103575" w:rsidP="00103575">
      <w:pPr>
        <w:autoSpaceDE w:val="0"/>
        <w:autoSpaceDN w:val="0"/>
        <w:adjustRightInd w:val="0"/>
        <w:spacing w:after="0" w:line="240" w:lineRule="auto"/>
        <w:ind w:left="360"/>
        <w:jc w:val="both"/>
        <w:rPr>
          <w:rFonts w:ascii="Tahoma" w:hAnsi="Tahoma" w:cs="Tahoma"/>
          <w:sz w:val="16"/>
          <w:szCs w:val="16"/>
        </w:rPr>
      </w:pP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08A53314"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V </w:t>
      </w:r>
      <w:r w:rsidR="000E4120">
        <w:rPr>
          <w:rFonts w:ascii="Tahoma" w:hAnsi="Tahoma" w:cs="Tahoma"/>
          <w:sz w:val="16"/>
          <w:szCs w:val="16"/>
        </w:rPr>
        <w:t>Praze</w:t>
      </w:r>
      <w:r w:rsidRPr="000B5F26">
        <w:rPr>
          <w:rFonts w:ascii="Tahoma" w:hAnsi="Tahoma" w:cs="Tahoma"/>
          <w:sz w:val="16"/>
          <w:szCs w:val="16"/>
        </w:rPr>
        <w:t xml:space="preserve"> dne: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5918810" w14:textId="3AC69874" w:rsidR="00DD2863" w:rsidRPr="000B5F26" w:rsidRDefault="00C655CE"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proofErr w:type="spellStart"/>
      <w:r w:rsidR="00243AF1">
        <w:rPr>
          <w:rFonts w:ascii="Tahoma" w:eastAsia="Times New Roman" w:hAnsi="Tahoma" w:cs="Tahoma"/>
          <w:sz w:val="16"/>
          <w:szCs w:val="16"/>
          <w:lang w:eastAsia="ar-SA"/>
        </w:rPr>
        <w:t>xxxxxxxxxxxx</w:t>
      </w:r>
      <w:proofErr w:type="spellEnd"/>
      <w:r w:rsidR="00F0778D">
        <w:rPr>
          <w:rFonts w:ascii="Tahoma" w:hAnsi="Tahoma" w:cs="Tahoma"/>
          <w:sz w:val="16"/>
          <w:szCs w:val="16"/>
        </w:rPr>
        <w:tab/>
      </w:r>
      <w:r w:rsidR="00F0778D">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00DD2863" w:rsidRPr="000B5F26">
        <w:rPr>
          <w:rFonts w:ascii="Tahoma" w:hAnsi="Tahoma" w:cs="Tahoma"/>
          <w:sz w:val="16"/>
          <w:szCs w:val="16"/>
        </w:rPr>
        <w:tab/>
      </w:r>
      <w:r w:rsidR="000E4120">
        <w:rPr>
          <w:rFonts w:ascii="Tahoma" w:hAnsi="Tahoma" w:cs="Tahoma"/>
          <w:sz w:val="16"/>
          <w:szCs w:val="16"/>
        </w:rPr>
        <w:tab/>
      </w:r>
      <w:r w:rsidR="00CC6C9C" w:rsidRPr="000B5F26">
        <w:rPr>
          <w:rFonts w:ascii="Tahoma" w:hAnsi="Tahoma" w:cs="Tahoma"/>
          <w:sz w:val="16"/>
          <w:szCs w:val="16"/>
        </w:rPr>
        <w:t xml:space="preserve">prof. </w:t>
      </w:r>
      <w:r w:rsidR="00DD2863" w:rsidRPr="000B5F26">
        <w:rPr>
          <w:rFonts w:ascii="Tahoma" w:hAnsi="Tahoma" w:cs="Tahoma"/>
          <w:sz w:val="16"/>
          <w:szCs w:val="16"/>
        </w:rPr>
        <w:t xml:space="preserve">MUDr. </w:t>
      </w:r>
      <w:r w:rsidR="00CC6C9C" w:rsidRPr="000B5F26">
        <w:rPr>
          <w:rFonts w:ascii="Tahoma" w:hAnsi="Tahoma" w:cs="Tahoma"/>
          <w:sz w:val="16"/>
          <w:szCs w:val="16"/>
        </w:rPr>
        <w:t>David Feltl, Ph.D</w:t>
      </w:r>
      <w:r w:rsidR="00DD2863" w:rsidRPr="000B5F26">
        <w:rPr>
          <w:rFonts w:ascii="Tahoma" w:hAnsi="Tahoma" w:cs="Tahoma"/>
          <w:sz w:val="16"/>
          <w:szCs w:val="16"/>
        </w:rPr>
        <w:t xml:space="preserve">., MBA  </w:t>
      </w:r>
    </w:p>
    <w:p w14:paraId="31D5C736" w14:textId="6B8CEF4D" w:rsidR="00C655CE" w:rsidRPr="000B5F26" w:rsidRDefault="00B553B4"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CC6C9C" w:rsidRPr="000B5F26">
        <w:rPr>
          <w:rFonts w:ascii="Tahoma" w:hAnsi="Tahoma" w:cs="Tahoma"/>
          <w:sz w:val="16"/>
          <w:szCs w:val="16"/>
        </w:rPr>
        <w:t>ředitel</w:t>
      </w:r>
    </w:p>
    <w:p w14:paraId="29EA3BC9" w14:textId="31525331" w:rsidR="00B16C78" w:rsidRDefault="00B16C78" w:rsidP="00C655CE">
      <w:pPr>
        <w:rPr>
          <w:rFonts w:ascii="Tahoma" w:hAnsi="Tahoma" w:cs="Tahoma"/>
          <w:sz w:val="16"/>
          <w:szCs w:val="16"/>
        </w:rPr>
      </w:pPr>
    </w:p>
    <w:p w14:paraId="3E4E527F" w14:textId="77465523" w:rsidR="000E4120" w:rsidRDefault="000E4120" w:rsidP="00C655CE">
      <w:pPr>
        <w:rPr>
          <w:rFonts w:ascii="Tahoma" w:hAnsi="Tahoma" w:cs="Tahoma"/>
          <w:sz w:val="16"/>
          <w:szCs w:val="16"/>
        </w:rPr>
      </w:pPr>
    </w:p>
    <w:p w14:paraId="603D1281" w14:textId="7CA35EE4" w:rsidR="000E4120" w:rsidRDefault="000E4120" w:rsidP="000E4120">
      <w:pPr>
        <w:spacing w:after="0" w:line="240" w:lineRule="auto"/>
        <w:rPr>
          <w:rFonts w:ascii="Tahoma" w:hAnsi="Tahoma" w:cs="Tahoma"/>
          <w:sz w:val="16"/>
          <w:szCs w:val="16"/>
        </w:rPr>
      </w:pPr>
    </w:p>
    <w:p w14:paraId="70E9F80C" w14:textId="5ADDE6E2" w:rsidR="007C5FC9" w:rsidRDefault="007C5FC9" w:rsidP="000E4120">
      <w:pPr>
        <w:spacing w:after="0" w:line="240" w:lineRule="auto"/>
        <w:rPr>
          <w:rFonts w:ascii="Tahoma" w:hAnsi="Tahoma" w:cs="Tahoma"/>
          <w:sz w:val="16"/>
          <w:szCs w:val="16"/>
        </w:rPr>
      </w:pPr>
      <w:bookmarkStart w:id="1" w:name="_GoBack"/>
      <w:bookmarkEnd w:id="1"/>
    </w:p>
    <w:p w14:paraId="0DEF5621" w14:textId="31C7E44A" w:rsidR="007C5FC9" w:rsidRDefault="007C5FC9" w:rsidP="000E4120">
      <w:pPr>
        <w:spacing w:after="0" w:line="240" w:lineRule="auto"/>
        <w:rPr>
          <w:rFonts w:ascii="Tahoma" w:hAnsi="Tahoma" w:cs="Tahoma"/>
          <w:sz w:val="16"/>
          <w:szCs w:val="16"/>
        </w:rPr>
      </w:pPr>
    </w:p>
    <w:p w14:paraId="5C8DBC7A" w14:textId="44848D1B" w:rsidR="007C5FC9" w:rsidRDefault="007C5FC9" w:rsidP="000E4120">
      <w:pPr>
        <w:spacing w:after="0" w:line="240" w:lineRule="auto"/>
        <w:rPr>
          <w:rFonts w:ascii="Tahoma" w:hAnsi="Tahoma" w:cs="Tahoma"/>
          <w:sz w:val="16"/>
          <w:szCs w:val="16"/>
        </w:rPr>
      </w:pPr>
    </w:p>
    <w:p w14:paraId="2C261728" w14:textId="4C5324E9" w:rsidR="007C5FC9" w:rsidRDefault="007C5FC9" w:rsidP="000E4120">
      <w:pPr>
        <w:spacing w:after="0" w:line="240" w:lineRule="auto"/>
        <w:rPr>
          <w:rFonts w:ascii="Tahoma" w:hAnsi="Tahoma" w:cs="Tahoma"/>
          <w:sz w:val="16"/>
          <w:szCs w:val="16"/>
        </w:rPr>
      </w:pPr>
    </w:p>
    <w:p w14:paraId="2CBBCE25" w14:textId="3BE03091" w:rsidR="007C5FC9" w:rsidRDefault="007C5FC9" w:rsidP="000E4120">
      <w:pPr>
        <w:spacing w:after="0" w:line="240" w:lineRule="auto"/>
        <w:rPr>
          <w:rFonts w:ascii="Tahoma" w:hAnsi="Tahoma" w:cs="Tahoma"/>
          <w:sz w:val="16"/>
          <w:szCs w:val="16"/>
        </w:rPr>
      </w:pPr>
    </w:p>
    <w:p w14:paraId="22B3FD53" w14:textId="6E0A1A0A" w:rsidR="007C5FC9" w:rsidRDefault="007C5FC9" w:rsidP="000E4120">
      <w:pPr>
        <w:spacing w:after="0" w:line="240" w:lineRule="auto"/>
        <w:rPr>
          <w:rFonts w:ascii="Tahoma" w:hAnsi="Tahoma" w:cs="Tahoma"/>
          <w:sz w:val="16"/>
          <w:szCs w:val="16"/>
        </w:rPr>
      </w:pPr>
    </w:p>
    <w:p w14:paraId="1495D704" w14:textId="53665EC9" w:rsidR="007C5FC9" w:rsidRDefault="007C5FC9" w:rsidP="000E4120">
      <w:pPr>
        <w:spacing w:after="0" w:line="240" w:lineRule="auto"/>
        <w:rPr>
          <w:rFonts w:ascii="Tahoma" w:hAnsi="Tahoma" w:cs="Tahoma"/>
          <w:sz w:val="16"/>
          <w:szCs w:val="16"/>
        </w:rPr>
      </w:pPr>
    </w:p>
    <w:p w14:paraId="194F36EA" w14:textId="0EFA6615" w:rsidR="007C5FC9" w:rsidRDefault="007C5FC9" w:rsidP="000E4120">
      <w:pPr>
        <w:spacing w:after="0" w:line="240" w:lineRule="auto"/>
        <w:rPr>
          <w:rFonts w:ascii="Tahoma" w:hAnsi="Tahoma" w:cs="Tahoma"/>
          <w:sz w:val="16"/>
          <w:szCs w:val="16"/>
        </w:rPr>
      </w:pPr>
    </w:p>
    <w:p w14:paraId="372AFA83" w14:textId="06D946FD" w:rsidR="007C5FC9" w:rsidRDefault="007C5FC9" w:rsidP="000E4120">
      <w:pPr>
        <w:spacing w:after="0" w:line="240" w:lineRule="auto"/>
        <w:rPr>
          <w:rFonts w:ascii="Tahoma" w:hAnsi="Tahoma" w:cs="Tahoma"/>
          <w:sz w:val="16"/>
          <w:szCs w:val="16"/>
        </w:rPr>
      </w:pPr>
    </w:p>
    <w:p w14:paraId="588511C1" w14:textId="0406FBA6" w:rsidR="007C5FC9" w:rsidRDefault="007C5FC9" w:rsidP="000E4120">
      <w:pPr>
        <w:spacing w:after="0" w:line="240" w:lineRule="auto"/>
        <w:rPr>
          <w:rFonts w:ascii="Tahoma" w:hAnsi="Tahoma" w:cs="Tahoma"/>
          <w:sz w:val="16"/>
          <w:szCs w:val="16"/>
        </w:rPr>
      </w:pPr>
    </w:p>
    <w:p w14:paraId="1AF0BD50" w14:textId="209B6DC5" w:rsidR="007C5FC9" w:rsidRDefault="007C5FC9" w:rsidP="000E4120">
      <w:pPr>
        <w:spacing w:after="0" w:line="240" w:lineRule="auto"/>
        <w:rPr>
          <w:rFonts w:ascii="Tahoma" w:hAnsi="Tahoma" w:cs="Tahoma"/>
          <w:sz w:val="16"/>
          <w:szCs w:val="16"/>
        </w:rPr>
      </w:pPr>
    </w:p>
    <w:p w14:paraId="05CEF1E4" w14:textId="6F226AB4" w:rsidR="007C5FC9" w:rsidRDefault="007C5FC9" w:rsidP="000E4120">
      <w:pPr>
        <w:spacing w:after="0" w:line="240" w:lineRule="auto"/>
        <w:rPr>
          <w:rFonts w:ascii="Tahoma" w:hAnsi="Tahoma" w:cs="Tahoma"/>
          <w:sz w:val="16"/>
          <w:szCs w:val="16"/>
        </w:rPr>
      </w:pPr>
    </w:p>
    <w:p w14:paraId="1664620C" w14:textId="24121425" w:rsidR="007C5FC9" w:rsidRDefault="007C5FC9" w:rsidP="000E4120">
      <w:pPr>
        <w:spacing w:after="0" w:line="240" w:lineRule="auto"/>
        <w:rPr>
          <w:rFonts w:ascii="Tahoma" w:hAnsi="Tahoma" w:cs="Tahoma"/>
          <w:sz w:val="16"/>
          <w:szCs w:val="16"/>
        </w:rPr>
      </w:pPr>
    </w:p>
    <w:p w14:paraId="649B823E" w14:textId="3CE06435" w:rsidR="007C5FC9" w:rsidRDefault="007C5FC9" w:rsidP="000E4120">
      <w:pPr>
        <w:spacing w:after="0" w:line="240" w:lineRule="auto"/>
        <w:rPr>
          <w:rFonts w:ascii="Tahoma" w:hAnsi="Tahoma" w:cs="Tahoma"/>
          <w:sz w:val="16"/>
          <w:szCs w:val="16"/>
        </w:rPr>
      </w:pPr>
    </w:p>
    <w:p w14:paraId="07711D60" w14:textId="1980905E" w:rsidR="007C5FC9" w:rsidRDefault="007C5FC9" w:rsidP="000E4120">
      <w:pPr>
        <w:spacing w:after="0" w:line="240" w:lineRule="auto"/>
        <w:rPr>
          <w:rFonts w:ascii="Tahoma" w:hAnsi="Tahoma" w:cs="Tahoma"/>
          <w:sz w:val="16"/>
          <w:szCs w:val="16"/>
        </w:rPr>
      </w:pPr>
    </w:p>
    <w:p w14:paraId="742F2B3B" w14:textId="509A6268" w:rsidR="007C5FC9" w:rsidRDefault="007C5FC9" w:rsidP="000E4120">
      <w:pPr>
        <w:spacing w:after="0" w:line="240" w:lineRule="auto"/>
        <w:rPr>
          <w:rFonts w:ascii="Tahoma" w:hAnsi="Tahoma" w:cs="Tahoma"/>
          <w:sz w:val="16"/>
          <w:szCs w:val="16"/>
        </w:rPr>
      </w:pPr>
    </w:p>
    <w:p w14:paraId="7603B7ED" w14:textId="77777777" w:rsidR="007C5FC9" w:rsidRPr="000B5F26" w:rsidRDefault="007C5FC9" w:rsidP="000E4120">
      <w:pPr>
        <w:spacing w:after="0" w:line="240" w:lineRule="auto"/>
        <w:rPr>
          <w:rFonts w:ascii="Tahoma" w:hAnsi="Tahoma" w:cs="Tahoma"/>
          <w:sz w:val="16"/>
          <w:szCs w:val="16"/>
        </w:rPr>
      </w:pPr>
    </w:p>
    <w:p w14:paraId="26D16472" w14:textId="77777777" w:rsidR="007C5FC9" w:rsidRDefault="007C5FC9" w:rsidP="000E4120">
      <w:pPr>
        <w:spacing w:after="0" w:line="240" w:lineRule="auto"/>
        <w:rPr>
          <w:rFonts w:ascii="Tahoma" w:hAnsi="Tahoma" w:cs="Tahoma"/>
          <w:sz w:val="16"/>
          <w:szCs w:val="16"/>
        </w:rPr>
        <w:sectPr w:rsidR="007C5FC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14:paraId="31E9A472" w14:textId="170B47E2" w:rsidR="00B16C78" w:rsidRPr="000B5F26" w:rsidRDefault="00B16C78" w:rsidP="000E4120">
      <w:pPr>
        <w:spacing w:after="0" w:line="240" w:lineRule="auto"/>
        <w:rPr>
          <w:rFonts w:ascii="Tahoma" w:hAnsi="Tahoma" w:cs="Tahoma"/>
          <w:sz w:val="16"/>
          <w:szCs w:val="16"/>
        </w:rPr>
      </w:pPr>
    </w:p>
    <w:tbl>
      <w:tblPr>
        <w:tblW w:w="0" w:type="auto"/>
        <w:tblInd w:w="70" w:type="dxa"/>
        <w:tblCellMar>
          <w:left w:w="70" w:type="dxa"/>
          <w:right w:w="70" w:type="dxa"/>
        </w:tblCellMar>
        <w:tblLook w:val="04A0" w:firstRow="1" w:lastRow="0" w:firstColumn="1" w:lastColumn="0" w:noHBand="0" w:noVBand="1"/>
      </w:tblPr>
      <w:tblGrid>
        <w:gridCol w:w="2712"/>
        <w:gridCol w:w="1643"/>
        <w:gridCol w:w="1642"/>
        <w:gridCol w:w="1642"/>
        <w:gridCol w:w="1041"/>
        <w:gridCol w:w="3143"/>
        <w:gridCol w:w="1349"/>
        <w:gridCol w:w="900"/>
      </w:tblGrid>
      <w:tr w:rsidR="00243AF1" w:rsidRPr="007C5FC9" w14:paraId="0AE4B728" w14:textId="77777777" w:rsidTr="007C5FC9">
        <w:trPr>
          <w:trHeight w:val="300"/>
        </w:trPr>
        <w:tc>
          <w:tcPr>
            <w:tcW w:w="0" w:type="auto"/>
            <w:tcBorders>
              <w:top w:val="nil"/>
              <w:left w:val="nil"/>
              <w:bottom w:val="nil"/>
              <w:right w:val="nil"/>
            </w:tcBorders>
            <w:shd w:val="clear" w:color="auto" w:fill="auto"/>
            <w:noWrap/>
            <w:vAlign w:val="bottom"/>
            <w:hideMark/>
          </w:tcPr>
          <w:p w14:paraId="045A2981" w14:textId="77777777" w:rsidR="007C5FC9" w:rsidRPr="007C5FC9" w:rsidRDefault="007C5FC9" w:rsidP="007C5FC9">
            <w:pPr>
              <w:spacing w:after="0" w:line="240" w:lineRule="auto"/>
              <w:rPr>
                <w:rFonts w:ascii="Times New Roman" w:eastAsia="Times New Roman" w:hAnsi="Times New Roman" w:cs="Times New Roman"/>
                <w:sz w:val="24"/>
                <w:szCs w:val="24"/>
                <w:lang w:eastAsia="cs-CZ"/>
              </w:rPr>
            </w:pPr>
          </w:p>
        </w:tc>
        <w:tc>
          <w:tcPr>
            <w:tcW w:w="0" w:type="auto"/>
            <w:tcBorders>
              <w:top w:val="nil"/>
              <w:left w:val="nil"/>
              <w:bottom w:val="nil"/>
              <w:right w:val="nil"/>
            </w:tcBorders>
            <w:shd w:val="clear" w:color="auto" w:fill="auto"/>
            <w:noWrap/>
            <w:vAlign w:val="bottom"/>
            <w:hideMark/>
          </w:tcPr>
          <w:p w14:paraId="11F6E10E"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724897D"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FBB4B1D"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F3D750C"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3C01B35"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BE0B5E4"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6AECC69"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r>
      <w:tr w:rsidR="007C5FC9" w:rsidRPr="007C5FC9" w14:paraId="052B35CF" w14:textId="77777777" w:rsidTr="007C5FC9">
        <w:trPr>
          <w:trHeight w:val="300"/>
        </w:trPr>
        <w:tc>
          <w:tcPr>
            <w:tcW w:w="0" w:type="auto"/>
            <w:tcBorders>
              <w:top w:val="nil"/>
              <w:left w:val="nil"/>
              <w:bottom w:val="nil"/>
              <w:right w:val="nil"/>
            </w:tcBorders>
            <w:shd w:val="clear" w:color="auto" w:fill="auto"/>
            <w:noWrap/>
            <w:vAlign w:val="bottom"/>
            <w:hideMark/>
          </w:tcPr>
          <w:p w14:paraId="0353394D" w14:textId="77777777" w:rsidR="007C5FC9" w:rsidRPr="007C5FC9" w:rsidRDefault="007C5FC9" w:rsidP="007C5FC9">
            <w:pPr>
              <w:spacing w:after="0" w:line="240" w:lineRule="auto"/>
              <w:rPr>
                <w:rFonts w:ascii="Calibri" w:eastAsia="Times New Roman" w:hAnsi="Calibri" w:cs="Calibri"/>
                <w:color w:val="000000"/>
                <w:lang w:eastAsia="cs-CZ"/>
              </w:rPr>
            </w:pPr>
            <w:r w:rsidRPr="007C5FC9">
              <w:rPr>
                <w:rFonts w:ascii="Calibri" w:eastAsia="Times New Roman" w:hAnsi="Calibri" w:cs="Calibri"/>
                <w:color w:val="000000"/>
                <w:lang w:eastAsia="cs-CZ"/>
              </w:rPr>
              <w:t>Příloha č. 1 - Položkový ceník</w:t>
            </w:r>
          </w:p>
        </w:tc>
        <w:tc>
          <w:tcPr>
            <w:tcW w:w="0" w:type="auto"/>
            <w:tcBorders>
              <w:top w:val="nil"/>
              <w:left w:val="nil"/>
              <w:bottom w:val="nil"/>
              <w:right w:val="nil"/>
            </w:tcBorders>
            <w:shd w:val="clear" w:color="auto" w:fill="auto"/>
            <w:noWrap/>
            <w:vAlign w:val="bottom"/>
            <w:hideMark/>
          </w:tcPr>
          <w:p w14:paraId="2AC9E231" w14:textId="77777777" w:rsidR="007C5FC9" w:rsidRPr="007C5FC9" w:rsidRDefault="007C5FC9" w:rsidP="007C5FC9">
            <w:pPr>
              <w:spacing w:after="0" w:line="240" w:lineRule="auto"/>
              <w:rPr>
                <w:rFonts w:ascii="Calibri" w:eastAsia="Times New Roman" w:hAnsi="Calibri" w:cs="Calibri"/>
                <w:color w:val="000000"/>
                <w:lang w:eastAsia="cs-CZ"/>
              </w:rPr>
            </w:pPr>
          </w:p>
        </w:tc>
        <w:tc>
          <w:tcPr>
            <w:tcW w:w="0" w:type="auto"/>
            <w:tcBorders>
              <w:top w:val="nil"/>
              <w:left w:val="nil"/>
              <w:bottom w:val="nil"/>
              <w:right w:val="nil"/>
            </w:tcBorders>
            <w:shd w:val="clear" w:color="auto" w:fill="auto"/>
            <w:noWrap/>
            <w:vAlign w:val="bottom"/>
            <w:hideMark/>
          </w:tcPr>
          <w:p w14:paraId="1DF73385"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F8024E6"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2144C24"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FB9F0F2"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B5D5505"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6938A3E"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r>
      <w:tr w:rsidR="007C5FC9" w:rsidRPr="007C5FC9" w14:paraId="3A6CA601" w14:textId="77777777" w:rsidTr="007C5FC9">
        <w:trPr>
          <w:trHeight w:val="300"/>
        </w:trPr>
        <w:tc>
          <w:tcPr>
            <w:tcW w:w="0" w:type="auto"/>
            <w:tcBorders>
              <w:top w:val="nil"/>
              <w:left w:val="nil"/>
              <w:bottom w:val="nil"/>
              <w:right w:val="nil"/>
            </w:tcBorders>
            <w:shd w:val="clear" w:color="auto" w:fill="auto"/>
            <w:noWrap/>
            <w:vAlign w:val="bottom"/>
            <w:hideMark/>
          </w:tcPr>
          <w:p w14:paraId="65BBEC09"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55B0B0E"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0C4069B"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B3E3F27"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E0982A6"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DE5FF16"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B77AE3B"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963F2F6"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r>
      <w:tr w:rsidR="007C5FC9" w:rsidRPr="007C5FC9" w14:paraId="48EF6223" w14:textId="77777777" w:rsidTr="007C5FC9">
        <w:trPr>
          <w:trHeight w:val="315"/>
        </w:trPr>
        <w:tc>
          <w:tcPr>
            <w:tcW w:w="0" w:type="auto"/>
            <w:tcBorders>
              <w:top w:val="nil"/>
              <w:left w:val="nil"/>
              <w:bottom w:val="nil"/>
              <w:right w:val="nil"/>
            </w:tcBorders>
            <w:shd w:val="clear" w:color="auto" w:fill="auto"/>
            <w:noWrap/>
            <w:vAlign w:val="bottom"/>
            <w:hideMark/>
          </w:tcPr>
          <w:p w14:paraId="752937A5"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948B97D"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600D6B1"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938F574"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92D42F9"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86F3082"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CA4D434"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A6D94BA" w14:textId="77777777" w:rsidR="007C5FC9" w:rsidRPr="007C5FC9" w:rsidRDefault="007C5FC9" w:rsidP="007C5FC9">
            <w:pPr>
              <w:spacing w:after="0" w:line="240" w:lineRule="auto"/>
              <w:rPr>
                <w:rFonts w:ascii="Times New Roman" w:eastAsia="Times New Roman" w:hAnsi="Times New Roman" w:cs="Times New Roman"/>
                <w:sz w:val="20"/>
                <w:szCs w:val="20"/>
                <w:lang w:eastAsia="cs-CZ"/>
              </w:rPr>
            </w:pPr>
          </w:p>
        </w:tc>
      </w:tr>
      <w:tr w:rsidR="007C5FC9" w:rsidRPr="007C5FC9" w14:paraId="76C567E6" w14:textId="77777777" w:rsidTr="007C5FC9">
        <w:trPr>
          <w:trHeight w:val="58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2294A5E5"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ATC</w:t>
            </w:r>
          </w:p>
        </w:tc>
        <w:tc>
          <w:tcPr>
            <w:tcW w:w="0" w:type="auto"/>
            <w:gridSpan w:val="3"/>
            <w:tcBorders>
              <w:top w:val="single" w:sz="8" w:space="0" w:color="auto"/>
              <w:left w:val="nil"/>
              <w:bottom w:val="single" w:sz="8" w:space="0" w:color="auto"/>
              <w:right w:val="single" w:sz="4" w:space="0" w:color="000000"/>
            </w:tcBorders>
            <w:shd w:val="clear" w:color="auto" w:fill="auto"/>
            <w:vAlign w:val="center"/>
            <w:hideMark/>
          </w:tcPr>
          <w:p w14:paraId="3BACF91D"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Název</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5DDACD7"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SÚKL kód</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43CB61B"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Velikost balení</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8230958"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Cena bez DPH/bal.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2A3F26"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sazba DPH</w:t>
            </w:r>
          </w:p>
        </w:tc>
      </w:tr>
      <w:tr w:rsidR="007C5FC9" w:rsidRPr="007C5FC9" w14:paraId="614460EF" w14:textId="77777777" w:rsidTr="007C5FC9">
        <w:trPr>
          <w:trHeight w:val="315"/>
        </w:trPr>
        <w:tc>
          <w:tcPr>
            <w:tcW w:w="0" w:type="auto"/>
            <w:tcBorders>
              <w:top w:val="nil"/>
              <w:left w:val="single" w:sz="8" w:space="0" w:color="auto"/>
              <w:bottom w:val="single" w:sz="8" w:space="0" w:color="auto"/>
              <w:right w:val="nil"/>
            </w:tcBorders>
            <w:shd w:val="clear" w:color="auto" w:fill="auto"/>
            <w:noWrap/>
            <w:vAlign w:val="center"/>
            <w:hideMark/>
          </w:tcPr>
          <w:p w14:paraId="0E2FCD42" w14:textId="77777777" w:rsidR="007C5FC9" w:rsidRPr="007C5FC9" w:rsidRDefault="007C5FC9" w:rsidP="007C5FC9">
            <w:pPr>
              <w:spacing w:after="0" w:line="240" w:lineRule="auto"/>
              <w:jc w:val="center"/>
              <w:rPr>
                <w:rFonts w:ascii="Arial" w:eastAsia="Times New Roman" w:hAnsi="Arial" w:cs="Arial"/>
                <w:b/>
                <w:bCs/>
                <w:color w:val="000000"/>
                <w:lang w:eastAsia="cs-CZ"/>
              </w:rPr>
            </w:pPr>
            <w:r w:rsidRPr="007C5FC9">
              <w:rPr>
                <w:rFonts w:ascii="Arial" w:eastAsia="Times New Roman" w:hAnsi="Arial" w:cs="Arial"/>
                <w:b/>
                <w:bCs/>
                <w:color w:val="000000"/>
                <w:lang w:eastAsia="cs-CZ"/>
              </w:rPr>
              <w:t>L03AB07</w:t>
            </w:r>
          </w:p>
        </w:tc>
        <w:tc>
          <w:tcPr>
            <w:tcW w:w="0" w:type="auto"/>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5AE20343" w14:textId="77777777" w:rsidR="007C5FC9" w:rsidRPr="007C5FC9" w:rsidRDefault="007C5FC9" w:rsidP="007C5FC9">
            <w:pPr>
              <w:spacing w:after="0" w:line="240" w:lineRule="auto"/>
              <w:jc w:val="center"/>
              <w:rPr>
                <w:rFonts w:ascii="Arial" w:eastAsia="Times New Roman" w:hAnsi="Arial" w:cs="Arial"/>
                <w:b/>
                <w:bCs/>
                <w:color w:val="000000"/>
                <w:lang w:eastAsia="cs-CZ"/>
              </w:rPr>
            </w:pPr>
            <w:proofErr w:type="spellStart"/>
            <w:r w:rsidRPr="007C5FC9">
              <w:rPr>
                <w:rFonts w:ascii="Arial" w:eastAsia="Times New Roman" w:hAnsi="Arial" w:cs="Arial"/>
                <w:b/>
                <w:bCs/>
                <w:color w:val="000000"/>
                <w:lang w:eastAsia="cs-CZ"/>
              </w:rPr>
              <w:t>Avonex</w:t>
            </w:r>
            <w:proofErr w:type="spellEnd"/>
            <w:r w:rsidRPr="007C5FC9">
              <w:rPr>
                <w:rFonts w:ascii="Arial" w:eastAsia="Times New Roman" w:hAnsi="Arial" w:cs="Arial"/>
                <w:b/>
                <w:bCs/>
                <w:color w:val="000000"/>
                <w:lang w:eastAsia="cs-CZ"/>
              </w:rPr>
              <w:t xml:space="preserve"> </w:t>
            </w:r>
            <w:proofErr w:type="spellStart"/>
            <w:r w:rsidRPr="007C5FC9">
              <w:rPr>
                <w:rFonts w:ascii="Arial" w:eastAsia="Times New Roman" w:hAnsi="Arial" w:cs="Arial"/>
                <w:b/>
                <w:bCs/>
                <w:color w:val="000000"/>
                <w:lang w:eastAsia="cs-CZ"/>
              </w:rPr>
              <w:t>inj.sol</w:t>
            </w:r>
            <w:proofErr w:type="spellEnd"/>
            <w:r w:rsidRPr="007C5FC9">
              <w:rPr>
                <w:rFonts w:ascii="Arial" w:eastAsia="Times New Roman" w:hAnsi="Arial" w:cs="Arial"/>
                <w:b/>
                <w:bCs/>
                <w:color w:val="000000"/>
                <w:lang w:eastAsia="cs-CZ"/>
              </w:rPr>
              <w:t>. 4x30rg/dáv+4jeh.</w:t>
            </w:r>
          </w:p>
        </w:tc>
        <w:tc>
          <w:tcPr>
            <w:tcW w:w="0" w:type="auto"/>
            <w:tcBorders>
              <w:top w:val="nil"/>
              <w:left w:val="nil"/>
              <w:bottom w:val="single" w:sz="8" w:space="0" w:color="auto"/>
              <w:right w:val="single" w:sz="4" w:space="0" w:color="auto"/>
            </w:tcBorders>
            <w:shd w:val="clear" w:color="auto" w:fill="auto"/>
            <w:noWrap/>
            <w:vAlign w:val="center"/>
            <w:hideMark/>
          </w:tcPr>
          <w:p w14:paraId="2BA41A93"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0026252</w:t>
            </w:r>
          </w:p>
        </w:tc>
        <w:tc>
          <w:tcPr>
            <w:tcW w:w="0" w:type="auto"/>
            <w:tcBorders>
              <w:top w:val="nil"/>
              <w:left w:val="nil"/>
              <w:bottom w:val="single" w:sz="8" w:space="0" w:color="auto"/>
              <w:right w:val="single" w:sz="4" w:space="0" w:color="auto"/>
            </w:tcBorders>
            <w:shd w:val="clear" w:color="auto" w:fill="auto"/>
            <w:noWrap/>
            <w:vAlign w:val="center"/>
            <w:hideMark/>
          </w:tcPr>
          <w:p w14:paraId="519C4F32"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4x30rg/dáv+4jeh.</w:t>
            </w:r>
          </w:p>
        </w:tc>
        <w:tc>
          <w:tcPr>
            <w:tcW w:w="0" w:type="auto"/>
            <w:tcBorders>
              <w:top w:val="nil"/>
              <w:left w:val="nil"/>
              <w:bottom w:val="single" w:sz="8" w:space="0" w:color="auto"/>
              <w:right w:val="single" w:sz="4" w:space="0" w:color="auto"/>
            </w:tcBorders>
            <w:shd w:val="clear" w:color="auto" w:fill="auto"/>
            <w:noWrap/>
            <w:vAlign w:val="center"/>
            <w:hideMark/>
          </w:tcPr>
          <w:p w14:paraId="74970A2D" w14:textId="4995127D" w:rsidR="007C5FC9" w:rsidRPr="007C5FC9" w:rsidRDefault="00243AF1" w:rsidP="007C5FC9">
            <w:pPr>
              <w:spacing w:after="0" w:line="240" w:lineRule="auto"/>
              <w:jc w:val="center"/>
              <w:rPr>
                <w:rFonts w:ascii="Arial" w:eastAsia="Times New Roman" w:hAnsi="Arial" w:cs="Arial"/>
                <w:color w:val="000000"/>
                <w:lang w:eastAsia="cs-CZ"/>
              </w:rPr>
            </w:pPr>
            <w:r>
              <w:rPr>
                <w:rFonts w:ascii="Tahoma" w:eastAsia="Times New Roman" w:hAnsi="Tahoma" w:cs="Tahoma"/>
                <w:sz w:val="16"/>
                <w:szCs w:val="16"/>
                <w:lang w:eastAsia="ar-SA"/>
              </w:rPr>
              <w:t>x</w:t>
            </w:r>
          </w:p>
        </w:tc>
        <w:tc>
          <w:tcPr>
            <w:tcW w:w="0" w:type="auto"/>
            <w:tcBorders>
              <w:top w:val="nil"/>
              <w:left w:val="nil"/>
              <w:bottom w:val="single" w:sz="8" w:space="0" w:color="auto"/>
              <w:right w:val="single" w:sz="8" w:space="0" w:color="auto"/>
            </w:tcBorders>
            <w:shd w:val="clear" w:color="auto" w:fill="auto"/>
            <w:noWrap/>
            <w:vAlign w:val="center"/>
            <w:hideMark/>
          </w:tcPr>
          <w:p w14:paraId="616E5875"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10%</w:t>
            </w:r>
          </w:p>
        </w:tc>
      </w:tr>
      <w:tr w:rsidR="007C5FC9" w:rsidRPr="007C5FC9" w14:paraId="7DD02FDB" w14:textId="77777777" w:rsidTr="007C5FC9">
        <w:trPr>
          <w:trHeight w:val="315"/>
        </w:trPr>
        <w:tc>
          <w:tcPr>
            <w:tcW w:w="0" w:type="auto"/>
            <w:tcBorders>
              <w:top w:val="nil"/>
              <w:left w:val="single" w:sz="8" w:space="0" w:color="auto"/>
              <w:bottom w:val="single" w:sz="8" w:space="0" w:color="auto"/>
              <w:right w:val="nil"/>
            </w:tcBorders>
            <w:shd w:val="clear" w:color="auto" w:fill="auto"/>
            <w:noWrap/>
            <w:vAlign w:val="center"/>
            <w:hideMark/>
          </w:tcPr>
          <w:p w14:paraId="1747A843" w14:textId="77777777" w:rsidR="007C5FC9" w:rsidRPr="007C5FC9" w:rsidRDefault="007C5FC9" w:rsidP="007C5FC9">
            <w:pPr>
              <w:spacing w:after="0" w:line="240" w:lineRule="auto"/>
              <w:jc w:val="center"/>
              <w:rPr>
                <w:rFonts w:ascii="Arial" w:eastAsia="Times New Roman" w:hAnsi="Arial" w:cs="Arial"/>
                <w:b/>
                <w:bCs/>
                <w:color w:val="000000"/>
                <w:lang w:eastAsia="cs-CZ"/>
              </w:rPr>
            </w:pPr>
            <w:r w:rsidRPr="007C5FC9">
              <w:rPr>
                <w:rFonts w:ascii="Arial" w:eastAsia="Times New Roman" w:hAnsi="Arial" w:cs="Arial"/>
                <w:b/>
                <w:bCs/>
                <w:color w:val="000000"/>
                <w:lang w:eastAsia="cs-CZ"/>
              </w:rPr>
              <w:t>L03AB07</w:t>
            </w:r>
          </w:p>
        </w:tc>
        <w:tc>
          <w:tcPr>
            <w:tcW w:w="0" w:type="auto"/>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330EDA59" w14:textId="77777777" w:rsidR="007C5FC9" w:rsidRPr="007C5FC9" w:rsidRDefault="007C5FC9" w:rsidP="007C5FC9">
            <w:pPr>
              <w:spacing w:after="0" w:line="240" w:lineRule="auto"/>
              <w:jc w:val="center"/>
              <w:rPr>
                <w:rFonts w:ascii="Arial" w:eastAsia="Times New Roman" w:hAnsi="Arial" w:cs="Arial"/>
                <w:b/>
                <w:bCs/>
                <w:color w:val="000000"/>
                <w:lang w:eastAsia="cs-CZ"/>
              </w:rPr>
            </w:pPr>
            <w:proofErr w:type="spellStart"/>
            <w:r w:rsidRPr="007C5FC9">
              <w:rPr>
                <w:rFonts w:ascii="Arial" w:eastAsia="Times New Roman" w:hAnsi="Arial" w:cs="Arial"/>
                <w:b/>
                <w:bCs/>
                <w:color w:val="000000"/>
                <w:lang w:eastAsia="cs-CZ"/>
              </w:rPr>
              <w:t>Avonex</w:t>
            </w:r>
            <w:proofErr w:type="spellEnd"/>
            <w:r w:rsidRPr="007C5FC9">
              <w:rPr>
                <w:rFonts w:ascii="Arial" w:eastAsia="Times New Roman" w:hAnsi="Arial" w:cs="Arial"/>
                <w:b/>
                <w:bCs/>
                <w:color w:val="000000"/>
                <w:lang w:eastAsia="cs-CZ"/>
              </w:rPr>
              <w:t xml:space="preserve"> </w:t>
            </w:r>
            <w:proofErr w:type="spellStart"/>
            <w:r w:rsidRPr="007C5FC9">
              <w:rPr>
                <w:rFonts w:ascii="Arial" w:eastAsia="Times New Roman" w:hAnsi="Arial" w:cs="Arial"/>
                <w:b/>
                <w:bCs/>
                <w:color w:val="000000"/>
                <w:lang w:eastAsia="cs-CZ"/>
              </w:rPr>
              <w:t>inj.sol</w:t>
            </w:r>
            <w:proofErr w:type="spellEnd"/>
            <w:r w:rsidRPr="007C5FC9">
              <w:rPr>
                <w:rFonts w:ascii="Arial" w:eastAsia="Times New Roman" w:hAnsi="Arial" w:cs="Arial"/>
                <w:b/>
                <w:bCs/>
                <w:color w:val="000000"/>
                <w:lang w:eastAsia="cs-CZ"/>
              </w:rPr>
              <w:t xml:space="preserve">. 4x30rg/dáv+4 </w:t>
            </w:r>
            <w:proofErr w:type="spellStart"/>
            <w:r w:rsidRPr="007C5FC9">
              <w:rPr>
                <w:rFonts w:ascii="Arial" w:eastAsia="Times New Roman" w:hAnsi="Arial" w:cs="Arial"/>
                <w:b/>
                <w:bCs/>
                <w:color w:val="000000"/>
                <w:lang w:eastAsia="cs-CZ"/>
              </w:rPr>
              <w:t>předplněná</w:t>
            </w:r>
            <w:proofErr w:type="spellEnd"/>
            <w:r w:rsidRPr="007C5FC9">
              <w:rPr>
                <w:rFonts w:ascii="Arial" w:eastAsia="Times New Roman" w:hAnsi="Arial" w:cs="Arial"/>
                <w:b/>
                <w:bCs/>
                <w:color w:val="000000"/>
                <w:lang w:eastAsia="cs-CZ"/>
              </w:rPr>
              <w:t xml:space="preserve"> pera</w:t>
            </w:r>
          </w:p>
        </w:tc>
        <w:tc>
          <w:tcPr>
            <w:tcW w:w="0" w:type="auto"/>
            <w:tcBorders>
              <w:top w:val="nil"/>
              <w:left w:val="nil"/>
              <w:bottom w:val="single" w:sz="8" w:space="0" w:color="auto"/>
              <w:right w:val="single" w:sz="4" w:space="0" w:color="auto"/>
            </w:tcBorders>
            <w:shd w:val="clear" w:color="auto" w:fill="auto"/>
            <w:noWrap/>
            <w:vAlign w:val="center"/>
            <w:hideMark/>
          </w:tcPr>
          <w:p w14:paraId="5BDB5129"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0185115</w:t>
            </w:r>
          </w:p>
        </w:tc>
        <w:tc>
          <w:tcPr>
            <w:tcW w:w="0" w:type="auto"/>
            <w:tcBorders>
              <w:top w:val="nil"/>
              <w:left w:val="nil"/>
              <w:bottom w:val="single" w:sz="8" w:space="0" w:color="auto"/>
              <w:right w:val="single" w:sz="4" w:space="0" w:color="auto"/>
            </w:tcBorders>
            <w:shd w:val="clear" w:color="auto" w:fill="auto"/>
            <w:noWrap/>
            <w:vAlign w:val="center"/>
            <w:hideMark/>
          </w:tcPr>
          <w:p w14:paraId="07C58104"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 xml:space="preserve">4x30rg/dáv+4 </w:t>
            </w:r>
            <w:proofErr w:type="spellStart"/>
            <w:r w:rsidRPr="007C5FC9">
              <w:rPr>
                <w:rFonts w:ascii="Arial" w:eastAsia="Times New Roman" w:hAnsi="Arial" w:cs="Arial"/>
                <w:color w:val="000000"/>
                <w:lang w:eastAsia="cs-CZ"/>
              </w:rPr>
              <w:t>předplněná</w:t>
            </w:r>
            <w:proofErr w:type="spellEnd"/>
            <w:r w:rsidRPr="007C5FC9">
              <w:rPr>
                <w:rFonts w:ascii="Arial" w:eastAsia="Times New Roman" w:hAnsi="Arial" w:cs="Arial"/>
                <w:color w:val="000000"/>
                <w:lang w:eastAsia="cs-CZ"/>
              </w:rPr>
              <w:t xml:space="preserve"> pera</w:t>
            </w:r>
          </w:p>
        </w:tc>
        <w:tc>
          <w:tcPr>
            <w:tcW w:w="0" w:type="auto"/>
            <w:tcBorders>
              <w:top w:val="nil"/>
              <w:left w:val="nil"/>
              <w:bottom w:val="single" w:sz="8" w:space="0" w:color="auto"/>
              <w:right w:val="single" w:sz="4" w:space="0" w:color="auto"/>
            </w:tcBorders>
            <w:shd w:val="clear" w:color="auto" w:fill="auto"/>
            <w:noWrap/>
            <w:vAlign w:val="center"/>
            <w:hideMark/>
          </w:tcPr>
          <w:p w14:paraId="3EF3383E" w14:textId="6847BFD2" w:rsidR="007C5FC9" w:rsidRPr="007C5FC9" w:rsidRDefault="00243AF1" w:rsidP="007C5FC9">
            <w:pPr>
              <w:spacing w:after="0" w:line="240" w:lineRule="auto"/>
              <w:jc w:val="center"/>
              <w:rPr>
                <w:rFonts w:ascii="Arial" w:eastAsia="Times New Roman" w:hAnsi="Arial" w:cs="Arial"/>
                <w:color w:val="000000"/>
                <w:lang w:eastAsia="cs-CZ"/>
              </w:rPr>
            </w:pPr>
            <w:r>
              <w:rPr>
                <w:rFonts w:ascii="Tahoma" w:eastAsia="Times New Roman" w:hAnsi="Tahoma" w:cs="Tahoma"/>
                <w:sz w:val="16"/>
                <w:szCs w:val="16"/>
                <w:lang w:eastAsia="ar-SA"/>
              </w:rPr>
              <w:t>x</w:t>
            </w:r>
          </w:p>
        </w:tc>
        <w:tc>
          <w:tcPr>
            <w:tcW w:w="0" w:type="auto"/>
            <w:tcBorders>
              <w:top w:val="nil"/>
              <w:left w:val="nil"/>
              <w:bottom w:val="single" w:sz="8" w:space="0" w:color="auto"/>
              <w:right w:val="single" w:sz="8" w:space="0" w:color="auto"/>
            </w:tcBorders>
            <w:shd w:val="clear" w:color="auto" w:fill="auto"/>
            <w:noWrap/>
            <w:vAlign w:val="center"/>
            <w:hideMark/>
          </w:tcPr>
          <w:p w14:paraId="13C1686F" w14:textId="77777777" w:rsidR="007C5FC9" w:rsidRPr="007C5FC9" w:rsidRDefault="007C5FC9" w:rsidP="007C5FC9">
            <w:pPr>
              <w:spacing w:after="0" w:line="240" w:lineRule="auto"/>
              <w:jc w:val="center"/>
              <w:rPr>
                <w:rFonts w:ascii="Arial" w:eastAsia="Times New Roman" w:hAnsi="Arial" w:cs="Arial"/>
                <w:color w:val="000000"/>
                <w:lang w:eastAsia="cs-CZ"/>
              </w:rPr>
            </w:pPr>
            <w:r w:rsidRPr="007C5FC9">
              <w:rPr>
                <w:rFonts w:ascii="Arial" w:eastAsia="Times New Roman" w:hAnsi="Arial" w:cs="Arial"/>
                <w:color w:val="000000"/>
                <w:lang w:eastAsia="cs-CZ"/>
              </w:rPr>
              <w:t>10%</w:t>
            </w:r>
          </w:p>
        </w:tc>
      </w:tr>
    </w:tbl>
    <w:p w14:paraId="6F6F37DF" w14:textId="10A70AB2" w:rsidR="00B16C78" w:rsidRDefault="00B16C78" w:rsidP="00C655CE">
      <w:pPr>
        <w:rPr>
          <w:rFonts w:ascii="Tahoma" w:hAnsi="Tahoma" w:cs="Tahoma"/>
          <w:sz w:val="16"/>
          <w:szCs w:val="16"/>
        </w:rPr>
      </w:pP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6D0C5CA7" w:rsidR="00B16C78" w:rsidRPr="000B5F26" w:rsidRDefault="00B16C78" w:rsidP="00C655CE">
      <w:pPr>
        <w:rPr>
          <w:rFonts w:ascii="Tahoma" w:hAnsi="Tahoma" w:cs="Tahoma"/>
          <w:sz w:val="16"/>
          <w:szCs w:val="16"/>
        </w:rPr>
      </w:pPr>
    </w:p>
    <w:sectPr w:rsidR="00B16C78" w:rsidRPr="000B5F26" w:rsidSect="007C5FC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1D304" w14:textId="77777777" w:rsidR="00D16718" w:rsidRDefault="00D16718" w:rsidP="00C655CE">
      <w:pPr>
        <w:spacing w:after="0" w:line="240" w:lineRule="auto"/>
      </w:pPr>
      <w:r>
        <w:separator/>
      </w:r>
    </w:p>
  </w:endnote>
  <w:endnote w:type="continuationSeparator" w:id="0">
    <w:p w14:paraId="4208D1D8" w14:textId="77777777" w:rsidR="00D16718" w:rsidRDefault="00D16718"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2EC57" w14:textId="77777777" w:rsidR="00422D93" w:rsidRDefault="00422D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5A74A0C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103575">
      <w:rPr>
        <w:rFonts w:ascii="Arial" w:hAnsi="Arial" w:cs="Arial"/>
        <w:noProof/>
        <w:sz w:val="18"/>
        <w:szCs w:val="18"/>
      </w:rPr>
      <w:t>4</w:t>
    </w:r>
    <w:r w:rsidRPr="001859F3">
      <w:rPr>
        <w:rFonts w:ascii="Arial" w:hAnsi="Arial" w:cs="Arial"/>
        <w:sz w:val="18"/>
        <w:szCs w:val="18"/>
      </w:rPr>
      <w:fldChar w:fldCharType="end"/>
    </w:r>
  </w:p>
  <w:p w14:paraId="0C4565C3" w14:textId="77777777" w:rsidR="00C935EF" w:rsidRDefault="00CF64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4D5C" w14:textId="77777777" w:rsidR="00422D93" w:rsidRDefault="00422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97599" w14:textId="77777777" w:rsidR="00D16718" w:rsidRDefault="00D16718" w:rsidP="00C655CE">
      <w:pPr>
        <w:spacing w:after="0" w:line="240" w:lineRule="auto"/>
      </w:pPr>
      <w:r>
        <w:separator/>
      </w:r>
    </w:p>
  </w:footnote>
  <w:footnote w:type="continuationSeparator" w:id="0">
    <w:p w14:paraId="133B21B9" w14:textId="77777777" w:rsidR="00D16718" w:rsidRDefault="00D16718"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1489" w14:textId="77777777" w:rsidR="00422D93" w:rsidRDefault="00422D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4B9BB672"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57740C">
      <w:rPr>
        <w:rFonts w:ascii="Arial" w:hAnsi="Arial" w:cs="Arial"/>
        <w:b/>
        <w:sz w:val="18"/>
        <w:szCs w:val="18"/>
        <w:lang w:val="cs-CZ"/>
      </w:rPr>
      <w:t>599</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E73D" w14:textId="77777777" w:rsidR="00422D93" w:rsidRDefault="00422D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75D"/>
    <w:rsid w:val="00031007"/>
    <w:rsid w:val="0006458E"/>
    <w:rsid w:val="000B5F26"/>
    <w:rsid w:val="000E4120"/>
    <w:rsid w:val="00103575"/>
    <w:rsid w:val="00174B06"/>
    <w:rsid w:val="0017686F"/>
    <w:rsid w:val="001D35AD"/>
    <w:rsid w:val="00202A1F"/>
    <w:rsid w:val="00203BF9"/>
    <w:rsid w:val="00214062"/>
    <w:rsid w:val="002311F2"/>
    <w:rsid w:val="00243AF1"/>
    <w:rsid w:val="0027745E"/>
    <w:rsid w:val="00282489"/>
    <w:rsid w:val="00321418"/>
    <w:rsid w:val="00352E08"/>
    <w:rsid w:val="00356E1B"/>
    <w:rsid w:val="00370484"/>
    <w:rsid w:val="00376517"/>
    <w:rsid w:val="00394D67"/>
    <w:rsid w:val="003A04EB"/>
    <w:rsid w:val="003C572B"/>
    <w:rsid w:val="00404C01"/>
    <w:rsid w:val="00412034"/>
    <w:rsid w:val="00422D93"/>
    <w:rsid w:val="00452472"/>
    <w:rsid w:val="004805E5"/>
    <w:rsid w:val="004B0FD6"/>
    <w:rsid w:val="004B7C48"/>
    <w:rsid w:val="004D6012"/>
    <w:rsid w:val="0050314F"/>
    <w:rsid w:val="00506E16"/>
    <w:rsid w:val="00551769"/>
    <w:rsid w:val="00564162"/>
    <w:rsid w:val="0057740C"/>
    <w:rsid w:val="00582639"/>
    <w:rsid w:val="005959D9"/>
    <w:rsid w:val="005965F3"/>
    <w:rsid w:val="0059792E"/>
    <w:rsid w:val="005B53BF"/>
    <w:rsid w:val="0061264B"/>
    <w:rsid w:val="006449EC"/>
    <w:rsid w:val="006727A1"/>
    <w:rsid w:val="006962CE"/>
    <w:rsid w:val="006A0F40"/>
    <w:rsid w:val="006B3321"/>
    <w:rsid w:val="006D207E"/>
    <w:rsid w:val="006D3E14"/>
    <w:rsid w:val="006F139E"/>
    <w:rsid w:val="00724502"/>
    <w:rsid w:val="007248DF"/>
    <w:rsid w:val="00731B37"/>
    <w:rsid w:val="00733B74"/>
    <w:rsid w:val="007352FD"/>
    <w:rsid w:val="00747D18"/>
    <w:rsid w:val="00754CE6"/>
    <w:rsid w:val="007C5FC9"/>
    <w:rsid w:val="007F3222"/>
    <w:rsid w:val="0081013B"/>
    <w:rsid w:val="00823118"/>
    <w:rsid w:val="00833D2E"/>
    <w:rsid w:val="00835216"/>
    <w:rsid w:val="00856894"/>
    <w:rsid w:val="00860AB8"/>
    <w:rsid w:val="008724EB"/>
    <w:rsid w:val="0088620D"/>
    <w:rsid w:val="008A5FBB"/>
    <w:rsid w:val="008D4CA1"/>
    <w:rsid w:val="009266C8"/>
    <w:rsid w:val="009452FC"/>
    <w:rsid w:val="00982FB1"/>
    <w:rsid w:val="009A7191"/>
    <w:rsid w:val="00A05CB8"/>
    <w:rsid w:val="00A35CE2"/>
    <w:rsid w:val="00A37356"/>
    <w:rsid w:val="00A46B27"/>
    <w:rsid w:val="00A7606E"/>
    <w:rsid w:val="00A77835"/>
    <w:rsid w:val="00A81562"/>
    <w:rsid w:val="00AE0326"/>
    <w:rsid w:val="00B0075D"/>
    <w:rsid w:val="00B136F5"/>
    <w:rsid w:val="00B164A0"/>
    <w:rsid w:val="00B16C78"/>
    <w:rsid w:val="00B46615"/>
    <w:rsid w:val="00B553B4"/>
    <w:rsid w:val="00BC262C"/>
    <w:rsid w:val="00BC3ED9"/>
    <w:rsid w:val="00BC6B85"/>
    <w:rsid w:val="00C0289B"/>
    <w:rsid w:val="00C12010"/>
    <w:rsid w:val="00C33EEC"/>
    <w:rsid w:val="00C515C6"/>
    <w:rsid w:val="00C52459"/>
    <w:rsid w:val="00C655CE"/>
    <w:rsid w:val="00C80B13"/>
    <w:rsid w:val="00C97D10"/>
    <w:rsid w:val="00CC6C9C"/>
    <w:rsid w:val="00CE3527"/>
    <w:rsid w:val="00CF64B8"/>
    <w:rsid w:val="00CF79FE"/>
    <w:rsid w:val="00D16718"/>
    <w:rsid w:val="00D22E04"/>
    <w:rsid w:val="00D24526"/>
    <w:rsid w:val="00D251DC"/>
    <w:rsid w:val="00D80076"/>
    <w:rsid w:val="00D8210D"/>
    <w:rsid w:val="00D8629A"/>
    <w:rsid w:val="00D87AD8"/>
    <w:rsid w:val="00DB61A6"/>
    <w:rsid w:val="00DD2863"/>
    <w:rsid w:val="00DF26E5"/>
    <w:rsid w:val="00DF6409"/>
    <w:rsid w:val="00E03610"/>
    <w:rsid w:val="00E458AD"/>
    <w:rsid w:val="00E63753"/>
    <w:rsid w:val="00EE2B4E"/>
    <w:rsid w:val="00EE6C9E"/>
    <w:rsid w:val="00EE7073"/>
    <w:rsid w:val="00F0778D"/>
    <w:rsid w:val="00F23714"/>
    <w:rsid w:val="00F35FF7"/>
    <w:rsid w:val="00F64810"/>
    <w:rsid w:val="00F87B73"/>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611DEE96"/>
  <w15:docId w15:val="{62EFD43F-1C34-4015-82F1-022603D3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1914">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karnaoviii@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bjednavkyovv2@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V1@vfn.cz" TargetMode="External"/><Relationship Id="rId5" Type="http://schemas.openxmlformats.org/officeDocument/2006/relationships/numbering" Target="numbering.xml"/><Relationship Id="rId15" Type="http://schemas.openxmlformats.org/officeDocument/2006/relationships/hyperlink" Target="mailto:faktury@vfn.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mailto:hvlp@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PS12064</RequestID>
    <PocetZnRetezec xmlns="acca34e4-9ecd-41c8-99eb-d6aa654aaa55" xsi:nil="true"/>
    <Block_WF xmlns="acca34e4-9ecd-41c8-99eb-d6aa654aaa55">3</Block_WF>
    <ZkracenyRetezec xmlns="acca34e4-9ecd-41c8-99eb-d6aa654aaa55">717-599/599-2020%20RS.docx</ZkracenyRetezec>
    <Smazat xmlns="acca34e4-9ecd-41c8-99eb-d6aa654aaa55">&lt;a href="/sites/evidencesmluv/_layouts/15/IniWrkflIP.aspx?List=%7b6A8A6AA5-C48F-41F1-807A-52AA0ECDCD18%7d&amp;amp;ID=1647&amp;amp;ItemGuid=%7b679D8202-5425-4CC8-AD56-7F952DD60B59%7d&amp;amp;TemplateID=%7bd3f8102e-f4a5-4901-b93c-fb146a9d820d%7d"&gt;&lt;img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3058A-A2C1-4438-97AC-B431D6E2C24E}"/>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2640</Words>
  <Characters>15580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creator>Pecharová Vítězslava, Mgr.</dc:creator>
  <cp:lastModifiedBy>Kandová Zuzana, Mgr.</cp:lastModifiedBy>
  <cp:revision>4</cp:revision>
  <cp:lastPrinted>2020-06-08T07:21:00Z</cp:lastPrinted>
  <dcterms:created xsi:type="dcterms:W3CDTF">2020-06-08T07:26:00Z</dcterms:created>
  <dcterms:modified xsi:type="dcterms:W3CDTF">2020-09-02T10:53:00Z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e6829a77-c5e5-4fe6-87e8-9b25338f6e34</vt:lpwstr>
  </property>
  <property fmtid="{D5CDD505-2E9C-101B-9397-08002B2CF9AE}" pid="10" name="WorkflowChangePath">
    <vt:lpwstr>c2c94d69-f20f-429f-ba2d-a1fcf3d093be,2;c2c94d69-f20f-429f-ba2d-a1fcf3d093be,2;c2c94d69-f20f-429f-ba2d-a1fcf3d093be,2;</vt:lpwstr>
  </property>
</Properties>
</file>