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344279" w:rsidRDefault="00344279" w:rsidP="0034427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344279" w:rsidRDefault="00344279" w:rsidP="0034427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zastoupená Ing. Věrou Fouskovou, předsedkyní představenstva</w:t>
      </w:r>
    </w:p>
    <w:p w:rsidR="00344279" w:rsidRDefault="00344279" w:rsidP="003442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344279" w:rsidRDefault="00344279" w:rsidP="003442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č. </w:t>
      </w:r>
      <w:r>
        <w:rPr>
          <w:rFonts w:ascii="Times New Roman" w:hAnsi="Times New Roman" w:cs="Times New Roman"/>
          <w:sz w:val="20"/>
          <w:szCs w:val="20"/>
        </w:rPr>
        <w:t>účtu: 2099622/0800</w:t>
      </w:r>
    </w:p>
    <w:p w:rsidR="00344279" w:rsidRDefault="00344279" w:rsidP="003442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>
        <w:rPr>
          <w:rFonts w:ascii="Times New Roman" w:hAnsi="Times New Roman" w:cs="Times New Roman"/>
          <w:b/>
          <w:sz w:val="20"/>
          <w:szCs w:val="20"/>
        </w:rPr>
        <w:t>pronajímatel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344279" w:rsidRDefault="00344279" w:rsidP="003442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Surface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Digital s.r.o. 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 Bartošova 733/16, 769 01 Holešov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IČ: 06079482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 w:rsidR="00627062">
        <w:rPr>
          <w:rFonts w:ascii="Times New Roman" w:hAnsi="Times New Roman" w:cs="Times New Roman"/>
          <w:bCs/>
          <w:sz w:val="20"/>
          <w:szCs w:val="20"/>
        </w:rPr>
        <w:t>CZ</w:t>
      </w:r>
      <w:r w:rsidR="00627062">
        <w:rPr>
          <w:rFonts w:ascii="Times New Roman" w:hAnsi="Times New Roman" w:cs="Times New Roman"/>
          <w:bCs/>
          <w:sz w:val="20"/>
          <w:szCs w:val="20"/>
        </w:rPr>
        <w:t>06079482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zastoupená Jiřím Horákem, jednatelem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C, vložka 99900</w:t>
      </w:r>
    </w:p>
    <w:p w:rsidR="00344279" w:rsidRDefault="00344279" w:rsidP="003442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344279" w:rsidRDefault="00344279" w:rsidP="003442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č. </w:t>
      </w:r>
      <w:r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344279" w:rsidRDefault="00344279" w:rsidP="003442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>
        <w:rPr>
          <w:rFonts w:ascii="Times New Roman" w:hAnsi="Times New Roman" w:cs="Times New Roman"/>
          <w:b/>
          <w:sz w:val="20"/>
          <w:szCs w:val="20"/>
        </w:rPr>
        <w:t>nájemce</w:t>
      </w:r>
      <w:r>
        <w:rPr>
          <w:rFonts w:ascii="Times New Roman" w:hAnsi="Times New Roman" w:cs="Times New Roman"/>
          <w:sz w:val="20"/>
          <w:szCs w:val="20"/>
        </w:rPr>
        <w:t>“)</w:t>
      </w:r>
      <w:bookmarkStart w:id="0" w:name="_GoBack"/>
      <w:bookmarkEnd w:id="0"/>
    </w:p>
    <w:p w:rsidR="001A1169" w:rsidRDefault="001A116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344279" w:rsidRDefault="00344279" w:rsidP="0034427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344279" w:rsidRPr="00344279" w:rsidRDefault="00344279" w:rsidP="0034427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27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34427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344279">
        <w:rPr>
          <w:rFonts w:ascii="Times New Roman" w:hAnsi="Times New Roman" w:cs="Times New Roman"/>
          <w:b/>
          <w:sz w:val="20"/>
          <w:szCs w:val="20"/>
        </w:rPr>
        <w:t>budovy č. p. 1693</w:t>
      </w:r>
      <w:r w:rsidRPr="00344279">
        <w:rPr>
          <w:rFonts w:ascii="Times New Roman" w:hAnsi="Times New Roman" w:cs="Times New Roman"/>
          <w:sz w:val="20"/>
          <w:szCs w:val="20"/>
        </w:rPr>
        <w:t xml:space="preserve">, postavené na pozemku p. č. 2760/82 v k. </w:t>
      </w:r>
      <w:proofErr w:type="spellStart"/>
      <w:r w:rsidRPr="0034427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34427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34427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344279">
        <w:rPr>
          <w:rFonts w:ascii="Times New Roman" w:hAnsi="Times New Roman" w:cs="Times New Roman"/>
          <w:sz w:val="20"/>
          <w:szCs w:val="20"/>
        </w:rPr>
        <w:t xml:space="preserve"> a obec (</w:t>
      </w:r>
      <w:r w:rsidRPr="00344279">
        <w:rPr>
          <w:rFonts w:ascii="Times New Roman" w:hAnsi="Times New Roman" w:cs="Times New Roman"/>
          <w:b/>
          <w:sz w:val="20"/>
          <w:szCs w:val="20"/>
        </w:rPr>
        <w:t>dále také jen „SO 104“</w:t>
      </w:r>
      <w:r w:rsidRPr="00344279">
        <w:rPr>
          <w:rFonts w:ascii="Times New Roman" w:hAnsi="Times New Roman" w:cs="Times New Roman"/>
          <w:sz w:val="20"/>
          <w:szCs w:val="20"/>
        </w:rPr>
        <w:t>).</w:t>
      </w:r>
      <w:r w:rsidR="001E5D37">
        <w:rPr>
          <w:rFonts w:ascii="Times New Roman" w:hAnsi="Times New Roman" w:cs="Times New Roman"/>
          <w:sz w:val="20"/>
          <w:szCs w:val="20"/>
        </w:rPr>
        <w:t xml:space="preserve"> Pronajímatel vybudoval objekt</w:t>
      </w:r>
      <w:r w:rsidRPr="00344279">
        <w:rPr>
          <w:rFonts w:ascii="Times New Roman" w:hAnsi="Times New Roman" w:cs="Times New Roman"/>
          <w:sz w:val="20"/>
          <w:szCs w:val="20"/>
        </w:rPr>
        <w:t xml:space="preserve"> SO 104 v rámci projektu „Technologický park Holešov“, na jehož realizaci čerpal dotaci v Operačním programu Podnikání a inovace, Prosperita – Výzva II. </w:t>
      </w:r>
    </w:p>
    <w:p w:rsidR="00344279" w:rsidRDefault="00344279" w:rsidP="0034427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1.2 </w:t>
      </w:r>
      <w:r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II. NP SO 104 (dále jen prostory)</w:t>
      </w:r>
      <w:r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344279" w:rsidRDefault="00344279" w:rsidP="00344279">
      <w:pPr>
        <w:pStyle w:val="Zkladntext"/>
        <w:rPr>
          <w:sz w:val="20"/>
        </w:rPr>
      </w:pPr>
    </w:p>
    <w:p w:rsidR="00344279" w:rsidRDefault="00344279" w:rsidP="0034427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prostor č.: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výměra (</w:t>
      </w: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spellEnd"/>
      <w:r>
        <w:rPr>
          <w:rFonts w:ascii="Times New Roman" w:hAnsi="Times New Roman" w:cs="Times New Roman"/>
          <w:sz w:val="20"/>
          <w:szCs w:val="20"/>
        </w:rPr>
        <w:t>):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29,75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16,63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28,88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14,72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14,23</w:t>
      </w:r>
    </w:p>
    <w:p w:rsidR="00344279" w:rsidRDefault="00344279" w:rsidP="0034427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344279" w:rsidRDefault="00344279" w:rsidP="00344279">
      <w:pPr>
        <w:pStyle w:val="Bezmezer"/>
      </w:pPr>
      <w:r>
        <w:rPr>
          <w:rFonts w:ascii="Times New Roman" w:hAnsi="Times New Roman" w:cs="Times New Roman"/>
          <w:b/>
          <w:sz w:val="20"/>
          <w:szCs w:val="20"/>
        </w:rPr>
        <w:t>Celkem v SO 104: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104,21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</w:p>
    <w:p w:rsidR="00344279" w:rsidRDefault="00344279" w:rsidP="00344279">
      <w:pPr>
        <w:pStyle w:val="Zkladntext"/>
        <w:rPr>
          <w:sz w:val="20"/>
        </w:rPr>
      </w:pPr>
    </w:p>
    <w:p w:rsidR="00344279" w:rsidRDefault="00344279" w:rsidP="00344279">
      <w:pPr>
        <w:pStyle w:val="Zkladntext"/>
        <w:rPr>
          <w:sz w:val="20"/>
        </w:rPr>
      </w:pPr>
      <w:r>
        <w:rPr>
          <w:sz w:val="20"/>
        </w:rPr>
        <w:lastRenderedPageBreak/>
        <w:t>Poloha prostor ve II. NP SO 104 je vyznačena v </w:t>
      </w:r>
      <w:r>
        <w:rPr>
          <w:b/>
          <w:sz w:val="20"/>
        </w:rPr>
        <w:t>Příloze č. 1</w:t>
      </w:r>
      <w:r>
        <w:rPr>
          <w:sz w:val="20"/>
        </w:rPr>
        <w:t xml:space="preserve"> – Situační plán.</w:t>
      </w:r>
    </w:p>
    <w:p w:rsidR="00344279" w:rsidRDefault="00344279" w:rsidP="00344279">
      <w:pPr>
        <w:pStyle w:val="Zkladntext"/>
        <w:rPr>
          <w:b/>
          <w:sz w:val="20"/>
        </w:rPr>
      </w:pPr>
    </w:p>
    <w:p w:rsidR="00344279" w:rsidRDefault="00344279" w:rsidP="00344279">
      <w:pPr>
        <w:pStyle w:val="Zkladntext"/>
        <w:rPr>
          <w:sz w:val="20"/>
        </w:rPr>
      </w:pPr>
      <w:r>
        <w:rPr>
          <w:b/>
          <w:sz w:val="20"/>
        </w:rPr>
        <w:t xml:space="preserve">1.3 </w:t>
      </w:r>
      <w:r>
        <w:rPr>
          <w:sz w:val="20"/>
        </w:rPr>
        <w:t>Nájemce je dále oprávněn ke</w:t>
      </w:r>
      <w:r>
        <w:rPr>
          <w:b/>
          <w:sz w:val="20"/>
        </w:rPr>
        <w:t xml:space="preserve"> spoluužívání společných prostorů v I. a II. NP SO 104, </w:t>
      </w:r>
      <w:r>
        <w:rPr>
          <w:sz w:val="20"/>
        </w:rPr>
        <w:t>vyznačených v</w:t>
      </w:r>
      <w:r>
        <w:rPr>
          <w:b/>
          <w:sz w:val="20"/>
        </w:rPr>
        <w:t xml:space="preserve"> Příloze č. 1 </w:t>
      </w:r>
      <w:r>
        <w:rPr>
          <w:sz w:val="20"/>
        </w:rPr>
        <w:t xml:space="preserve">– Situační plán (dále jen </w:t>
      </w:r>
      <w:r>
        <w:rPr>
          <w:b/>
          <w:sz w:val="20"/>
        </w:rPr>
        <w:t>společné prostory</w:t>
      </w:r>
      <w:r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AD4FBA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AD4FBA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317CC3" w:rsidRDefault="00317CC3" w:rsidP="00317CC3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administrativní zázemí pro služby on-line marketingu.</w:t>
      </w:r>
    </w:p>
    <w:p w:rsidR="00317CC3" w:rsidRDefault="00317CC3" w:rsidP="00317CC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 w:rsidRPr="00390CDE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746447" w:rsidRPr="00390CDE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317CC3" w:rsidRPr="00390CDE">
        <w:rPr>
          <w:rFonts w:ascii="Times New Roman" w:hAnsi="Times New Roman" w:cs="Times New Roman"/>
          <w:b/>
          <w:sz w:val="20"/>
          <w:szCs w:val="20"/>
        </w:rPr>
        <w:t>1</w:t>
      </w:r>
      <w:r w:rsidR="00746447" w:rsidRPr="00390CD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7CC3" w:rsidRPr="00390CDE">
        <w:rPr>
          <w:rFonts w:ascii="Times New Roman" w:hAnsi="Times New Roman" w:cs="Times New Roman"/>
          <w:b/>
          <w:sz w:val="20"/>
          <w:szCs w:val="20"/>
        </w:rPr>
        <w:t>9</w:t>
      </w:r>
      <w:r w:rsidR="001A1169" w:rsidRPr="00390CDE">
        <w:rPr>
          <w:rFonts w:ascii="Times New Roman" w:hAnsi="Times New Roman" w:cs="Times New Roman"/>
          <w:b/>
          <w:sz w:val="20"/>
          <w:szCs w:val="20"/>
        </w:rPr>
        <w:t>. 2020</w:t>
      </w:r>
      <w:r w:rsidR="00390CDE" w:rsidRPr="00390CDE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390CDE">
        <w:rPr>
          <w:rFonts w:ascii="Times New Roman" w:hAnsi="Times New Roman" w:cs="Times New Roman"/>
          <w:b/>
          <w:sz w:val="20"/>
          <w:szCs w:val="20"/>
        </w:rPr>
        <w:t xml:space="preserve"> 31. 12. 2022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O předání a převzetí prostorů </w:t>
      </w:r>
      <w:r w:rsidR="001A1169">
        <w:rPr>
          <w:rFonts w:ascii="Times New Roman" w:hAnsi="Times New Roman" w:cs="Times New Roman"/>
          <w:sz w:val="20"/>
          <w:szCs w:val="20"/>
        </w:rPr>
        <w:t xml:space="preserve">po skončení nájmu </w:t>
      </w:r>
      <w:r w:rsidRPr="00430EE9">
        <w:rPr>
          <w:rFonts w:ascii="Times New Roman" w:hAnsi="Times New Roman" w:cs="Times New Roman"/>
          <w:sz w:val="20"/>
          <w:szCs w:val="20"/>
        </w:rPr>
        <w:t>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5E22EB" w:rsidRPr="005E22EB" w:rsidRDefault="005E22EB" w:rsidP="005E22EB">
      <w:pPr>
        <w:jc w:val="both"/>
        <w:rPr>
          <w:rFonts w:ascii="Times New Roman" w:hAnsi="Times New Roman" w:cs="Times New Roman"/>
          <w:sz w:val="20"/>
          <w:szCs w:val="20"/>
        </w:rPr>
      </w:pPr>
      <w:r w:rsidRPr="00270188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270188">
        <w:rPr>
          <w:rFonts w:ascii="Times New Roman" w:hAnsi="Times New Roman" w:cs="Times New Roman"/>
          <w:sz w:val="20"/>
          <w:szCs w:val="20"/>
        </w:rPr>
        <w:t>Nájemc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2701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disponuje </w:t>
      </w:r>
      <w:r w:rsidRPr="00270188">
        <w:rPr>
          <w:rFonts w:ascii="Times New Roman" w:hAnsi="Times New Roman" w:cs="Times New Roman"/>
          <w:sz w:val="20"/>
          <w:szCs w:val="20"/>
        </w:rPr>
        <w:t>požadovaný</w:t>
      </w:r>
      <w:r>
        <w:rPr>
          <w:rFonts w:ascii="Times New Roman" w:hAnsi="Times New Roman" w:cs="Times New Roman"/>
          <w:sz w:val="20"/>
          <w:szCs w:val="20"/>
        </w:rPr>
        <w:t xml:space="preserve">m </w:t>
      </w:r>
      <w:r w:rsidRPr="00270188">
        <w:rPr>
          <w:rFonts w:ascii="Times New Roman" w:hAnsi="Times New Roman" w:cs="Times New Roman"/>
          <w:sz w:val="20"/>
          <w:szCs w:val="20"/>
        </w:rPr>
        <w:t>počt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270188">
        <w:rPr>
          <w:rFonts w:ascii="Times New Roman" w:hAnsi="Times New Roman" w:cs="Times New Roman"/>
          <w:sz w:val="20"/>
          <w:szCs w:val="20"/>
        </w:rPr>
        <w:t xml:space="preserve"> vstupních karet umožňujících vstup do pronajatých prostor. Nevratný poplatek za vystavení </w:t>
      </w:r>
      <w:r>
        <w:rPr>
          <w:rFonts w:ascii="Times New Roman" w:hAnsi="Times New Roman" w:cs="Times New Roman"/>
          <w:sz w:val="20"/>
          <w:szCs w:val="20"/>
        </w:rPr>
        <w:t xml:space="preserve">další </w:t>
      </w:r>
      <w:r w:rsidRPr="00270188">
        <w:rPr>
          <w:rFonts w:ascii="Times New Roman" w:hAnsi="Times New Roman" w:cs="Times New Roman"/>
          <w:sz w:val="20"/>
          <w:szCs w:val="20"/>
        </w:rPr>
        <w:t xml:space="preserve">jedné vstupní karty je </w:t>
      </w:r>
      <w:r w:rsidRPr="00270188">
        <w:rPr>
          <w:rFonts w:ascii="Times New Roman" w:hAnsi="Times New Roman" w:cs="Times New Roman"/>
          <w:b/>
          <w:sz w:val="20"/>
          <w:szCs w:val="20"/>
        </w:rPr>
        <w:t>500,- Kč + DPH</w:t>
      </w:r>
      <w:r w:rsidRPr="00270188">
        <w:rPr>
          <w:rFonts w:ascii="Times New Roman" w:hAnsi="Times New Roman" w:cs="Times New Roman"/>
          <w:sz w:val="20"/>
          <w:szCs w:val="20"/>
        </w:rPr>
        <w:t xml:space="preserve">. Současně za každou poskytnutou kartu uhradí nájemce zálohu </w:t>
      </w:r>
      <w:r w:rsidRPr="00270188">
        <w:rPr>
          <w:rFonts w:ascii="Times New Roman" w:hAnsi="Times New Roman" w:cs="Times New Roman"/>
          <w:b/>
          <w:sz w:val="20"/>
          <w:szCs w:val="20"/>
        </w:rPr>
        <w:t>200,- Kč</w:t>
      </w:r>
      <w:r w:rsidRPr="00270188">
        <w:rPr>
          <w:rFonts w:ascii="Times New Roman" w:hAnsi="Times New Roman" w:cs="Times New Roman"/>
          <w:sz w:val="20"/>
          <w:szCs w:val="20"/>
        </w:rPr>
        <w:t>, která mu bude po skončení nájmu po odevzdání karty vrácena. Záloha se neúročí.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>příloze č. 2 této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</w:t>
      </w:r>
      <w:r w:rsidR="006F2397">
        <w:rPr>
          <w:rFonts w:ascii="Times New Roman" w:hAnsi="Times New Roman" w:cs="Times New Roman"/>
          <w:sz w:val="20"/>
          <w:szCs w:val="20"/>
        </w:rPr>
        <w:t xml:space="preserve">b), </w:t>
      </w:r>
      <w:r w:rsidR="008E0FE3">
        <w:rPr>
          <w:rFonts w:ascii="Times New Roman" w:hAnsi="Times New Roman" w:cs="Times New Roman"/>
          <w:sz w:val="20"/>
          <w:szCs w:val="20"/>
        </w:rPr>
        <w:t>e</w:t>
      </w:r>
      <w:r w:rsidRPr="00430EE9">
        <w:rPr>
          <w:rFonts w:ascii="Times New Roman" w:hAnsi="Times New Roman" w:cs="Times New Roman"/>
          <w:sz w:val="20"/>
          <w:szCs w:val="20"/>
        </w:rPr>
        <w:t xml:space="preserve">) až </w:t>
      </w:r>
      <w:r w:rsidR="008E0FE3">
        <w:rPr>
          <w:rFonts w:ascii="Times New Roman" w:hAnsi="Times New Roman" w:cs="Times New Roman"/>
          <w:sz w:val="20"/>
          <w:szCs w:val="20"/>
        </w:rPr>
        <w:t>n</w:t>
      </w:r>
      <w:r w:rsidRPr="00430EE9">
        <w:rPr>
          <w:rFonts w:ascii="Times New Roman" w:hAnsi="Times New Roman" w:cs="Times New Roman"/>
          <w:sz w:val="20"/>
          <w:szCs w:val="20"/>
        </w:rPr>
        <w:t>) smlouvy. V příloze č. 2 je rovněž vymezena výše tržního nájemného.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Celková výše podpory malého rozsahu formou slevy z ceny nájmu na základě této smlouvy činí </w:t>
      </w:r>
      <w:r w:rsidR="00390CDE">
        <w:rPr>
          <w:rFonts w:ascii="Times New Roman" w:hAnsi="Times New Roman" w:cs="Times New Roman"/>
          <w:sz w:val="20"/>
          <w:szCs w:val="20"/>
          <w:u w:val="single"/>
        </w:rPr>
        <w:t>121 626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AD4FBA" w:rsidRDefault="00430EE9" w:rsidP="00AD4FBA">
      <w:pPr>
        <w:pStyle w:val="Zkladntext"/>
        <w:spacing w:after="120"/>
        <w:rPr>
          <w:sz w:val="20"/>
        </w:rPr>
      </w:pPr>
      <w:r w:rsidRPr="00430EE9">
        <w:rPr>
          <w:sz w:val="20"/>
        </w:rPr>
        <w:t>V případě uplatnění výše uvedeného práva pronajímatelem hradí nájemce ode dne zastavení poskytování podpory malého rozsahu tržní nájemné uvedené v příloze č. 2 této smlouvy.</w:t>
      </w:r>
    </w:p>
    <w:p w:rsidR="00430EE9" w:rsidRPr="00AD4FBA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8E0FE3" w:rsidRPr="00430EE9" w:rsidRDefault="008E0FE3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E0FE3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</w:t>
      </w:r>
      <w:r w:rsidRPr="005D22AE">
        <w:rPr>
          <w:rFonts w:ascii="Times New Roman" w:hAnsi="Times New Roman" w:cs="Times New Roman"/>
          <w:sz w:val="20"/>
          <w:szCs w:val="20"/>
        </w:rPr>
        <w:t>u. K ceně za služby spojené s užíváváním prostorů (odst. 5.4) bude připočtena daň z přidané hodnoty. K nájemnému bude přičteno DPH v případě, že je nájemce plátcem DPH. V případě, že se nájemce stane plátcem DPH teprve v průběhu trvání této smlouvy, bude DPH přičteno k nájemnému až za měsíc následující po měsíci, kdy se nájemce stal plátcem DPH a informoval o tom pronajím</w:t>
      </w:r>
      <w:r w:rsidR="00317CC3">
        <w:rPr>
          <w:rFonts w:ascii="Times New Roman" w:hAnsi="Times New Roman" w:cs="Times New Roman"/>
          <w:sz w:val="20"/>
          <w:szCs w:val="20"/>
        </w:rPr>
        <w:t>atele v souladu s čl. 11 odst. 3</w:t>
      </w:r>
      <w:r w:rsidRPr="005D22AE">
        <w:rPr>
          <w:rFonts w:ascii="Times New Roman" w:hAnsi="Times New Roman" w:cs="Times New Roman"/>
          <w:sz w:val="20"/>
          <w:szCs w:val="20"/>
        </w:rPr>
        <w:t xml:space="preserve"> této smlouvy.</w:t>
      </w:r>
      <w:r w:rsidRPr="008E0FE3">
        <w:rPr>
          <w:rFonts w:ascii="Times New Roman" w:hAnsi="Times New Roman" w:cs="Times New Roman"/>
          <w:sz w:val="20"/>
          <w:szCs w:val="20"/>
        </w:rPr>
        <w:t xml:space="preserve"> Sazba DPH bude stanovena dle zákona o DPH platného v době uskutečnění zdanitelného plnění. Základem daně je v případě nájmu prostorů zvýhodněné nájemné a v případě služeb spojených s užívání</w:t>
      </w:r>
      <w:r>
        <w:rPr>
          <w:rFonts w:ascii="Times New Roman" w:hAnsi="Times New Roman" w:cs="Times New Roman"/>
          <w:sz w:val="20"/>
          <w:szCs w:val="20"/>
        </w:rPr>
        <w:t>m prostorů v odst. 5.4.1 písm. e</w:t>
      </w:r>
      <w:r w:rsidRPr="008E0FE3">
        <w:rPr>
          <w:rFonts w:ascii="Times New Roman" w:hAnsi="Times New Roman" w:cs="Times New Roman"/>
          <w:sz w:val="20"/>
          <w:szCs w:val="20"/>
        </w:rPr>
        <w:t xml:space="preserve">) až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E0FE3">
        <w:rPr>
          <w:rFonts w:ascii="Times New Roman" w:hAnsi="Times New Roman" w:cs="Times New Roman"/>
          <w:sz w:val="20"/>
          <w:szCs w:val="20"/>
        </w:rPr>
        <w:t>) zvýhodněná cena těchto služeb.</w:t>
      </w:r>
    </w:p>
    <w:p w:rsidR="001216FC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5.4.1 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se zavazuje platit vedle nájemného pronajímateli cenu za služby spojené s užíváním prostorů, a to za: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dodávky elektrické energie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otápění prostorů a poskytování teplé užitkové vody (TUV)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plynu</w:t>
      </w:r>
      <w:r w:rsidR="00AD4FB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– </w:t>
      </w:r>
      <w:r w:rsidR="00AD4FBA" w:rsidRPr="001A1169">
        <w:rPr>
          <w:rFonts w:ascii="Times New Roman" w:eastAsia="Times New Roman" w:hAnsi="Times New Roman" w:cs="Times New Roman"/>
          <w:sz w:val="20"/>
          <w:szCs w:val="20"/>
          <w:lang w:eastAsia="cs-CZ"/>
        </w:rPr>
        <w:t>neposkytuje se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vody a službu odvádění odpadních vod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recepce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ostraha areálu SPZ Holešov - fyzická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ostraha objektu - venkovní kamerový systém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odvoz komunálního odpadu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a ploch v areálu – letní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v areálu – zimní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úklid a údržba společných prostor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oprávnění parkovat na parkovišti v areálu TP Holešov – </w:t>
      </w:r>
      <w:r w:rsidR="00EB524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míst</w:t>
      </w:r>
      <w:r w:rsidR="00EB524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a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IT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přístup ke strukturované kabeláži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serverovna</w:t>
      </w:r>
      <w:proofErr w:type="spellEnd"/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poskytnutí internetové konektivity – standard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přístup k WIFI síti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telefonní ústředna + síť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ostatní služby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konferenčního sálu v budově č. p. 1691 na p. č. 2760/80 v k. </w:t>
      </w: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ú.</w:t>
      </w:r>
      <w:proofErr w:type="spellEnd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Holešov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zasedací místnosti č. 1.21 v budově dle předešlé odrážky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úklid prostorů </w:t>
      </w:r>
      <w:r w:rsidRPr="001A116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– </w:t>
      </w:r>
      <w:r w:rsidR="001A1169" w:rsidRPr="001A1169">
        <w:rPr>
          <w:rFonts w:ascii="Times New Roman" w:eastAsia="Times New Roman" w:hAnsi="Times New Roman" w:cs="Times New Roman"/>
          <w:sz w:val="20"/>
          <w:szCs w:val="20"/>
          <w:lang w:eastAsia="cs-CZ"/>
        </w:rPr>
        <w:t>neposkytuje se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lastRenderedPageBreak/>
        <w:t>5.4.1.1 Elektrická energie: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nájemce je dáno množstvím poskytnuté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vynásobeným průměrnou cenou elektřiny. Průměrná cena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určena podílem celkových nákladů na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celkové spotřeby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odběrného místa. K účtované částce bude připočtena DPH v souladu s  platnými právními předpisy. </w:t>
      </w:r>
    </w:p>
    <w:p w:rsidR="00575F8A" w:rsidRPr="00575F8A" w:rsidRDefault="00575F8A" w:rsidP="00575F8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5.4.1.2 Otápění prostorů a poskytování TUV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575F8A" w:rsidRDefault="00575F8A" w:rsidP="00575F8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a. paušální platbu za otápění a poskytování TUV pro kanceláře</w:t>
      </w:r>
    </w:p>
    <w:p w:rsidR="00521539" w:rsidRPr="00575F8A" w:rsidRDefault="00521539" w:rsidP="0052153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="00AD4FBA">
        <w:rPr>
          <w:rFonts w:ascii="Times New Roman" w:hAnsi="Times New Roman" w:cs="Times New Roman"/>
          <w:b/>
          <w:sz w:val="20"/>
          <w:szCs w:val="20"/>
        </w:rPr>
        <w:t>– neposkytuje se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5.4.1.4 Vodné a stočné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5.4.1.5 Princip přeúčtování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Podíl nájemce na nákladech 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je oprávněn uplatňovat u nájemce vedle úhrady za poskytnutou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el.energii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rovněž úhradu podílu nájemce na nákladech pronajímatele na provoz a údržbu odběrného elektrického zařízení.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5.4.1.6 Služby spojené s užíváním prostorů v odst. 5.4.1 písm. e) až n):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b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platit pronajímateli cenu za služby spojené s užíváním prostorů v odst. 5.4.1 písm. e) až n), a to ve výši stanovené v souvislosti s realizací projektu „Technologický park Holešov“ v odst. 1.1 této smlouvy (dále také jako </w:t>
      </w:r>
      <w:r w:rsidRPr="00575F8A">
        <w:rPr>
          <w:rFonts w:ascii="Times New Roman" w:hAnsi="Times New Roman"/>
          <w:b/>
          <w:sz w:val="20"/>
        </w:rPr>
        <w:t xml:space="preserve">zvýhodněná cena služeb </w:t>
      </w:r>
      <w:r w:rsidRPr="00575F8A">
        <w:rPr>
          <w:rFonts w:ascii="Times New Roman" w:hAnsi="Times New Roman"/>
          <w:sz w:val="20"/>
        </w:rPr>
        <w:t>nebo jen</w:t>
      </w:r>
      <w:r w:rsidRPr="00575F8A">
        <w:rPr>
          <w:rFonts w:ascii="Times New Roman" w:hAnsi="Times New Roman"/>
          <w:b/>
          <w:sz w:val="20"/>
        </w:rPr>
        <w:t xml:space="preserve"> cena služeb</w:t>
      </w:r>
      <w:r w:rsidRPr="00575F8A">
        <w:rPr>
          <w:rFonts w:ascii="Times New Roman" w:hAnsi="Times New Roman"/>
          <w:sz w:val="20"/>
        </w:rPr>
        <w:t xml:space="preserve">). Zvýhodněná cena služeb je uvedena </w:t>
      </w:r>
      <w:r w:rsidRPr="00575F8A">
        <w:rPr>
          <w:rFonts w:ascii="Times New Roman" w:hAnsi="Times New Roman"/>
          <w:b/>
          <w:sz w:val="20"/>
        </w:rPr>
        <w:t xml:space="preserve">v příloze č. 2 </w:t>
      </w:r>
      <w:r w:rsidRPr="00575F8A">
        <w:rPr>
          <w:rFonts w:ascii="Times New Roman" w:hAnsi="Times New Roman"/>
          <w:sz w:val="20"/>
        </w:rPr>
        <w:t xml:space="preserve">této smlouvy. V příloze č. 2 je rovněž vymezena tržní cena těchto služeb.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)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e) až n) podpora malého rozsahu (de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služeb na základě této smlouvy činí </w:t>
      </w:r>
      <w:r w:rsidR="00390CDE">
        <w:rPr>
          <w:rFonts w:ascii="Times New Roman" w:hAnsi="Times New Roman" w:cs="Times New Roman"/>
          <w:sz w:val="20"/>
          <w:szCs w:val="20"/>
          <w:u w:val="single"/>
        </w:rPr>
        <w:t>540 975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 Kč</w:t>
      </w:r>
      <w:r w:rsidRPr="00575F8A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2A6F2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90CDE">
        <w:rPr>
          <w:rFonts w:ascii="Times New Roman" w:hAnsi="Times New Roman" w:cs="Times New Roman"/>
          <w:sz w:val="20"/>
          <w:szCs w:val="20"/>
          <w:u w:val="single"/>
        </w:rPr>
        <w:t>662 601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 Kč.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souvislosti s poskytováním podpory malého rozsahu formou 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slevy z ceny služeb v odst. 5.4.1 písm. e) až n)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5.4.2 Fakturace služeb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lastRenderedPageBreak/>
        <w:t xml:space="preserve">Nájemce se zavazuje k placení úhrady za poskytnutou </w:t>
      </w:r>
      <w:proofErr w:type="spellStart"/>
      <w:r w:rsidRPr="00575F8A">
        <w:rPr>
          <w:rFonts w:ascii="Times New Roman" w:hAnsi="Times New Roman"/>
          <w:sz w:val="20"/>
        </w:rPr>
        <w:t>el.energii</w:t>
      </w:r>
      <w:proofErr w:type="spellEnd"/>
      <w:r w:rsidRPr="00575F8A">
        <w:rPr>
          <w:rFonts w:ascii="Times New Roman" w:hAnsi="Times New Roman"/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 od dodavatele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. </w:t>
      </w:r>
    </w:p>
    <w:p w:rsidR="00575F8A" w:rsidRPr="00575F8A" w:rsidRDefault="00575F8A" w:rsidP="00575F8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575F8A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575F8A">
        <w:rPr>
          <w:rFonts w:ascii="Times New Roman" w:hAnsi="Times New Roman" w:cs="Times New Roman"/>
          <w:sz w:val="20"/>
          <w:szCs w:val="20"/>
        </w:rPr>
        <w:t>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Nájemce bude platit měsíční splátky paušální platby za otápění prostorů a poskytování TUV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Nájemce se zavazuje k placení ceny za služby uvedené v odst. 5.4.1 písm. e) až n)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</w:t>
      </w:r>
    </w:p>
    <w:p w:rsidR="00575F8A" w:rsidRPr="00575F8A" w:rsidRDefault="00575F8A" w:rsidP="00E36B4F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575F8A" w:rsidRPr="00575F8A" w:rsidRDefault="00575F8A" w:rsidP="00575F8A">
      <w:pPr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</w:t>
      </w:r>
      <w:r w:rsidR="00AD4FBA">
        <w:rPr>
          <w:rFonts w:ascii="Times New Roman" w:hAnsi="Times New Roman" w:cs="Times New Roman"/>
          <w:sz w:val="20"/>
          <w:szCs w:val="20"/>
        </w:rPr>
        <w:t xml:space="preserve">ického parku Holešov v rozsahu </w:t>
      </w:r>
      <w:r w:rsidR="00EB524A">
        <w:rPr>
          <w:rFonts w:ascii="Times New Roman" w:hAnsi="Times New Roman" w:cs="Times New Roman"/>
          <w:sz w:val="20"/>
          <w:szCs w:val="20"/>
        </w:rPr>
        <w:t>2</w:t>
      </w:r>
      <w:r w:rsidR="00646186">
        <w:rPr>
          <w:rFonts w:ascii="Times New Roman" w:hAnsi="Times New Roman" w:cs="Times New Roman"/>
          <w:sz w:val="20"/>
          <w:szCs w:val="20"/>
        </w:rPr>
        <w:t xml:space="preserve"> </w:t>
      </w:r>
      <w:r w:rsidR="00AD4FBA">
        <w:rPr>
          <w:rFonts w:ascii="Times New Roman" w:hAnsi="Times New Roman" w:cs="Times New Roman"/>
          <w:sz w:val="20"/>
          <w:szCs w:val="20"/>
        </w:rPr>
        <w:t>míst</w:t>
      </w:r>
      <w:r w:rsidR="00521539">
        <w:rPr>
          <w:rFonts w:ascii="Times New Roman" w:hAnsi="Times New Roman" w:cs="Times New Roman"/>
          <w:sz w:val="20"/>
          <w:szCs w:val="20"/>
        </w:rPr>
        <w:t>. Nájemce nemá vyhrazeno</w:t>
      </w:r>
      <w:r w:rsidRPr="00430EE9">
        <w:rPr>
          <w:rFonts w:ascii="Times New Roman" w:hAnsi="Times New Roman" w:cs="Times New Roman"/>
          <w:sz w:val="20"/>
          <w:szCs w:val="20"/>
        </w:rPr>
        <w:t xml:space="preserve"> konkrétní míst</w:t>
      </w:r>
      <w:r w:rsidR="00521539">
        <w:rPr>
          <w:rFonts w:ascii="Times New Roman" w:hAnsi="Times New Roman" w:cs="Times New Roman"/>
          <w:sz w:val="20"/>
          <w:szCs w:val="20"/>
        </w:rPr>
        <w:t>o</w:t>
      </w:r>
      <w:r w:rsidRPr="00430EE9">
        <w:rPr>
          <w:rFonts w:ascii="Times New Roman" w:hAnsi="Times New Roman" w:cs="Times New Roman"/>
          <w:sz w:val="20"/>
          <w:szCs w:val="20"/>
        </w:rPr>
        <w:t xml:space="preserve">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39289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5D22AE">
        <w:rPr>
          <w:rFonts w:ascii="Times New Roman" w:hAnsi="Times New Roman" w:cs="Times New Roman"/>
          <w:sz w:val="20"/>
          <w:szCs w:val="20"/>
        </w:rPr>
        <w:t xml:space="preserve">zajistit si na vlastní náklady v </w:t>
      </w:r>
      <w:r w:rsidRPr="00191537">
        <w:rPr>
          <w:rFonts w:ascii="Times New Roman" w:hAnsi="Times New Roman" w:cs="Times New Roman"/>
          <w:sz w:val="20"/>
          <w:szCs w:val="20"/>
        </w:rPr>
        <w:t>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</w:t>
      </w:r>
      <w:r w:rsidRPr="00430EE9">
        <w:rPr>
          <w:rFonts w:ascii="Times New Roman" w:hAnsi="Times New Roman" w:cs="Times New Roman"/>
          <w:sz w:val="20"/>
          <w:szCs w:val="20"/>
        </w:rPr>
        <w:t xml:space="preserve">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B0287A">
        <w:rPr>
          <w:rFonts w:ascii="Times New Roman" w:hAnsi="Times New Roman" w:cs="Times New Roman"/>
          <w:sz w:val="20"/>
          <w:szCs w:val="20"/>
        </w:rPr>
        <w:t>v případě nedůvodného vyslání signálu elektronické zabezpečovací signalizace budov nájemcem</w:t>
      </w:r>
      <w:r w:rsidRPr="00430EE9">
        <w:rPr>
          <w:rFonts w:ascii="Times New Roman" w:hAnsi="Times New Roman" w:cs="Times New Roman"/>
          <w:sz w:val="20"/>
          <w:szCs w:val="20"/>
        </w:rPr>
        <w:t xml:space="preserve">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B0287A">
        <w:rPr>
          <w:rFonts w:ascii="Times New Roman" w:hAnsi="Times New Roman" w:cs="Times New Roman"/>
          <w:iCs/>
          <w:sz w:val="20"/>
          <w:szCs w:val="20"/>
        </w:rPr>
        <w:t xml:space="preserve">přesáhne strop, stanovený v nařízení Komise (EU) uvedeném v bodě 5.1.1. této smlouvy nebo v jiných příslušných nařízeních o podpoře de </w:t>
      </w:r>
      <w:proofErr w:type="spellStart"/>
      <w:r w:rsidRPr="00B0287A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B0287A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</w:t>
      </w:r>
      <w:r w:rsidRPr="00B0287A">
        <w:rPr>
          <w:rFonts w:ascii="Times New Roman" w:hAnsi="Times New Roman" w:cs="Times New Roman"/>
          <w:iCs/>
          <w:sz w:val="20"/>
          <w:szCs w:val="20"/>
        </w:rPr>
        <w:lastRenderedPageBreak/>
        <w:t>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</w:t>
      </w:r>
      <w:r w:rsidRPr="00B0287A">
        <w:rPr>
          <w:rFonts w:ascii="Times New Roman" w:hAnsi="Times New Roman" w:cs="Times New Roman"/>
          <w:sz w:val="20"/>
          <w:szCs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0287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287A">
        <w:rPr>
          <w:rFonts w:ascii="Times New Roman" w:hAnsi="Times New Roman" w:cs="Times New Roman"/>
          <w:sz w:val="20"/>
          <w:szCs w:val="20"/>
        </w:rPr>
        <w:t>, týkajících se účetního období, podniků propojených s nájemcem, spojení podniků či nabytí podniku nebo rozdělení podniku, bude o těchto změnách neprodleně písemně informovat pronajímatele.</w:t>
      </w:r>
      <w:r w:rsidRPr="00430EE9">
        <w:rPr>
          <w:rFonts w:ascii="Times New Roman" w:hAnsi="Times New Roman" w:cs="Times New Roman"/>
          <w:sz w:val="20"/>
          <w:szCs w:val="20"/>
        </w:rPr>
        <w:t xml:space="preserve">   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9E5CC3" w:rsidRDefault="009E5CC3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191537">
        <w:rPr>
          <w:rFonts w:ascii="Times New Roman" w:hAnsi="Times New Roman" w:cs="Times New Roman"/>
          <w:sz w:val="20"/>
          <w:szCs w:val="20"/>
        </w:rPr>
        <w:t>Do jednoho měsíce od skončení nájmu změnit sídlo své společnosti, pokud toto sídlo měl nahlášen v pronajatých prostorech dle této smlouvy</w:t>
      </w:r>
      <w:r w:rsidR="00191537" w:rsidRPr="00191537">
        <w:rPr>
          <w:rFonts w:ascii="Times New Roman" w:hAnsi="Times New Roman" w:cs="Times New Roman"/>
          <w:sz w:val="20"/>
          <w:szCs w:val="20"/>
        </w:rPr>
        <w:t>.</w:t>
      </w:r>
      <w:r w:rsidR="00191537">
        <w:rPr>
          <w:rFonts w:ascii="Times New Roman" w:hAnsi="Times New Roman" w:cs="Times New Roman"/>
          <w:sz w:val="20"/>
          <w:szCs w:val="20"/>
        </w:rPr>
        <w:t xml:space="preserve"> V této souvislosti se výslovně konstatuje, že nájemce je oprávněn po dobu trvání nájmu mít své sídlo zapsané ve veřejném rejstříku umístěné v pronajatých prostorech resp. budově SO 10</w:t>
      </w:r>
      <w:r w:rsidR="00B34AFD">
        <w:rPr>
          <w:rFonts w:ascii="Times New Roman" w:hAnsi="Times New Roman" w:cs="Times New Roman"/>
          <w:sz w:val="20"/>
          <w:szCs w:val="20"/>
        </w:rPr>
        <w:t>4</w:t>
      </w:r>
      <w:r w:rsidR="00191537">
        <w:rPr>
          <w:rFonts w:ascii="Times New Roman" w:hAnsi="Times New Roman" w:cs="Times New Roman"/>
          <w:sz w:val="20"/>
          <w:szCs w:val="20"/>
        </w:rPr>
        <w:t>.</w:t>
      </w:r>
    </w:p>
    <w:p w:rsidR="004665FC" w:rsidRPr="00430EE9" w:rsidRDefault="004665FC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Nájemce je oprávněn umístit 1 reklamní banner na střechu budovy SO 104.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</w:t>
      </w:r>
      <w:r w:rsidRPr="00191537">
        <w:rPr>
          <w:rFonts w:ascii="Times New Roman" w:hAnsi="Times New Roman" w:cs="Times New Roman"/>
          <w:sz w:val="20"/>
          <w:szCs w:val="20"/>
        </w:rPr>
        <w:t>předložení dokumentů nájemce, týkajících se požární ochrany, bezpečnosti práce a hygieny pracovního prostředí v prostorách,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AD4F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č. 89/2012 Sb., občanský zákoník. </w:t>
      </w:r>
      <w:r w:rsidR="009E5CC3" w:rsidRPr="00430EE9">
        <w:rPr>
          <w:rFonts w:ascii="Times New Roman" w:hAnsi="Times New Roman" w:cs="Times New Roman"/>
          <w:sz w:val="20"/>
          <w:szCs w:val="20"/>
        </w:rPr>
        <w:t xml:space="preserve">Pronajímatel </w:t>
      </w:r>
      <w:r w:rsidR="009E5CC3">
        <w:rPr>
          <w:rFonts w:ascii="Times New Roman" w:hAnsi="Times New Roman" w:cs="Times New Roman"/>
          <w:sz w:val="20"/>
          <w:szCs w:val="20"/>
        </w:rPr>
        <w:t>i nájemce mohou nájem vypovědět i bez uvedení důvodu.</w:t>
      </w:r>
    </w:p>
    <w:p w:rsidR="009E5CC3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</w:t>
      </w:r>
    </w:p>
    <w:p w:rsidR="006F2397" w:rsidRDefault="009E5CC3" w:rsidP="00B34AFD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E5CC3">
        <w:rPr>
          <w:rFonts w:ascii="Times New Roman" w:hAnsi="Times New Roman" w:cs="Times New Roman"/>
          <w:b/>
          <w:sz w:val="20"/>
          <w:szCs w:val="20"/>
        </w:rPr>
        <w:t>9.5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Výpovědní </w:t>
      </w:r>
      <w:r>
        <w:rPr>
          <w:rFonts w:ascii="Times New Roman" w:hAnsi="Times New Roman" w:cs="Times New Roman"/>
          <w:sz w:val="20"/>
          <w:szCs w:val="20"/>
        </w:rPr>
        <w:t>doba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je 3 měsíce a počíná běžet prvého dne měsíce následujícího po měsíci, v němž byla výpověď doručena druhé smluvní straně. V případě výpovědi z důvodu prodlení nájemce s placením nájemného </w:t>
      </w:r>
      <w:r w:rsidR="00430EE9"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nebo služeb spojených s užíváním prostorů, je výpovědní </w:t>
      </w:r>
      <w:r>
        <w:rPr>
          <w:rFonts w:ascii="Times New Roman" w:hAnsi="Times New Roman" w:cs="Times New Roman"/>
          <w:sz w:val="20"/>
          <w:szCs w:val="20"/>
        </w:rPr>
        <w:t>doba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20 dnů a počíná běžet od doručení výpovědi nájemci. 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povinnos</w:t>
      </w:r>
      <w:r w:rsidR="009E5CC3">
        <w:rPr>
          <w:sz w:val="20"/>
        </w:rPr>
        <w:t>t uvedenou v jedenácté,</w:t>
      </w:r>
      <w:r w:rsidRPr="00430EE9">
        <w:rPr>
          <w:sz w:val="20"/>
        </w:rPr>
        <w:t xml:space="preserve"> </w:t>
      </w:r>
      <w:r w:rsidR="009E5CC3">
        <w:rPr>
          <w:sz w:val="20"/>
        </w:rPr>
        <w:t>čtrnácté</w:t>
      </w:r>
      <w:r w:rsidRPr="00430EE9">
        <w:rPr>
          <w:sz w:val="20"/>
        </w:rPr>
        <w:t xml:space="preserve"> </w:t>
      </w:r>
      <w:r w:rsidR="009E5CC3">
        <w:rPr>
          <w:sz w:val="20"/>
        </w:rPr>
        <w:t xml:space="preserve">nebo osmnácté </w:t>
      </w:r>
      <w:r w:rsidRPr="00430EE9">
        <w:rPr>
          <w:sz w:val="20"/>
        </w:rPr>
        <w:t>odrážce v odst. 7.2 této smlouvy,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AD4FBA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povinnost uvedenou v odst. 2.2. této smlouvy,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>V ostatním se na nájem prostorů použijí příslušná ustanovení z. č. 89/2012 Sb., občanský zákoník, s výjimkou ustanovení § 2230 a 2285 z.č. 89/2012 Sb., která se na nájem sjednaný touto smlouvou nepoužijí.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</w:t>
      </w:r>
      <w:r w:rsidR="004F4936">
        <w:rPr>
          <w:rFonts w:ascii="Times New Roman" w:hAnsi="Times New Roman" w:cs="Times New Roman"/>
          <w:b/>
          <w:sz w:val="20"/>
          <w:szCs w:val="20"/>
        </w:rPr>
        <w:t>2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</w:t>
      </w:r>
      <w:r w:rsidR="008E0D40">
        <w:rPr>
          <w:rFonts w:ascii="Times New Roman" w:hAnsi="Times New Roman" w:cs="Times New Roman"/>
          <w:sz w:val="20"/>
          <w:szCs w:val="20"/>
        </w:rPr>
        <w:t>dpisu oběma smluvními stranami, účinná je však nejdříve datem jejího zveřejnění v registru smluv dle zákona č. 340/2015 Sb.</w:t>
      </w:r>
      <w:r w:rsidR="00965330">
        <w:rPr>
          <w:rFonts w:ascii="Times New Roman" w:hAnsi="Times New Roman" w:cs="Times New Roman"/>
          <w:sz w:val="20"/>
          <w:szCs w:val="20"/>
        </w:rPr>
        <w:t xml:space="preserve"> pokud je takové zveřejnění zákonem vyžadováno.</w:t>
      </w:r>
    </w:p>
    <w:p w:rsidR="00073240" w:rsidRPr="00576EBE" w:rsidRDefault="004F4936" w:rsidP="0007324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11.3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3240" w:rsidRPr="00576EBE">
        <w:rPr>
          <w:rFonts w:ascii="Times New Roman" w:hAnsi="Times New Roman" w:cs="Times New Roman"/>
          <w:sz w:val="20"/>
          <w:szCs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073240" w:rsidRDefault="004F4936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11.4</w:t>
      </w:r>
      <w:r w:rsidR="00430EE9" w:rsidRPr="00430EE9">
        <w:rPr>
          <w:b/>
          <w:sz w:val="20"/>
        </w:rPr>
        <w:t xml:space="preserve"> </w:t>
      </w:r>
      <w:r w:rsidR="00073240" w:rsidRPr="00073240">
        <w:rPr>
          <w:sz w:val="20"/>
        </w:rPr>
        <w:t>Jakékoli změny nebo doplně</w:t>
      </w:r>
      <w:r w:rsidR="00100612">
        <w:rPr>
          <w:sz w:val="20"/>
        </w:rPr>
        <w:t xml:space="preserve">ní </w:t>
      </w:r>
      <w:r w:rsidR="00073240" w:rsidRPr="00073240">
        <w:rPr>
          <w:sz w:val="20"/>
        </w:rPr>
        <w:t>této smlouvy lze provést pouze písemně.</w:t>
      </w:r>
    </w:p>
    <w:p w:rsidR="00430EE9" w:rsidRPr="00430EE9" w:rsidRDefault="004F4936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11.5</w:t>
      </w:r>
      <w:r w:rsidR="00073240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F4936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11.6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</w:t>
      </w:r>
      <w:r w:rsidR="007759DB">
        <w:rPr>
          <w:sz w:val="20"/>
        </w:rPr>
        <w:t xml:space="preserve">užby v odst. 5.4.1 písm. </w:t>
      </w:r>
      <w:r w:rsidR="006F2397">
        <w:rPr>
          <w:sz w:val="20"/>
        </w:rPr>
        <w:t xml:space="preserve">b), </w:t>
      </w:r>
      <w:r w:rsidR="007759DB">
        <w:rPr>
          <w:sz w:val="20"/>
        </w:rPr>
        <w:t>e) až n</w:t>
      </w:r>
      <w:r w:rsidRPr="00430EE9">
        <w:rPr>
          <w:sz w:val="20"/>
        </w:rPr>
        <w:t>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287542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287542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287542">
        <w:rPr>
          <w:rFonts w:ascii="Times New Roman" w:hAnsi="Times New Roman" w:cs="Times New Roman"/>
          <w:sz w:val="20"/>
          <w:szCs w:val="20"/>
        </w:rPr>
        <w:t xml:space="preserve"> Digital 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="00287542">
        <w:rPr>
          <w:rFonts w:ascii="Times New Roman" w:hAnsi="Times New Roman" w:cs="Times New Roman"/>
          <w:sz w:val="20"/>
          <w:szCs w:val="20"/>
        </w:rPr>
        <w:tab/>
      </w:r>
      <w:r w:rsidR="00287542">
        <w:rPr>
          <w:rFonts w:ascii="Times New Roman" w:hAnsi="Times New Roman" w:cs="Times New Roman"/>
          <w:sz w:val="20"/>
          <w:szCs w:val="20"/>
        </w:rPr>
        <w:tab/>
      </w:r>
      <w:r w:rsidR="00287542">
        <w:rPr>
          <w:rFonts w:ascii="Times New Roman" w:hAnsi="Times New Roman" w:cs="Times New Roman"/>
          <w:sz w:val="20"/>
          <w:szCs w:val="20"/>
        </w:rPr>
        <w:tab/>
      </w:r>
      <w:r w:rsidR="00287542">
        <w:rPr>
          <w:rFonts w:ascii="Times New Roman" w:hAnsi="Times New Roman" w:cs="Times New Roman"/>
          <w:sz w:val="20"/>
          <w:szCs w:val="20"/>
        </w:rPr>
        <w:tab/>
      </w:r>
      <w:r w:rsidR="00287542">
        <w:rPr>
          <w:rFonts w:ascii="Times New Roman" w:hAnsi="Times New Roman" w:cs="Times New Roman"/>
          <w:sz w:val="20"/>
          <w:szCs w:val="20"/>
        </w:rPr>
        <w:tab/>
        <w:t>Jiří Horák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430EE9" w:rsidRPr="00B84D76" w:rsidRDefault="00430EE9" w:rsidP="00B84D7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287542">
        <w:rPr>
          <w:rFonts w:ascii="Times New Roman" w:hAnsi="Times New Roman" w:cs="Times New Roman"/>
          <w:sz w:val="20"/>
          <w:szCs w:val="20"/>
        </w:rPr>
        <w:t>jednatel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sectPr w:rsidR="00430EE9" w:rsidRPr="00B84D76" w:rsidSect="00F51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BA" w:rsidRDefault="007E11BA" w:rsidP="003E5479">
      <w:pPr>
        <w:spacing w:after="0" w:line="240" w:lineRule="auto"/>
      </w:pPr>
      <w:r>
        <w:separator/>
      </w:r>
    </w:p>
  </w:endnote>
  <w:endnote w:type="continuationSeparator" w:id="0">
    <w:p w:rsidR="007E11BA" w:rsidRDefault="007E11BA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3E3972">
        <w:pPr>
          <w:pStyle w:val="Zpat"/>
          <w:jc w:val="center"/>
        </w:pPr>
        <w:r>
          <w:fldChar w:fldCharType="begin"/>
        </w:r>
        <w:r w:rsidR="00746447">
          <w:instrText>PAGE   \* MERGEFORMAT</w:instrText>
        </w:r>
        <w:r>
          <w:fldChar w:fldCharType="separate"/>
        </w:r>
        <w:r w:rsidR="00627062">
          <w:rPr>
            <w:noProof/>
          </w:rPr>
          <w:t>1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BA" w:rsidRDefault="007E11BA" w:rsidP="003E5479">
      <w:pPr>
        <w:spacing w:after="0" w:line="240" w:lineRule="auto"/>
      </w:pPr>
      <w:r>
        <w:separator/>
      </w:r>
    </w:p>
  </w:footnote>
  <w:footnote w:type="continuationSeparator" w:id="0">
    <w:p w:rsidR="007E11BA" w:rsidRDefault="007E11BA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073240"/>
    <w:rsid w:val="00091ED6"/>
    <w:rsid w:val="00100612"/>
    <w:rsid w:val="001216FC"/>
    <w:rsid w:val="001339BB"/>
    <w:rsid w:val="00154373"/>
    <w:rsid w:val="001778E3"/>
    <w:rsid w:val="00191537"/>
    <w:rsid w:val="00192F51"/>
    <w:rsid w:val="001A1169"/>
    <w:rsid w:val="001E5D37"/>
    <w:rsid w:val="001E7A7E"/>
    <w:rsid w:val="001F706E"/>
    <w:rsid w:val="0020386D"/>
    <w:rsid w:val="0020637C"/>
    <w:rsid w:val="00236853"/>
    <w:rsid w:val="0028518C"/>
    <w:rsid w:val="00287542"/>
    <w:rsid w:val="002A6F2B"/>
    <w:rsid w:val="002A7862"/>
    <w:rsid w:val="002E056D"/>
    <w:rsid w:val="00301ED8"/>
    <w:rsid w:val="00314858"/>
    <w:rsid w:val="00317CC3"/>
    <w:rsid w:val="0034337D"/>
    <w:rsid w:val="0034368D"/>
    <w:rsid w:val="00344279"/>
    <w:rsid w:val="0039086E"/>
    <w:rsid w:val="00390CDE"/>
    <w:rsid w:val="0039289A"/>
    <w:rsid w:val="003E3972"/>
    <w:rsid w:val="003E5479"/>
    <w:rsid w:val="00403DF1"/>
    <w:rsid w:val="004206A3"/>
    <w:rsid w:val="00427167"/>
    <w:rsid w:val="00430EE9"/>
    <w:rsid w:val="00443202"/>
    <w:rsid w:val="004665FC"/>
    <w:rsid w:val="004D6DDB"/>
    <w:rsid w:val="004F4936"/>
    <w:rsid w:val="005032B8"/>
    <w:rsid w:val="00521539"/>
    <w:rsid w:val="00531F54"/>
    <w:rsid w:val="005675E7"/>
    <w:rsid w:val="00575F8A"/>
    <w:rsid w:val="00582E65"/>
    <w:rsid w:val="00593EB8"/>
    <w:rsid w:val="005D22AE"/>
    <w:rsid w:val="005E22EB"/>
    <w:rsid w:val="005E6B0F"/>
    <w:rsid w:val="00622BB2"/>
    <w:rsid w:val="00627062"/>
    <w:rsid w:val="00646186"/>
    <w:rsid w:val="006A2C85"/>
    <w:rsid w:val="006B2EAD"/>
    <w:rsid w:val="006C4A27"/>
    <w:rsid w:val="006D516F"/>
    <w:rsid w:val="006F2397"/>
    <w:rsid w:val="006F2E93"/>
    <w:rsid w:val="00707B8C"/>
    <w:rsid w:val="007240B5"/>
    <w:rsid w:val="00746447"/>
    <w:rsid w:val="00761A53"/>
    <w:rsid w:val="007759DB"/>
    <w:rsid w:val="007E11BA"/>
    <w:rsid w:val="00841CAC"/>
    <w:rsid w:val="00862288"/>
    <w:rsid w:val="008932E7"/>
    <w:rsid w:val="008E0D40"/>
    <w:rsid w:val="008E0FE3"/>
    <w:rsid w:val="008F0386"/>
    <w:rsid w:val="00944098"/>
    <w:rsid w:val="009464C6"/>
    <w:rsid w:val="00961290"/>
    <w:rsid w:val="00965330"/>
    <w:rsid w:val="00971207"/>
    <w:rsid w:val="00997F35"/>
    <w:rsid w:val="009B1EC8"/>
    <w:rsid w:val="009E5CC3"/>
    <w:rsid w:val="009F39E6"/>
    <w:rsid w:val="00A07235"/>
    <w:rsid w:val="00A54829"/>
    <w:rsid w:val="00A67B9A"/>
    <w:rsid w:val="00A77409"/>
    <w:rsid w:val="00AB6549"/>
    <w:rsid w:val="00AD4FBA"/>
    <w:rsid w:val="00AD6A47"/>
    <w:rsid w:val="00B0287A"/>
    <w:rsid w:val="00B0754C"/>
    <w:rsid w:val="00B07ACD"/>
    <w:rsid w:val="00B34AFD"/>
    <w:rsid w:val="00B36BB7"/>
    <w:rsid w:val="00B4592C"/>
    <w:rsid w:val="00B50ADA"/>
    <w:rsid w:val="00B84D76"/>
    <w:rsid w:val="00BD2F4E"/>
    <w:rsid w:val="00BE0312"/>
    <w:rsid w:val="00C55239"/>
    <w:rsid w:val="00C771EB"/>
    <w:rsid w:val="00C806DE"/>
    <w:rsid w:val="00C812F2"/>
    <w:rsid w:val="00CF147E"/>
    <w:rsid w:val="00D0034F"/>
    <w:rsid w:val="00D01CFB"/>
    <w:rsid w:val="00D03C37"/>
    <w:rsid w:val="00D11145"/>
    <w:rsid w:val="00D3270C"/>
    <w:rsid w:val="00D47149"/>
    <w:rsid w:val="00D93DF1"/>
    <w:rsid w:val="00D967A6"/>
    <w:rsid w:val="00DE43BA"/>
    <w:rsid w:val="00E1123D"/>
    <w:rsid w:val="00E36B4F"/>
    <w:rsid w:val="00E45145"/>
    <w:rsid w:val="00E860AD"/>
    <w:rsid w:val="00EB077C"/>
    <w:rsid w:val="00EB12D0"/>
    <w:rsid w:val="00EB524A"/>
    <w:rsid w:val="00F262BE"/>
    <w:rsid w:val="00F32BE3"/>
    <w:rsid w:val="00F51644"/>
    <w:rsid w:val="00F51959"/>
    <w:rsid w:val="00FB2A47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2C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D2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2C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D2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E066-22AB-4319-BC18-F6172841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3495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fuksa</dc:creator>
  <cp:lastModifiedBy>fuksa</cp:lastModifiedBy>
  <cp:revision>15</cp:revision>
  <cp:lastPrinted>2020-09-01T12:48:00Z</cp:lastPrinted>
  <dcterms:created xsi:type="dcterms:W3CDTF">2020-08-04T06:55:00Z</dcterms:created>
  <dcterms:modified xsi:type="dcterms:W3CDTF">2020-09-01T13:13:00Z</dcterms:modified>
</cp:coreProperties>
</file>