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8AA" w:rsidRDefault="000E38AA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A5420F">
        <w:rPr>
          <w:rFonts w:eastAsia="Arial Unicode MS" w:cs="Arial Unicode MS"/>
          <w:b/>
          <w:sz w:val="26"/>
          <w:szCs w:val="26"/>
          <w:lang w:val="cs-CZ"/>
        </w:rPr>
        <w:t>6</w:t>
      </w:r>
    </w:p>
    <w:p w:rsidR="000A5FC8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 w:rsidR="000E38AA"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</w:t>
      </w:r>
      <w:r w:rsidR="002F65CE">
        <w:rPr>
          <w:rFonts w:eastAsia="Arial Unicode MS" w:cs="Arial Unicode MS"/>
          <w:b/>
          <w:sz w:val="26"/>
          <w:szCs w:val="26"/>
          <w:lang w:val="cs-CZ"/>
        </w:rPr>
        <w:t xml:space="preserve"> ZC/0719001</w:t>
      </w:r>
    </w:p>
    <w:p w:rsidR="00D56C93" w:rsidRPr="00436D4D" w:rsidRDefault="00D56C93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Smlouva objednavatele č. </w:t>
      </w:r>
      <w:r w:rsidR="00B6430B">
        <w:rPr>
          <w:rFonts w:eastAsia="Arial Unicode MS" w:cs="Arial Unicode MS"/>
          <w:b/>
          <w:sz w:val="26"/>
          <w:szCs w:val="26"/>
          <w:lang w:val="cs-CZ"/>
        </w:rPr>
        <w:t>0904</w:t>
      </w:r>
      <w:r>
        <w:rPr>
          <w:rFonts w:eastAsia="Arial Unicode MS" w:cs="Arial Unicode MS"/>
          <w:b/>
          <w:sz w:val="26"/>
          <w:szCs w:val="26"/>
          <w:lang w:val="cs-CZ"/>
        </w:rPr>
        <w:t>/19/06/PO</w:t>
      </w:r>
    </w:p>
    <w:p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  <w:t>o poskytnutí služeb v</w:t>
      </w:r>
      <w:r w:rsidR="000E38AA">
        <w:rPr>
          <w:rFonts w:eastAsia="Arial Unicode MS" w:cs="Arial Unicode MS"/>
          <w:b/>
          <w:sz w:val="21"/>
          <w:szCs w:val="21"/>
          <w:lang w:val="cs-CZ"/>
        </w:rPr>
        <w:t> </w:t>
      </w:r>
      <w:r>
        <w:rPr>
          <w:rFonts w:eastAsia="Arial Unicode MS" w:cs="Arial Unicode MS"/>
          <w:b/>
          <w:sz w:val="21"/>
          <w:szCs w:val="21"/>
          <w:lang w:val="cs-CZ"/>
        </w:rPr>
        <w:t>odpadovém hospodářství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obchodním rejstříku vedeným Krajským soudem v</w:t>
      </w:r>
      <w:r w:rsidR="000E38AA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Plzni, oddíl C, vložka 22669</w:t>
      </w:r>
    </w:p>
    <w:p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28046153</w:t>
      </w:r>
    </w:p>
    <w:p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:rsidR="000A5FC8" w:rsidRPr="005C4A09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FF1F9A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 – </w:t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J</w:t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ižní předměstí, Edvarda Beneše 1128/13, PSČ 30599</w:t>
      </w:r>
    </w:p>
    <w:p w:rsidR="008D7327" w:rsidRPr="00FF1F9A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FF1F9A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:rsidR="009C1988" w:rsidRDefault="00BA4B85" w:rsidP="009C1988">
      <w:pPr>
        <w:rPr>
          <w:color w:val="1F497D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BE0F8B">
        <w:rPr>
          <w:rFonts w:asciiTheme="minorHAnsi" w:eastAsia="Arial Unicode MS" w:hAnsiTheme="minorHAnsi" w:cstheme="minorHAnsi"/>
          <w:sz w:val="20"/>
          <w:szCs w:val="20"/>
          <w:lang w:val="cs-CZ"/>
        </w:rPr>
        <w:t>viz tabulka</w:t>
      </w:r>
    </w:p>
    <w:p w:rsidR="009C1988" w:rsidRPr="00F5492E" w:rsidRDefault="009C1988" w:rsidP="009C1988">
      <w:pPr>
        <w:rPr>
          <w:color w:val="1F497D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3828"/>
        <w:gridCol w:w="1837"/>
      </w:tblGrid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 w:eastAsia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Název provozovny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Adresa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IČP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Bory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1128/13, 305 99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1000100651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Areál Lochotín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Alej Svobody 923/80, 323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1000100677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Lékařská genetika a autodoprava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E. Beneše 525/19, 310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1000100669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Detašované pracoviště GPK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Bedřicha Smetany 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118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Soudní lékařství FN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Karlovarská 585/48,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116</w:t>
            </w:r>
          </w:p>
        </w:tc>
      </w:tr>
      <w:tr w:rsidR="009C1988" w:rsidRPr="00F5492E" w:rsidTr="00F5492E">
        <w:tc>
          <w:tcPr>
            <w:tcW w:w="33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Transfúzní oddělení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ul. 17. listopadu 12, 301 00 Plzeň</w:t>
            </w:r>
          </w:p>
        </w:tc>
        <w:tc>
          <w:tcPr>
            <w:tcW w:w="1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988" w:rsidRPr="00F5492E" w:rsidRDefault="009C1988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F5492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115</w:t>
            </w:r>
          </w:p>
        </w:tc>
      </w:tr>
    </w:tbl>
    <w:p w:rsidR="009C1988" w:rsidRPr="00F5492E" w:rsidRDefault="009C1988">
      <w:pPr>
        <w:rPr>
          <w:rFonts w:asciiTheme="minorHAnsi" w:eastAsia="Arial Unicode MS" w:hAnsiTheme="minorHAnsi" w:cstheme="minorHAnsi"/>
          <w:sz w:val="12"/>
          <w:szCs w:val="12"/>
          <w:lang w:val="cs-CZ"/>
        </w:rPr>
      </w:pPr>
    </w:p>
    <w:p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77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77D2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3D77D2">
        <w:rPr>
          <w:rStyle w:val="Hypertextovodkaz"/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1F9A" w:rsidRPr="008E28C2">
        <w:rPr>
          <w:rFonts w:asciiTheme="minorHAnsi" w:eastAsia="Arial Unicode MS" w:hAnsiTheme="minorHAnsi" w:cstheme="minorHAnsi"/>
          <w:sz w:val="20"/>
          <w:szCs w:val="20"/>
          <w:lang w:val="cs-CZ"/>
        </w:rPr>
        <w:t>pbvtj63</w:t>
      </w:r>
    </w:p>
    <w:p w:rsidR="000D4FAA" w:rsidRPr="005C4A09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ředitelem MUDr. Václavem Šimánkem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,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Ph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9A0B33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C51B2E">
        <w:rPr>
          <w:rFonts w:asciiTheme="minorHAnsi" w:eastAsia="Arial Unicode MS" w:hAnsiTheme="minorHAnsi" w:cstheme="minorHAnsi"/>
          <w:sz w:val="20"/>
          <w:szCs w:val="20"/>
          <w:lang w:val="cs-CZ"/>
        </w:rPr>
        <w:t>.</w:t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FF01EC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0E38AA" w:rsidRDefault="000E38A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Úprava smlouvy</w:t>
      </w:r>
    </w:p>
    <w:p w:rsidR="00D7734D" w:rsidRPr="003A7095" w:rsidRDefault="0019686A" w:rsidP="003A7095">
      <w:pPr>
        <w:pStyle w:val="Odstavecseseznamem"/>
        <w:numPr>
          <w:ilvl w:val="0"/>
          <w:numId w:val="41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smluvní strany se dohodli na změně specifikace a rozsahu splnění dle článku č II smlouvy o poskytnutí služeb v odpadovém hospodářství číslo ZC/0719001, číslo sml. objednatele 0904/19/06/PO ze dne 19.7.2019.  Nové znění specifikace rozsahu splnění je uvedeno v článku č. II tohoto dodatku.</w:t>
      </w:r>
    </w:p>
    <w:p w:rsidR="002C5570" w:rsidRPr="005C4A09" w:rsidRDefault="002C5570" w:rsidP="003A7095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Pr="005C4A09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Specifikace rozsahu plnění, specifikace nádob, adresa stanoviště nádob, je součástí obchodního tajemství. Další služby nad rámec specifikace rozsahu plnění je možné objednat telefonicky na zákaznické lince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 800 44 11 11 a následně potvrdit e-mailem na adresu sdělenou </w:t>
      </w:r>
      <w:r w:rsidR="00A32243"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Poskytovatel</w:t>
      </w: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em.</w:t>
      </w:r>
    </w:p>
    <w:p w:rsidR="0049028D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387F61" w:rsidRDefault="00387F61" w:rsidP="005C4A09">
      <w:pPr>
        <w:numPr>
          <w:ilvl w:val="0"/>
          <w:numId w:val="39"/>
        </w:num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Změnu rozsahu plnění spočívající ve snížení počtu nádob lze realizovat nejdříve 3 měsíce ode dne přistavení příslušné konkrétní nádoby.</w:t>
      </w:r>
    </w:p>
    <w:p w:rsidR="000E38AA" w:rsidRDefault="000E38AA" w:rsidP="000E38AA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bookmarkEnd w:id="0"/>
    <w:p w:rsidR="0019686A" w:rsidRDefault="003D77D2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1" w:name="_GoBack"/>
      <w:bookmarkEnd w:id="1"/>
    </w:p>
    <w:p w:rsidR="0019686A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19686A" w:rsidRPr="005C4A09" w:rsidRDefault="0019686A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lastRenderedPageBreak/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:rsidR="0019686A" w:rsidRDefault="0019686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:rsidR="0019686A" w:rsidRPr="003A7095" w:rsidRDefault="0019686A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Všechna ostatní ustanovení smlouvy zůstávají beze změny.</w:t>
      </w:r>
    </w:p>
    <w:p w:rsidR="002D3C2F" w:rsidRPr="003A7095" w:rsidRDefault="002D3C2F" w:rsidP="003A7095">
      <w:pPr>
        <w:pStyle w:val="Odstavecseseznamem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2D3C2F" w:rsidRPr="003A7095" w:rsidRDefault="002D3C2F" w:rsidP="003A7095">
      <w:pPr>
        <w:pStyle w:val="Odstavecseseznamem"/>
        <w:numPr>
          <w:ilvl w:val="0"/>
          <w:numId w:val="42"/>
        </w:numPr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>Smluvní strany berou na vědomí, že pokud tento dodatek splní podmínky pro uveřejnění dle zákona č. 340/2015 Sb, o registru smluv, podléhá uveřejnění prostřednictvím registru smluv. Smluvní strany se dohodli, že smlouvu k uveřejnění prostřednictvím registru zašle správci poskytovatel.</w:t>
      </w:r>
    </w:p>
    <w:p w:rsidR="00A32243" w:rsidRPr="003A7095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95BFA" w:rsidRPr="003A7095" w:rsidRDefault="00A32243" w:rsidP="003A7095">
      <w:pPr>
        <w:pStyle w:val="Odstavecseseznamem"/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382536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1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A5420F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9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8D0323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B186B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20</w:t>
      </w:r>
      <w:r w:rsidR="00895BFA" w:rsidRPr="003A709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:rsidR="00895BFA" w:rsidRDefault="00895BFA" w:rsidP="00895BFA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ento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dodatek 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je vyhotoven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A32243" w:rsidRPr="005C4A09" w:rsidRDefault="00A32243" w:rsidP="003A7095">
      <w:pPr>
        <w:numPr>
          <w:ilvl w:val="0"/>
          <w:numId w:val="42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ohoto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, že j</w:t>
      </w:r>
      <w:r w:rsidR="0019686A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ej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podpisy. </w:t>
      </w:r>
    </w:p>
    <w:p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:rsidR="008D7327" w:rsidRPr="005C4A09" w:rsidRDefault="008D7327" w:rsidP="0049028D">
      <w:pPr>
        <w:ind w:left="792"/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A5420F">
        <w:rPr>
          <w:rStyle w:val="Zdraznnjemn"/>
          <w:rFonts w:asciiTheme="minorHAnsi" w:eastAsia="Arial Unicode MS" w:hAnsiTheme="minorHAnsi" w:cstheme="minorHAnsi"/>
          <w:sz w:val="20"/>
          <w:szCs w:val="20"/>
        </w:rPr>
        <w:t>25</w:t>
      </w:r>
      <w:r w:rsidR="00BB7039">
        <w:rPr>
          <w:rStyle w:val="Zdraznnjemn"/>
          <w:rFonts w:asciiTheme="minorHAnsi" w:eastAsia="Arial Unicode MS" w:hAnsiTheme="minorHAnsi" w:cstheme="minorHAnsi"/>
          <w:sz w:val="20"/>
          <w:szCs w:val="20"/>
        </w:rPr>
        <w:t>.</w:t>
      </w:r>
      <w:r w:rsidR="00A5420F">
        <w:rPr>
          <w:rStyle w:val="Zdraznnjemn"/>
          <w:rFonts w:asciiTheme="minorHAnsi" w:eastAsia="Arial Unicode MS" w:hAnsiTheme="minorHAnsi" w:cstheme="minorHAnsi"/>
          <w:sz w:val="20"/>
          <w:szCs w:val="20"/>
        </w:rPr>
        <w:t>8</w:t>
      </w:r>
      <w:r w:rsidR="0019686A">
        <w:rPr>
          <w:rStyle w:val="Zdraznnjemn"/>
          <w:rFonts w:asciiTheme="minorHAnsi" w:eastAsia="Arial Unicode MS" w:hAnsiTheme="minorHAnsi" w:cstheme="minorHAnsi"/>
          <w:sz w:val="20"/>
          <w:szCs w:val="20"/>
        </w:rPr>
        <w:t>.20</w:t>
      </w:r>
      <w:r w:rsidR="00A946F0">
        <w:rPr>
          <w:rStyle w:val="Zdraznnjemn"/>
          <w:rFonts w:asciiTheme="minorHAnsi" w:eastAsia="Arial Unicode MS" w:hAnsiTheme="minorHAnsi" w:cstheme="minorHAnsi"/>
          <w:sz w:val="20"/>
          <w:szCs w:val="20"/>
        </w:rPr>
        <w:t>20</w:t>
      </w:r>
    </w:p>
    <w:p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Poskytovatel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p w:rsidR="00636D71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029DC"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 xml:space="preserve">    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A0B33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Fakultní nemocnice Plzeň</w:t>
      </w:r>
    </w:p>
    <w:p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D4" w:rsidRDefault="005350D4" w:rsidP="00760C88">
      <w:r>
        <w:separator/>
      </w:r>
    </w:p>
  </w:endnote>
  <w:endnote w:type="continuationSeparator" w:id="0">
    <w:p w:rsidR="005350D4" w:rsidRDefault="005350D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374820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374820">
          <w:rPr>
            <w:b/>
            <w:bCs/>
            <w:noProof/>
            <w:sz w:val="16"/>
            <w:szCs w:val="16"/>
          </w:rPr>
          <w:t>2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D4" w:rsidRDefault="005350D4" w:rsidP="00760C88">
      <w:r>
        <w:separator/>
      </w:r>
    </w:p>
  </w:footnote>
  <w:footnote w:type="continuationSeparator" w:id="0">
    <w:p w:rsidR="005350D4" w:rsidRDefault="005350D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B0C6F"/>
    <w:multiLevelType w:val="hybridMultilevel"/>
    <w:tmpl w:val="1E6A2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5928D0"/>
    <w:multiLevelType w:val="hybridMultilevel"/>
    <w:tmpl w:val="C6764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7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9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41"/>
  </w:num>
  <w:num w:numId="34">
    <w:abstractNumId w:val="14"/>
  </w:num>
  <w:num w:numId="35">
    <w:abstractNumId w:val="17"/>
  </w:num>
  <w:num w:numId="36">
    <w:abstractNumId w:val="40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  <w:num w:numId="41">
    <w:abstractNumId w:val="3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D"/>
    <w:rsid w:val="00017A1E"/>
    <w:rsid w:val="000238CB"/>
    <w:rsid w:val="00046BF9"/>
    <w:rsid w:val="000A5FC8"/>
    <w:rsid w:val="000D4FAA"/>
    <w:rsid w:val="000D78B1"/>
    <w:rsid w:val="000E38AA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9686A"/>
    <w:rsid w:val="001A4099"/>
    <w:rsid w:val="001F2F95"/>
    <w:rsid w:val="00210C2E"/>
    <w:rsid w:val="00232299"/>
    <w:rsid w:val="002431D1"/>
    <w:rsid w:val="002463A4"/>
    <w:rsid w:val="00263B53"/>
    <w:rsid w:val="00265293"/>
    <w:rsid w:val="00274BAB"/>
    <w:rsid w:val="002767BF"/>
    <w:rsid w:val="0029400B"/>
    <w:rsid w:val="002A1DA2"/>
    <w:rsid w:val="002A6287"/>
    <w:rsid w:val="002C5570"/>
    <w:rsid w:val="002D3C2F"/>
    <w:rsid w:val="002D5621"/>
    <w:rsid w:val="002E1462"/>
    <w:rsid w:val="002F65CE"/>
    <w:rsid w:val="00322B3E"/>
    <w:rsid w:val="00336C11"/>
    <w:rsid w:val="00346398"/>
    <w:rsid w:val="00350441"/>
    <w:rsid w:val="00350BBD"/>
    <w:rsid w:val="00366B96"/>
    <w:rsid w:val="00374820"/>
    <w:rsid w:val="00382536"/>
    <w:rsid w:val="00387F61"/>
    <w:rsid w:val="003A221B"/>
    <w:rsid w:val="003A7095"/>
    <w:rsid w:val="003B33C5"/>
    <w:rsid w:val="003D77D2"/>
    <w:rsid w:val="00417891"/>
    <w:rsid w:val="00420811"/>
    <w:rsid w:val="00426F84"/>
    <w:rsid w:val="0043289E"/>
    <w:rsid w:val="00436D4D"/>
    <w:rsid w:val="004403E8"/>
    <w:rsid w:val="00441FA5"/>
    <w:rsid w:val="00455A68"/>
    <w:rsid w:val="00462FDE"/>
    <w:rsid w:val="004756D5"/>
    <w:rsid w:val="004877BB"/>
    <w:rsid w:val="0049028D"/>
    <w:rsid w:val="004A1E67"/>
    <w:rsid w:val="004B45ED"/>
    <w:rsid w:val="004B54EF"/>
    <w:rsid w:val="004D5573"/>
    <w:rsid w:val="004E3617"/>
    <w:rsid w:val="004E5A9C"/>
    <w:rsid w:val="00502881"/>
    <w:rsid w:val="005273CC"/>
    <w:rsid w:val="00530FEF"/>
    <w:rsid w:val="005350D4"/>
    <w:rsid w:val="0053656D"/>
    <w:rsid w:val="005368BE"/>
    <w:rsid w:val="00564633"/>
    <w:rsid w:val="00564F59"/>
    <w:rsid w:val="00572CF8"/>
    <w:rsid w:val="00577E77"/>
    <w:rsid w:val="0059653E"/>
    <w:rsid w:val="005C4A09"/>
    <w:rsid w:val="005C6518"/>
    <w:rsid w:val="005E3CDF"/>
    <w:rsid w:val="005F0CB3"/>
    <w:rsid w:val="005F18D3"/>
    <w:rsid w:val="006121C5"/>
    <w:rsid w:val="00625AC2"/>
    <w:rsid w:val="00636D71"/>
    <w:rsid w:val="00650861"/>
    <w:rsid w:val="00694185"/>
    <w:rsid w:val="006A73B8"/>
    <w:rsid w:val="006C016D"/>
    <w:rsid w:val="006D46E8"/>
    <w:rsid w:val="006E7692"/>
    <w:rsid w:val="006F5642"/>
    <w:rsid w:val="007009B3"/>
    <w:rsid w:val="00701283"/>
    <w:rsid w:val="0072674B"/>
    <w:rsid w:val="00734ABF"/>
    <w:rsid w:val="00745A6B"/>
    <w:rsid w:val="00760C88"/>
    <w:rsid w:val="00775030"/>
    <w:rsid w:val="007A16C6"/>
    <w:rsid w:val="007A680F"/>
    <w:rsid w:val="007C1D56"/>
    <w:rsid w:val="007C2988"/>
    <w:rsid w:val="007D23C6"/>
    <w:rsid w:val="007D7BF2"/>
    <w:rsid w:val="008137D5"/>
    <w:rsid w:val="00814605"/>
    <w:rsid w:val="0083359E"/>
    <w:rsid w:val="00841E9A"/>
    <w:rsid w:val="008616DC"/>
    <w:rsid w:val="00875346"/>
    <w:rsid w:val="00882457"/>
    <w:rsid w:val="008826C4"/>
    <w:rsid w:val="00895BFA"/>
    <w:rsid w:val="008A1DEC"/>
    <w:rsid w:val="008A51FD"/>
    <w:rsid w:val="008B16B8"/>
    <w:rsid w:val="008B186B"/>
    <w:rsid w:val="008D0323"/>
    <w:rsid w:val="008D7327"/>
    <w:rsid w:val="008E28C2"/>
    <w:rsid w:val="00901956"/>
    <w:rsid w:val="009031C8"/>
    <w:rsid w:val="00940C84"/>
    <w:rsid w:val="0094196F"/>
    <w:rsid w:val="009441BE"/>
    <w:rsid w:val="00966067"/>
    <w:rsid w:val="0097511C"/>
    <w:rsid w:val="00983D1A"/>
    <w:rsid w:val="009A0B33"/>
    <w:rsid w:val="009B18CC"/>
    <w:rsid w:val="009C1988"/>
    <w:rsid w:val="009D1785"/>
    <w:rsid w:val="009D5BF8"/>
    <w:rsid w:val="009E7081"/>
    <w:rsid w:val="009F0B60"/>
    <w:rsid w:val="009F2166"/>
    <w:rsid w:val="009F2E7F"/>
    <w:rsid w:val="00A029DC"/>
    <w:rsid w:val="00A06B74"/>
    <w:rsid w:val="00A07BCB"/>
    <w:rsid w:val="00A11D75"/>
    <w:rsid w:val="00A32243"/>
    <w:rsid w:val="00A32327"/>
    <w:rsid w:val="00A32D81"/>
    <w:rsid w:val="00A5420F"/>
    <w:rsid w:val="00A5720D"/>
    <w:rsid w:val="00A946F0"/>
    <w:rsid w:val="00AB7D01"/>
    <w:rsid w:val="00AC18AB"/>
    <w:rsid w:val="00AE28E1"/>
    <w:rsid w:val="00AE31B9"/>
    <w:rsid w:val="00B43B79"/>
    <w:rsid w:val="00B50986"/>
    <w:rsid w:val="00B53406"/>
    <w:rsid w:val="00B6430B"/>
    <w:rsid w:val="00B71508"/>
    <w:rsid w:val="00B76391"/>
    <w:rsid w:val="00B96170"/>
    <w:rsid w:val="00BA4B85"/>
    <w:rsid w:val="00BA4D35"/>
    <w:rsid w:val="00BB7039"/>
    <w:rsid w:val="00BC0D67"/>
    <w:rsid w:val="00BD411A"/>
    <w:rsid w:val="00BE0F8B"/>
    <w:rsid w:val="00C0435A"/>
    <w:rsid w:val="00C101A1"/>
    <w:rsid w:val="00C20B4F"/>
    <w:rsid w:val="00C41778"/>
    <w:rsid w:val="00C44FBF"/>
    <w:rsid w:val="00C47F6E"/>
    <w:rsid w:val="00C51B2E"/>
    <w:rsid w:val="00C51B73"/>
    <w:rsid w:val="00C6283E"/>
    <w:rsid w:val="00C66A82"/>
    <w:rsid w:val="00C7116C"/>
    <w:rsid w:val="00C85617"/>
    <w:rsid w:val="00CB6719"/>
    <w:rsid w:val="00CD3F53"/>
    <w:rsid w:val="00CE669B"/>
    <w:rsid w:val="00D05BBC"/>
    <w:rsid w:val="00D12A83"/>
    <w:rsid w:val="00D25F14"/>
    <w:rsid w:val="00D56C93"/>
    <w:rsid w:val="00D70496"/>
    <w:rsid w:val="00D7668A"/>
    <w:rsid w:val="00D7734D"/>
    <w:rsid w:val="00DA0FE3"/>
    <w:rsid w:val="00DB3B5B"/>
    <w:rsid w:val="00DE0A10"/>
    <w:rsid w:val="00DE26CB"/>
    <w:rsid w:val="00DF3650"/>
    <w:rsid w:val="00E01963"/>
    <w:rsid w:val="00E1562C"/>
    <w:rsid w:val="00E66A34"/>
    <w:rsid w:val="00E71F7F"/>
    <w:rsid w:val="00EB6671"/>
    <w:rsid w:val="00F06BA9"/>
    <w:rsid w:val="00F5492E"/>
    <w:rsid w:val="00F706F5"/>
    <w:rsid w:val="00FD75C9"/>
    <w:rsid w:val="00FF01EC"/>
    <w:rsid w:val="00FF1F9A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EDD34-A7BB-4181-A4A5-EBD5A636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62FDE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9E708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1135D-2AEC-445F-A472-509D02F5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3</cp:revision>
  <cp:lastPrinted>2020-08-31T06:54:00Z</cp:lastPrinted>
  <dcterms:created xsi:type="dcterms:W3CDTF">2020-08-31T06:54:00Z</dcterms:created>
  <dcterms:modified xsi:type="dcterms:W3CDTF">2020-08-31T07:02:00Z</dcterms:modified>
</cp:coreProperties>
</file>