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3134" w:rsidRDefault="00E346D6">
      <w:pPr>
        <w:pStyle w:val="Style9"/>
        <w:keepNext/>
        <w:keepLines/>
        <w:shd w:val="clear" w:color="auto" w:fill="auto"/>
      </w:pPr>
      <w:bookmarkStart w:id="0" w:name="bookmark0"/>
      <w:bookmarkStart w:id="1" w:name="bookmark1"/>
      <w:bookmarkStart w:id="2" w:name="bookmark2"/>
      <w:r>
        <w:t>POJISTNÁ SMLOUVA</w:t>
      </w:r>
      <w:bookmarkEnd w:id="0"/>
      <w:bookmarkEnd w:id="1"/>
      <w:bookmarkEnd w:id="2"/>
    </w:p>
    <w:p w:rsidR="00413134" w:rsidRDefault="00E346D6">
      <w:pPr>
        <w:pStyle w:val="Style9"/>
        <w:keepNext/>
        <w:keepLines/>
        <w:shd w:val="clear" w:color="auto" w:fill="auto"/>
      </w:pPr>
      <w:bookmarkStart w:id="3" w:name="bookmark3"/>
      <w:bookmarkStart w:id="4" w:name="bookmark4"/>
      <w:bookmarkStart w:id="5" w:name="bookmark5"/>
      <w:r>
        <w:t>č.2735902042</w:t>
      </w:r>
      <w:bookmarkEnd w:id="3"/>
      <w:bookmarkEnd w:id="4"/>
      <w:bookmarkEnd w:id="5"/>
    </w:p>
    <w:p w:rsidR="00413134" w:rsidRDefault="00E346D6">
      <w:pPr>
        <w:pStyle w:val="Style4"/>
        <w:shd w:val="clear" w:color="auto" w:fill="auto"/>
        <w:spacing w:after="580"/>
        <w:ind w:left="4720"/>
      </w:pPr>
      <w:r>
        <w:t>Pojistná smlouva č. NM 200 852</w:t>
      </w:r>
    </w:p>
    <w:p w:rsidR="00413134" w:rsidRDefault="00E346D6">
      <w:pPr>
        <w:pStyle w:val="Style16"/>
        <w:keepNext/>
        <w:keepLines/>
        <w:shd w:val="clear" w:color="auto" w:fill="auto"/>
      </w:pPr>
      <w:bookmarkStart w:id="6" w:name="bookmark8"/>
      <w:r>
        <w:t>Pojistitel:</w:t>
      </w:r>
      <w:bookmarkEnd w:id="6"/>
    </w:p>
    <w:p w:rsidR="00413134" w:rsidRDefault="00E346D6">
      <w:pPr>
        <w:pStyle w:val="Style16"/>
        <w:keepNext/>
        <w:keepLines/>
        <w:shd w:val="clear" w:color="auto" w:fill="auto"/>
      </w:pPr>
      <w:bookmarkStart w:id="7" w:name="bookmark6"/>
      <w:bookmarkStart w:id="8" w:name="bookmark7"/>
      <w:bookmarkStart w:id="9" w:name="bookmark9"/>
      <w:r>
        <w:t>UNIQA pojišťovna, a.s.</w:t>
      </w:r>
      <w:bookmarkEnd w:id="7"/>
      <w:bookmarkEnd w:id="8"/>
      <w:bookmarkEnd w:id="9"/>
    </w:p>
    <w:p w:rsidR="00413134" w:rsidRDefault="00E346D6">
      <w:pPr>
        <w:pStyle w:val="Style2"/>
        <w:shd w:val="clear" w:color="auto" w:fill="auto"/>
        <w:spacing w:after="0" w:line="312" w:lineRule="auto"/>
      </w:pPr>
      <w:r>
        <w:t>Evropská 136</w:t>
      </w:r>
    </w:p>
    <w:p w:rsidR="00413134" w:rsidRDefault="00E346D6">
      <w:pPr>
        <w:pStyle w:val="Style2"/>
        <w:shd w:val="clear" w:color="auto" w:fill="auto"/>
        <w:spacing w:after="0" w:line="312" w:lineRule="auto"/>
      </w:pPr>
      <w:r>
        <w:t>160 12 Praha 6</w:t>
      </w:r>
    </w:p>
    <w:p w:rsidR="00413134" w:rsidRDefault="00E346D6">
      <w:pPr>
        <w:pStyle w:val="Style2"/>
        <w:shd w:val="clear" w:color="auto" w:fill="auto"/>
        <w:spacing w:after="0" w:line="312" w:lineRule="auto"/>
      </w:pPr>
      <w:r>
        <w:t>IČ; 49240480</w:t>
      </w:r>
    </w:p>
    <w:p w:rsidR="00413134" w:rsidRDefault="00E346D6">
      <w:pPr>
        <w:pStyle w:val="Style2"/>
        <w:shd w:val="clear" w:color="auto" w:fill="auto"/>
        <w:spacing w:after="240" w:line="312" w:lineRule="auto"/>
      </w:pPr>
      <w:r>
        <w:t>Zapsaná v obchodním rejstříku vedeném u Městského soudu v Praze, oddíl B, vložka 2012.</w:t>
      </w:r>
    </w:p>
    <w:p w:rsidR="00413134" w:rsidRDefault="00E346D6">
      <w:pPr>
        <w:pStyle w:val="Style16"/>
        <w:keepNext/>
        <w:keepLines/>
        <w:shd w:val="clear" w:color="auto" w:fill="auto"/>
      </w:pPr>
      <w:bookmarkStart w:id="10" w:name="bookmark12"/>
      <w:r>
        <w:t>Pojistník:</w:t>
      </w:r>
      <w:bookmarkEnd w:id="10"/>
    </w:p>
    <w:p w:rsidR="00413134" w:rsidRDefault="00E346D6">
      <w:pPr>
        <w:pStyle w:val="Style16"/>
        <w:keepNext/>
        <w:keepLines/>
        <w:shd w:val="clear" w:color="auto" w:fill="auto"/>
      </w:pPr>
      <w:bookmarkStart w:id="11" w:name="bookmark10"/>
      <w:bookmarkStart w:id="12" w:name="bookmark11"/>
      <w:bookmarkStart w:id="13" w:name="bookmark13"/>
      <w:r>
        <w:t>Národní muzeum</w:t>
      </w:r>
      <w:bookmarkEnd w:id="11"/>
      <w:bookmarkEnd w:id="12"/>
      <w:bookmarkEnd w:id="13"/>
    </w:p>
    <w:p w:rsidR="00413134" w:rsidRDefault="00E346D6">
      <w:pPr>
        <w:pStyle w:val="Style2"/>
        <w:shd w:val="clear" w:color="auto" w:fill="auto"/>
        <w:spacing w:after="0" w:line="312" w:lineRule="auto"/>
      </w:pPr>
      <w:r>
        <w:t>Václavské nám. 68</w:t>
      </w:r>
    </w:p>
    <w:p w:rsidR="00413134" w:rsidRDefault="00E346D6">
      <w:pPr>
        <w:pStyle w:val="Style2"/>
        <w:shd w:val="clear" w:color="auto" w:fill="auto"/>
        <w:spacing w:after="0" w:line="312" w:lineRule="auto"/>
      </w:pPr>
      <w:r>
        <w:t>115 79 Praha 1</w:t>
      </w:r>
    </w:p>
    <w:p w:rsidR="00413134" w:rsidRDefault="00E346D6">
      <w:pPr>
        <w:pStyle w:val="Style2"/>
        <w:shd w:val="clear" w:color="auto" w:fill="auto"/>
        <w:spacing w:after="240" w:line="312" w:lineRule="auto"/>
      </w:pPr>
      <w:r>
        <w:t>IČ; 000 23 272</w:t>
      </w:r>
    </w:p>
    <w:p w:rsidR="00413134" w:rsidRDefault="00E346D6">
      <w:pPr>
        <w:pStyle w:val="Style16"/>
        <w:keepNext/>
        <w:keepLines/>
        <w:shd w:val="clear" w:color="auto" w:fill="auto"/>
      </w:pPr>
      <w:bookmarkStart w:id="14" w:name="bookmark16"/>
      <w:r>
        <w:t>Pojištěný:</w:t>
      </w:r>
      <w:bookmarkEnd w:id="14"/>
    </w:p>
    <w:p w:rsidR="00413134" w:rsidRDefault="00E346D6">
      <w:pPr>
        <w:pStyle w:val="Style16"/>
        <w:keepNext/>
        <w:keepLines/>
        <w:shd w:val="clear" w:color="auto" w:fill="auto"/>
      </w:pPr>
      <w:bookmarkStart w:id="15" w:name="bookmark14"/>
      <w:bookmarkStart w:id="16" w:name="bookmark15"/>
      <w:bookmarkStart w:id="17" w:name="bookmark17"/>
      <w:r>
        <w:t>Národní muzeum</w:t>
      </w:r>
      <w:bookmarkEnd w:id="15"/>
      <w:bookmarkEnd w:id="16"/>
      <w:bookmarkEnd w:id="17"/>
    </w:p>
    <w:p w:rsidR="00413134" w:rsidRDefault="00E346D6">
      <w:pPr>
        <w:pStyle w:val="Style2"/>
        <w:shd w:val="clear" w:color="auto" w:fill="auto"/>
        <w:spacing w:after="0" w:line="312" w:lineRule="auto"/>
      </w:pPr>
      <w:r>
        <w:t>Václavské nám. 68</w:t>
      </w:r>
    </w:p>
    <w:p w:rsidR="00413134" w:rsidRDefault="00E346D6">
      <w:pPr>
        <w:pStyle w:val="Style2"/>
        <w:shd w:val="clear" w:color="auto" w:fill="auto"/>
        <w:spacing w:after="0" w:line="312" w:lineRule="auto"/>
      </w:pPr>
      <w:r>
        <w:t>115 79 Praha 1</w:t>
      </w:r>
    </w:p>
    <w:p w:rsidR="00413134" w:rsidRDefault="00E346D6">
      <w:pPr>
        <w:pStyle w:val="Style2"/>
        <w:shd w:val="clear" w:color="auto" w:fill="auto"/>
        <w:spacing w:after="240" w:line="312" w:lineRule="auto"/>
      </w:pPr>
      <w:r>
        <w:t>IČ: 000 23 272</w:t>
      </w:r>
    </w:p>
    <w:p w:rsidR="00413134" w:rsidRDefault="00E346D6">
      <w:pPr>
        <w:pStyle w:val="Style16"/>
        <w:keepNext/>
        <w:keepLines/>
        <w:shd w:val="clear" w:color="auto" w:fill="auto"/>
      </w:pPr>
      <w:bookmarkStart w:id="18" w:name="bookmark20"/>
      <w:r>
        <w:t>Oprávněná osoba:</w:t>
      </w:r>
      <w:bookmarkEnd w:id="18"/>
    </w:p>
    <w:p w:rsidR="00413134" w:rsidRDefault="00E346D6">
      <w:pPr>
        <w:pStyle w:val="Style16"/>
        <w:keepNext/>
        <w:keepLines/>
        <w:shd w:val="clear" w:color="auto" w:fill="auto"/>
      </w:pPr>
      <w:bookmarkStart w:id="19" w:name="bookmark18"/>
      <w:bookmarkStart w:id="20" w:name="bookmark19"/>
      <w:bookmarkStart w:id="21" w:name="bookmark21"/>
      <w:r>
        <w:t>Národní muzeum</w:t>
      </w:r>
      <w:bookmarkEnd w:id="19"/>
      <w:bookmarkEnd w:id="20"/>
      <w:bookmarkEnd w:id="21"/>
    </w:p>
    <w:p w:rsidR="00413134" w:rsidRDefault="00E346D6">
      <w:pPr>
        <w:pStyle w:val="Style2"/>
        <w:shd w:val="clear" w:color="auto" w:fill="auto"/>
        <w:spacing w:after="0" w:line="312" w:lineRule="auto"/>
      </w:pPr>
      <w:r>
        <w:t>Václavské nám. 68</w:t>
      </w:r>
    </w:p>
    <w:p w:rsidR="00413134" w:rsidRDefault="00E346D6">
      <w:pPr>
        <w:pStyle w:val="Style2"/>
        <w:shd w:val="clear" w:color="auto" w:fill="auto"/>
        <w:spacing w:after="0" w:line="312" w:lineRule="auto"/>
      </w:pPr>
      <w:r>
        <w:t>115 79 Praha 1</w:t>
      </w:r>
    </w:p>
    <w:p w:rsidR="00413134" w:rsidRDefault="00E346D6">
      <w:pPr>
        <w:pStyle w:val="Style2"/>
        <w:shd w:val="clear" w:color="auto" w:fill="auto"/>
        <w:spacing w:after="240" w:line="312" w:lineRule="auto"/>
      </w:pPr>
      <w:r>
        <w:t>IČ: 000 23 272</w:t>
      </w:r>
    </w:p>
    <w:p w:rsidR="00413134" w:rsidRDefault="00E346D6">
      <w:pPr>
        <w:pStyle w:val="Style16"/>
        <w:keepNext/>
        <w:keepLines/>
        <w:shd w:val="clear" w:color="auto" w:fill="auto"/>
        <w:spacing w:after="240"/>
        <w:jc w:val="center"/>
      </w:pPr>
      <w:bookmarkStart w:id="22" w:name="bookmark22"/>
      <w:bookmarkStart w:id="23" w:name="bookmark23"/>
      <w:bookmarkStart w:id="24" w:name="bookmark24"/>
      <w:r>
        <w:t xml:space="preserve">uzavírají tuto pojistnou smlouvu o pojištění </w:t>
      </w:r>
      <w:r>
        <w:t>odpovědnosti.</w:t>
      </w:r>
      <w:bookmarkEnd w:id="22"/>
      <w:bookmarkEnd w:id="23"/>
      <w:bookmarkEnd w:id="24"/>
    </w:p>
    <w:p w:rsidR="00413134" w:rsidRDefault="00E346D6">
      <w:pPr>
        <w:pStyle w:val="Style2"/>
        <w:shd w:val="clear" w:color="auto" w:fill="auto"/>
        <w:spacing w:after="0" w:line="312" w:lineRule="auto"/>
      </w:pPr>
      <w:r>
        <w:t xml:space="preserve">Odchylně od znění článku 4 Všeobecných pojistných </w:t>
      </w:r>
      <w:proofErr w:type="gramStart"/>
      <w:r>
        <w:t>podmínek - obecná</w:t>
      </w:r>
      <w:proofErr w:type="gramEnd"/>
      <w:r>
        <w:t xml:space="preserve"> část UCZ/14 se ujednává, že pojištění vzniká dnem uvedeným v této pojistné smlouvě.</w:t>
      </w:r>
    </w:p>
    <w:p w:rsidR="00413134" w:rsidRDefault="00E346D6">
      <w:pPr>
        <w:pStyle w:val="Style2"/>
        <w:shd w:val="clear" w:color="auto" w:fill="auto"/>
        <w:spacing w:after="0" w:line="312" w:lineRule="auto"/>
      </w:pPr>
      <w:r>
        <w:t xml:space="preserve">Je-li pojistná smlouva uzavírána po datu počátku pojištění, pojištění vzniká pouze tehdy, </w:t>
      </w:r>
      <w:r>
        <w:t>pokud pojistník podepíše pojistnou smlouvu nejpozději do 14 dnů od podpisu pojistitelem a neprodleně ji doručí zpět pojistiteli.</w:t>
      </w:r>
    </w:p>
    <w:p w:rsidR="00413134" w:rsidRDefault="00E346D6">
      <w:pPr>
        <w:pStyle w:val="Style2"/>
        <w:shd w:val="clear" w:color="auto" w:fill="auto"/>
        <w:tabs>
          <w:tab w:val="left" w:pos="2016"/>
        </w:tabs>
        <w:spacing w:after="0" w:line="312" w:lineRule="auto"/>
      </w:pPr>
      <w:r>
        <w:t>Počátek pojištění:</w:t>
      </w:r>
      <w:r>
        <w:tab/>
        <w:t>1.1.2021</w:t>
      </w:r>
    </w:p>
    <w:p w:rsidR="00413134" w:rsidRDefault="00E346D6">
      <w:pPr>
        <w:pStyle w:val="Style2"/>
        <w:shd w:val="clear" w:color="auto" w:fill="auto"/>
        <w:tabs>
          <w:tab w:val="left" w:pos="2016"/>
        </w:tabs>
        <w:spacing w:after="240" w:line="312" w:lineRule="auto"/>
      </w:pPr>
      <w:r>
        <w:t>Konec pojištění:</w:t>
      </w:r>
      <w:r>
        <w:tab/>
        <w:t>1.1.2025 bez automatického prodlužování</w:t>
      </w:r>
      <w:r>
        <w:br w:type="page"/>
      </w:r>
    </w:p>
    <w:p w:rsidR="00413134" w:rsidRDefault="00E346D6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254000" distL="0" distR="0" simplePos="0" relativeHeight="125829378" behindDoc="0" locked="0" layoutInCell="1" allowOverlap="1">
                <wp:simplePos x="0" y="0"/>
                <wp:positionH relativeFrom="page">
                  <wp:posOffset>894715</wp:posOffset>
                </wp:positionH>
                <wp:positionV relativeFrom="paragraph">
                  <wp:posOffset>0</wp:posOffset>
                </wp:positionV>
                <wp:extent cx="926465" cy="158750"/>
                <wp:effectExtent l="0" t="0" r="0" b="0"/>
                <wp:wrapTopAndBottom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6465" cy="1587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13134" w:rsidRDefault="00E346D6">
                            <w:pPr>
                              <w:pStyle w:val="Style2"/>
                              <w:shd w:val="clear" w:color="auto" w:fill="auto"/>
                              <w:spacing w:after="0" w:line="240" w:lineRule="auto"/>
                            </w:pPr>
                            <w:r>
                              <w:t>Pojistné období: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70.450000000000003pt;margin-top:0;width:72.950000000000003pt;height:12.5pt;z-index:-125829375;mso-wrap-distance-left:0;mso-wrap-distance-right:0;mso-wrap-distance-bottom:20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Pojistné období: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254000" distL="0" distR="0" simplePos="0" relativeHeight="125829380" behindDoc="0" locked="0" layoutInCell="1" allowOverlap="1">
                <wp:simplePos x="0" y="0"/>
                <wp:positionH relativeFrom="page">
                  <wp:posOffset>2199005</wp:posOffset>
                </wp:positionH>
                <wp:positionV relativeFrom="paragraph">
                  <wp:posOffset>0</wp:posOffset>
                </wp:positionV>
                <wp:extent cx="777240" cy="158750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240" cy="1587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13134" w:rsidRDefault="00E346D6">
                            <w:pPr>
                              <w:pStyle w:val="Style2"/>
                              <w:shd w:val="clear" w:color="auto" w:fill="auto"/>
                              <w:spacing w:after="0" w:line="240" w:lineRule="auto"/>
                            </w:pPr>
                            <w:r>
                              <w:rPr>
                                <w:lang w:val="en-US" w:eastAsia="en-US" w:bidi="en-US"/>
                              </w:rPr>
                              <w:t xml:space="preserve">1 </w:t>
                            </w:r>
                            <w:r>
                              <w:t>pojistný rok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173.15000000000001pt;margin-top:0;width:61.200000000000003pt;height:12.5pt;z-index:-125829373;mso-wrap-distance-left:0;mso-wrap-distance-right:0;mso-wrap-distance-bottom:20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 xml:space="preserve">1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pojistný rok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413134" w:rsidRDefault="00E346D6">
      <w:pPr>
        <w:pStyle w:val="Style2"/>
        <w:shd w:val="clear" w:color="auto" w:fill="auto"/>
        <w:spacing w:after="160" w:line="312" w:lineRule="auto"/>
        <w:jc w:val="both"/>
      </w:pPr>
      <w:r>
        <w:rPr>
          <w:b/>
          <w:bCs/>
        </w:rPr>
        <w:t xml:space="preserve">Pojištěné předměty podnikání: </w:t>
      </w:r>
      <w:r>
        <w:t>dle zřizovací listiny v příloze</w:t>
      </w:r>
    </w:p>
    <w:p w:rsidR="00413134" w:rsidRDefault="00E346D6">
      <w:pPr>
        <w:pStyle w:val="Style2"/>
        <w:shd w:val="clear" w:color="auto" w:fill="auto"/>
        <w:spacing w:after="0" w:line="312" w:lineRule="auto"/>
        <w:jc w:val="both"/>
      </w:pPr>
      <w:r>
        <w:rPr>
          <w:b/>
          <w:bCs/>
        </w:rPr>
        <w:t xml:space="preserve">Základní pojištění odpovědnosti - </w:t>
      </w:r>
      <w:r>
        <w:t>v rozsahu článku 3 doplňkových pojistných podmínek pro pojištění odpovědnosti podnikatele a právnické osoby - UCZ/</w:t>
      </w:r>
      <w:proofErr w:type="spellStart"/>
      <w:r>
        <w:t>Odp</w:t>
      </w:r>
      <w:proofErr w:type="spellEnd"/>
      <w:r>
        <w:t xml:space="preserve">-P/14 (dále </w:t>
      </w:r>
      <w:proofErr w:type="gramStart"/>
      <w:r>
        <w:t>jen ,,UCZ</w:t>
      </w:r>
      <w:proofErr w:type="gramEnd"/>
      <w:r>
        <w:t>/</w:t>
      </w:r>
      <w:proofErr w:type="spellStart"/>
      <w:r>
        <w:t>Odp</w:t>
      </w:r>
      <w:proofErr w:type="spellEnd"/>
      <w:r>
        <w:t>-P/14'‘), včetně</w:t>
      </w:r>
    </w:p>
    <w:p w:rsidR="00413134" w:rsidRDefault="00E346D6">
      <w:pPr>
        <w:pStyle w:val="Style2"/>
        <w:numPr>
          <w:ilvl w:val="0"/>
          <w:numId w:val="1"/>
        </w:numPr>
        <w:shd w:val="clear" w:color="auto" w:fill="auto"/>
        <w:tabs>
          <w:tab w:val="left" w:pos="264"/>
        </w:tabs>
        <w:spacing w:after="0" w:line="312" w:lineRule="auto"/>
        <w:jc w:val="both"/>
      </w:pPr>
      <w:r>
        <w:t>n</w:t>
      </w:r>
      <w:r>
        <w:t>áhrady nákladů vynaložených zdravotní pojišťovnou za zdravotní péči ve prospěch třetí osoby</w:t>
      </w:r>
    </w:p>
    <w:p w:rsidR="00413134" w:rsidRDefault="00E346D6">
      <w:pPr>
        <w:pStyle w:val="Style2"/>
        <w:numPr>
          <w:ilvl w:val="0"/>
          <w:numId w:val="1"/>
        </w:numPr>
        <w:shd w:val="clear" w:color="auto" w:fill="auto"/>
        <w:tabs>
          <w:tab w:val="left" w:pos="264"/>
        </w:tabs>
        <w:spacing w:after="280" w:line="312" w:lineRule="auto"/>
        <w:ind w:left="280" w:hanging="280"/>
        <w:jc w:val="both"/>
      </w:pPr>
      <w:r>
        <w:t>náhrady nákladů vynaložených zdravotní pojišťovnou na zdravotní péči ve prospěch pracovníka pojištěného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16"/>
        <w:gridCol w:w="7262"/>
      </w:tblGrid>
      <w:tr w:rsidR="00413134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2016" w:type="dxa"/>
            <w:shd w:val="clear" w:color="auto" w:fill="FFFFFF"/>
          </w:tcPr>
          <w:p w:rsidR="00413134" w:rsidRDefault="00E346D6">
            <w:pPr>
              <w:pStyle w:val="Style19"/>
              <w:shd w:val="clear" w:color="auto" w:fill="auto"/>
              <w:spacing w:after="0" w:line="240" w:lineRule="auto"/>
            </w:pPr>
            <w:r>
              <w:t>Limit plnění v Kč:</w:t>
            </w:r>
          </w:p>
        </w:tc>
        <w:tc>
          <w:tcPr>
            <w:tcW w:w="7262" w:type="dxa"/>
            <w:shd w:val="clear" w:color="auto" w:fill="FFFFFF"/>
          </w:tcPr>
          <w:p w:rsidR="00413134" w:rsidRDefault="00576322">
            <w:pPr>
              <w:pStyle w:val="Style19"/>
              <w:shd w:val="clear" w:color="auto" w:fill="auto"/>
              <w:spacing w:after="0" w:line="240" w:lineRule="auto"/>
              <w:ind w:firstLine="180"/>
            </w:pPr>
            <w:r>
              <w:t>XXXXXXX</w:t>
            </w:r>
          </w:p>
        </w:tc>
      </w:tr>
      <w:tr w:rsidR="00413134">
        <w:tblPrEx>
          <w:tblCellMar>
            <w:top w:w="0" w:type="dxa"/>
            <w:bottom w:w="0" w:type="dxa"/>
          </w:tblCellMar>
        </w:tblPrEx>
        <w:trPr>
          <w:trHeight w:hRule="exact" w:val="566"/>
          <w:jc w:val="center"/>
        </w:trPr>
        <w:tc>
          <w:tcPr>
            <w:tcW w:w="2016" w:type="dxa"/>
            <w:shd w:val="clear" w:color="auto" w:fill="FFFFFF"/>
          </w:tcPr>
          <w:p w:rsidR="00413134" w:rsidRDefault="00E346D6">
            <w:pPr>
              <w:pStyle w:val="Style19"/>
              <w:shd w:val="clear" w:color="auto" w:fill="auto"/>
              <w:spacing w:after="0" w:line="240" w:lineRule="auto"/>
            </w:pPr>
            <w:r>
              <w:rPr>
                <w:lang w:val="en-US" w:eastAsia="en-US" w:bidi="en-US"/>
              </w:rPr>
              <w:t xml:space="preserve">Sublimit </w:t>
            </w:r>
            <w:r>
              <w:t>plnění v Kč:</w:t>
            </w:r>
          </w:p>
        </w:tc>
        <w:tc>
          <w:tcPr>
            <w:tcW w:w="7262" w:type="dxa"/>
            <w:shd w:val="clear" w:color="auto" w:fill="FFFFFF"/>
            <w:vAlign w:val="bottom"/>
          </w:tcPr>
          <w:p w:rsidR="00413134" w:rsidRDefault="00576322">
            <w:pPr>
              <w:pStyle w:val="Style19"/>
              <w:shd w:val="clear" w:color="auto" w:fill="auto"/>
              <w:spacing w:after="0"/>
              <w:ind w:left="180"/>
            </w:pPr>
            <w:r>
              <w:t>XXXXXXX</w:t>
            </w:r>
            <w:r w:rsidR="00E346D6">
              <w:t xml:space="preserve"> pro náhradu nákladů vynaložených zdravotní pojišťovnou za zdravotní péči ve prospěch třetí osoby a ve prospěch pracovníka pojištěného</w:t>
            </w:r>
          </w:p>
        </w:tc>
      </w:tr>
      <w:tr w:rsidR="00413134">
        <w:tblPrEx>
          <w:tblCellMar>
            <w:top w:w="0" w:type="dxa"/>
            <w:bottom w:w="0" w:type="dxa"/>
          </w:tblCellMar>
        </w:tblPrEx>
        <w:trPr>
          <w:trHeight w:hRule="exact" w:val="826"/>
          <w:jc w:val="center"/>
        </w:trPr>
        <w:tc>
          <w:tcPr>
            <w:tcW w:w="2016" w:type="dxa"/>
            <w:shd w:val="clear" w:color="auto" w:fill="FFFFFF"/>
          </w:tcPr>
          <w:p w:rsidR="00413134" w:rsidRDefault="00E346D6">
            <w:pPr>
              <w:pStyle w:val="Style19"/>
              <w:shd w:val="clear" w:color="auto" w:fill="auto"/>
              <w:spacing w:after="0" w:line="240" w:lineRule="auto"/>
            </w:pPr>
            <w:r>
              <w:t>Spoluúčast v Kč:</w:t>
            </w:r>
          </w:p>
        </w:tc>
        <w:tc>
          <w:tcPr>
            <w:tcW w:w="7262" w:type="dxa"/>
            <w:shd w:val="clear" w:color="auto" w:fill="FFFFFF"/>
            <w:vAlign w:val="bottom"/>
          </w:tcPr>
          <w:p w:rsidR="00413134" w:rsidRDefault="00576322">
            <w:pPr>
              <w:pStyle w:val="Style19"/>
              <w:shd w:val="clear" w:color="auto" w:fill="auto"/>
              <w:spacing w:after="0"/>
              <w:ind w:firstLine="180"/>
            </w:pPr>
            <w:r>
              <w:t>XXXXX</w:t>
            </w:r>
          </w:p>
          <w:p w:rsidR="00413134" w:rsidRDefault="00576322">
            <w:pPr>
              <w:pStyle w:val="Style19"/>
              <w:shd w:val="clear" w:color="auto" w:fill="auto"/>
              <w:spacing w:after="0"/>
              <w:ind w:left="180"/>
            </w:pPr>
            <w:r>
              <w:t>XXXXXX</w:t>
            </w:r>
            <w:r w:rsidR="00E346D6">
              <w:t xml:space="preserve"> pro náhradu nákladů vynaložených zdravotní pojišťovnou za zdravotní péči ve </w:t>
            </w:r>
            <w:r w:rsidR="00E346D6">
              <w:t>prospěch třetí osoby a ve prospěch pracovníka pojištěného</w:t>
            </w:r>
          </w:p>
        </w:tc>
      </w:tr>
      <w:tr w:rsidR="00413134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2016" w:type="dxa"/>
            <w:shd w:val="clear" w:color="auto" w:fill="FFFFFF"/>
          </w:tcPr>
          <w:p w:rsidR="00413134" w:rsidRDefault="00E346D6">
            <w:pPr>
              <w:pStyle w:val="Style19"/>
              <w:shd w:val="clear" w:color="auto" w:fill="auto"/>
              <w:spacing w:after="0" w:line="240" w:lineRule="auto"/>
            </w:pPr>
            <w:r>
              <w:t>Územní platnost:</w:t>
            </w:r>
          </w:p>
        </w:tc>
        <w:tc>
          <w:tcPr>
            <w:tcW w:w="7262" w:type="dxa"/>
            <w:shd w:val="clear" w:color="auto" w:fill="FFFFFF"/>
          </w:tcPr>
          <w:p w:rsidR="00413134" w:rsidRDefault="00E346D6">
            <w:pPr>
              <w:pStyle w:val="Style19"/>
              <w:shd w:val="clear" w:color="auto" w:fill="auto"/>
              <w:spacing w:after="0" w:line="240" w:lineRule="auto"/>
              <w:ind w:firstLine="180"/>
            </w:pPr>
            <w:r>
              <w:t>Česká republika</w:t>
            </w:r>
          </w:p>
        </w:tc>
      </w:tr>
      <w:tr w:rsidR="00413134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2016" w:type="dxa"/>
            <w:shd w:val="clear" w:color="auto" w:fill="FFFFFF"/>
          </w:tcPr>
          <w:p w:rsidR="00413134" w:rsidRDefault="00E346D6">
            <w:pPr>
              <w:pStyle w:val="Style19"/>
              <w:shd w:val="clear" w:color="auto" w:fill="auto"/>
              <w:spacing w:after="0" w:line="240" w:lineRule="auto"/>
            </w:pPr>
            <w:r>
              <w:t>Roční pojistné v Kč:</w:t>
            </w:r>
          </w:p>
        </w:tc>
        <w:tc>
          <w:tcPr>
            <w:tcW w:w="7262" w:type="dxa"/>
            <w:shd w:val="clear" w:color="auto" w:fill="FFFFFF"/>
          </w:tcPr>
          <w:p w:rsidR="00413134" w:rsidRDefault="00576322">
            <w:pPr>
              <w:pStyle w:val="Style19"/>
              <w:shd w:val="clear" w:color="auto" w:fill="auto"/>
              <w:spacing w:after="0" w:line="240" w:lineRule="auto"/>
              <w:ind w:firstLine="180"/>
            </w:pPr>
            <w:r>
              <w:t>XXXXXXX</w:t>
            </w:r>
          </w:p>
        </w:tc>
      </w:tr>
    </w:tbl>
    <w:p w:rsidR="00413134" w:rsidRDefault="00413134">
      <w:pPr>
        <w:spacing w:after="279" w:line="1" w:lineRule="exact"/>
      </w:pPr>
    </w:p>
    <w:p w:rsidR="00413134" w:rsidRDefault="00E346D6">
      <w:pPr>
        <w:pStyle w:val="Style2"/>
        <w:shd w:val="clear" w:color="auto" w:fill="auto"/>
        <w:spacing w:after="280" w:line="240" w:lineRule="auto"/>
        <w:jc w:val="both"/>
      </w:pPr>
      <w:r>
        <w:t xml:space="preserve">Další pojištěná rizika a </w:t>
      </w:r>
      <w:proofErr w:type="gramStart"/>
      <w:r>
        <w:t>nebezpečí - v</w:t>
      </w:r>
      <w:proofErr w:type="gramEnd"/>
      <w:r>
        <w:t xml:space="preserve"> rozsahu článku 4 UCZ/</w:t>
      </w:r>
      <w:proofErr w:type="spellStart"/>
      <w:r>
        <w:t>Odp</w:t>
      </w:r>
      <w:proofErr w:type="spellEnd"/>
      <w:r>
        <w:t>-P/14;</w:t>
      </w:r>
    </w:p>
    <w:p w:rsidR="00413134" w:rsidRDefault="00E346D6">
      <w:pPr>
        <w:pStyle w:val="Style21"/>
        <w:shd w:val="clear" w:color="auto" w:fill="auto"/>
        <w:ind w:left="19"/>
      </w:pPr>
      <w:r>
        <w:rPr>
          <w:b/>
          <w:bCs/>
        </w:rPr>
        <w:t>Odpovědnost za škodu na věcech převzatých (03)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16"/>
        <w:gridCol w:w="7258"/>
      </w:tblGrid>
      <w:tr w:rsidR="00413134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2016" w:type="dxa"/>
            <w:shd w:val="clear" w:color="auto" w:fill="FFFFFF"/>
          </w:tcPr>
          <w:p w:rsidR="00413134" w:rsidRDefault="00E346D6">
            <w:pPr>
              <w:pStyle w:val="Style19"/>
              <w:shd w:val="clear" w:color="auto" w:fill="auto"/>
              <w:spacing w:after="0" w:line="240" w:lineRule="auto"/>
            </w:pPr>
            <w:r>
              <w:rPr>
                <w:lang w:val="en-US" w:eastAsia="en-US" w:bidi="en-US"/>
              </w:rPr>
              <w:t xml:space="preserve">Sublimit </w:t>
            </w:r>
            <w:r>
              <w:t>plnění v Kč:</w:t>
            </w:r>
          </w:p>
        </w:tc>
        <w:tc>
          <w:tcPr>
            <w:tcW w:w="7258" w:type="dxa"/>
            <w:shd w:val="clear" w:color="auto" w:fill="FFFFFF"/>
          </w:tcPr>
          <w:p w:rsidR="00413134" w:rsidRDefault="00576322">
            <w:pPr>
              <w:pStyle w:val="Style19"/>
              <w:shd w:val="clear" w:color="auto" w:fill="auto"/>
              <w:spacing w:after="0" w:line="240" w:lineRule="auto"/>
              <w:ind w:firstLine="220"/>
            </w:pPr>
            <w:r>
              <w:t>XXXXXX</w:t>
            </w:r>
          </w:p>
        </w:tc>
      </w:tr>
      <w:tr w:rsidR="00413134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2016" w:type="dxa"/>
            <w:shd w:val="clear" w:color="auto" w:fill="FFFFFF"/>
          </w:tcPr>
          <w:p w:rsidR="00413134" w:rsidRDefault="00E346D6">
            <w:pPr>
              <w:pStyle w:val="Style19"/>
              <w:shd w:val="clear" w:color="auto" w:fill="auto"/>
              <w:spacing w:after="0" w:line="240" w:lineRule="auto"/>
            </w:pPr>
            <w:r>
              <w:t>Spoluúčast v Kč:</w:t>
            </w:r>
          </w:p>
        </w:tc>
        <w:tc>
          <w:tcPr>
            <w:tcW w:w="7258" w:type="dxa"/>
            <w:shd w:val="clear" w:color="auto" w:fill="FFFFFF"/>
          </w:tcPr>
          <w:p w:rsidR="00413134" w:rsidRDefault="00576322">
            <w:pPr>
              <w:pStyle w:val="Style19"/>
              <w:shd w:val="clear" w:color="auto" w:fill="auto"/>
              <w:spacing w:after="0" w:line="240" w:lineRule="auto"/>
              <w:ind w:firstLine="220"/>
            </w:pPr>
            <w:r>
              <w:t>XXXXXXX</w:t>
            </w:r>
          </w:p>
        </w:tc>
      </w:tr>
      <w:tr w:rsidR="00413134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2016" w:type="dxa"/>
            <w:shd w:val="clear" w:color="auto" w:fill="FFFFFF"/>
          </w:tcPr>
          <w:p w:rsidR="00413134" w:rsidRDefault="00E346D6">
            <w:pPr>
              <w:pStyle w:val="Style19"/>
              <w:shd w:val="clear" w:color="auto" w:fill="auto"/>
              <w:spacing w:after="0" w:line="240" w:lineRule="auto"/>
            </w:pPr>
            <w:r>
              <w:t>Územní platnost:</w:t>
            </w:r>
          </w:p>
        </w:tc>
        <w:tc>
          <w:tcPr>
            <w:tcW w:w="7258" w:type="dxa"/>
            <w:shd w:val="clear" w:color="auto" w:fill="FFFFFF"/>
          </w:tcPr>
          <w:p w:rsidR="00413134" w:rsidRDefault="00E346D6">
            <w:pPr>
              <w:pStyle w:val="Style19"/>
              <w:shd w:val="clear" w:color="auto" w:fill="auto"/>
              <w:spacing w:after="0" w:line="240" w:lineRule="auto"/>
              <w:ind w:firstLine="220"/>
            </w:pPr>
            <w:r>
              <w:t>Česká republika</w:t>
            </w:r>
          </w:p>
        </w:tc>
      </w:tr>
      <w:tr w:rsidR="00413134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2016" w:type="dxa"/>
            <w:shd w:val="clear" w:color="auto" w:fill="FFFFFF"/>
          </w:tcPr>
          <w:p w:rsidR="00413134" w:rsidRDefault="00E346D6">
            <w:pPr>
              <w:pStyle w:val="Style19"/>
              <w:shd w:val="clear" w:color="auto" w:fill="auto"/>
              <w:spacing w:after="0" w:line="240" w:lineRule="auto"/>
            </w:pPr>
            <w:r>
              <w:t>Roční pojistné v Kč:</w:t>
            </w:r>
          </w:p>
        </w:tc>
        <w:tc>
          <w:tcPr>
            <w:tcW w:w="7258" w:type="dxa"/>
            <w:shd w:val="clear" w:color="auto" w:fill="FFFFFF"/>
          </w:tcPr>
          <w:p w:rsidR="00413134" w:rsidRDefault="00576322">
            <w:pPr>
              <w:pStyle w:val="Style19"/>
              <w:shd w:val="clear" w:color="auto" w:fill="auto"/>
              <w:spacing w:after="0" w:line="240" w:lineRule="auto"/>
              <w:ind w:firstLine="220"/>
            </w:pPr>
            <w:r>
              <w:t>XXXXXX</w:t>
            </w:r>
          </w:p>
        </w:tc>
      </w:tr>
    </w:tbl>
    <w:p w:rsidR="00413134" w:rsidRDefault="00413134">
      <w:pPr>
        <w:spacing w:after="279" w:line="1" w:lineRule="exact"/>
      </w:pPr>
    </w:p>
    <w:p w:rsidR="00413134" w:rsidRDefault="00E346D6">
      <w:pPr>
        <w:pStyle w:val="Style16"/>
        <w:keepNext/>
        <w:keepLines/>
        <w:shd w:val="clear" w:color="auto" w:fill="auto"/>
        <w:spacing w:after="40" w:line="305" w:lineRule="auto"/>
        <w:jc w:val="both"/>
      </w:pPr>
      <w:bookmarkStart w:id="25" w:name="bookmark25"/>
      <w:bookmarkStart w:id="26" w:name="bookmark26"/>
      <w:bookmarkStart w:id="27" w:name="bookmark27"/>
      <w:r>
        <w:t>Pojištění odpovědnosti při dobrovolnické činnosti</w:t>
      </w:r>
      <w:bookmarkEnd w:id="25"/>
      <w:bookmarkEnd w:id="26"/>
      <w:bookmarkEnd w:id="27"/>
    </w:p>
    <w:p w:rsidR="00413134" w:rsidRDefault="00E346D6">
      <w:pPr>
        <w:pStyle w:val="Style2"/>
        <w:shd w:val="clear" w:color="auto" w:fill="auto"/>
        <w:spacing w:after="0"/>
        <w:jc w:val="both"/>
      </w:pPr>
      <w:r>
        <w:t>Odchylně od článku 8 odst. 1 písm. f) UCZ/</w:t>
      </w:r>
      <w:proofErr w:type="spellStart"/>
      <w:r>
        <w:t>Odp</w:t>
      </w:r>
      <w:proofErr w:type="spellEnd"/>
      <w:r>
        <w:t xml:space="preserve">/14 se ujednává, že se pojištění </w:t>
      </w:r>
      <w:r>
        <w:t>sjednává též pro případ povinnosti dobrovolníka, který má s pojištěným uzavřenou smlouvu o dobrovolnické službě ve smyslu zákona č. 198/2002 Sb. o dobrovolnické službě, nahradit škodu a při ublížení na zdraví a při usmrcení též újmu, za kterou pojištěný do</w:t>
      </w:r>
      <w:r>
        <w:t xml:space="preserve">brovolník dle platných právních předpisů odpovídá. Ujednává se, že spolupojištěná osoba, se kterou má pojištěný uzavřenu smlouvu o dobrovolnické službě, má právo, aby za ni pojistitel zaplatil z jedné škodné nebo sériové škodné události maximálně částku </w:t>
      </w:r>
      <w:proofErr w:type="gramStart"/>
      <w:r w:rsidR="00576322">
        <w:t>XXXXX</w:t>
      </w:r>
      <w:r>
        <w:t>,-</w:t>
      </w:r>
      <w:proofErr w:type="gramEnd"/>
      <w:r>
        <w:t xml:space="preserve"> Kč, přičemž plnění vyplacená za všechny škodné události všech pojištěných osob, se kterými má pojištěný uzavřenou smlouvu o dobrovolnické službě, nastalé v průběhu pojistného roku, nesmí přesáhnout dvojnásobek uvedené částky (tj. </w:t>
      </w:r>
      <w:r w:rsidR="00576322">
        <w:t>XXXXXXX</w:t>
      </w:r>
      <w:r>
        <w:t>,- Kč).</w:t>
      </w:r>
    </w:p>
    <w:p w:rsidR="00413134" w:rsidRDefault="00E346D6">
      <w:pPr>
        <w:pStyle w:val="Style2"/>
        <w:shd w:val="clear" w:color="auto" w:fill="auto"/>
        <w:spacing w:after="220"/>
        <w:jc w:val="both"/>
        <w:sectPr w:rsidR="00413134">
          <w:headerReference w:type="default" r:id="rId7"/>
          <w:footerReference w:type="default" r:id="rId8"/>
          <w:pgSz w:w="11909" w:h="16834"/>
          <w:pgMar w:top="3037" w:right="1197" w:bottom="2546" w:left="1395" w:header="0" w:footer="3" w:gutter="0"/>
          <w:pgNumType w:start="1"/>
          <w:cols w:space="720"/>
          <w:noEndnote/>
          <w:docGrid w:linePitch="360"/>
        </w:sectPr>
      </w:pPr>
      <w:r>
        <w:t xml:space="preserve">Pojištění v rozsahu tohoto ujednání se sjednává v rámci limitu plnění sjednaného pro </w:t>
      </w:r>
      <w:r>
        <w:t xml:space="preserve">základní pojištění odpovědnosti s územní platností Česká republika se spoluúčastí </w:t>
      </w:r>
      <w:r w:rsidR="00576322">
        <w:t>XXXXXX</w:t>
      </w:r>
      <w:r>
        <w:t xml:space="preserve"> Kč.</w:t>
      </w:r>
    </w:p>
    <w:p w:rsidR="00413134" w:rsidRDefault="00E346D6">
      <w:pPr>
        <w:pStyle w:val="Style2"/>
        <w:shd w:val="clear" w:color="auto" w:fill="auto"/>
        <w:spacing w:after="0"/>
        <w:jc w:val="both"/>
      </w:pPr>
      <w:r>
        <w:t>Dále se ujednává, že pojištění se sjednává též pro povinnost pojištěného nahradit škodu a při ublížení na zdraví a při usmrcení též újmu, za kterou odpovídá pojiště</w:t>
      </w:r>
      <w:r>
        <w:t>ný dobrovolníkovi, se kterým má uzavřenou smlouvu o dobrovolnické službě ve smyslu zákona č. 198/2002 Sb. o dobrovolnické službě.</w:t>
      </w:r>
    </w:p>
    <w:p w:rsidR="00413134" w:rsidRDefault="00E346D6">
      <w:pPr>
        <w:pStyle w:val="Style2"/>
        <w:shd w:val="clear" w:color="auto" w:fill="auto"/>
        <w:spacing w:after="100"/>
        <w:jc w:val="both"/>
      </w:pPr>
      <w:r>
        <w:t>Odchylně od článku 8 odstavce 5 UCZ/</w:t>
      </w:r>
      <w:proofErr w:type="spellStart"/>
      <w:r>
        <w:t>Odp</w:t>
      </w:r>
      <w:proofErr w:type="spellEnd"/>
      <w:r>
        <w:t xml:space="preserve">/14 se základní pojištění vztahuje i na povinnost pojištěného nahradit škodu a při </w:t>
      </w:r>
      <w:r>
        <w:t>ublížení na zdraví a při usmrcení též újmu způsobenou osobám pojištěným v rámci téže pojistné smlouvy (křížová odpovědnost).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30"/>
        <w:gridCol w:w="7190"/>
      </w:tblGrid>
      <w:tr w:rsidR="00413134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2030" w:type="dxa"/>
            <w:shd w:val="clear" w:color="auto" w:fill="FFFFFF"/>
          </w:tcPr>
          <w:p w:rsidR="00413134" w:rsidRDefault="00E346D6">
            <w:pPr>
              <w:pStyle w:val="Style19"/>
              <w:shd w:val="clear" w:color="auto" w:fill="auto"/>
              <w:spacing w:after="0" w:line="240" w:lineRule="auto"/>
            </w:pPr>
            <w:proofErr w:type="spellStart"/>
            <w:r>
              <w:t>Sublimit</w:t>
            </w:r>
            <w:proofErr w:type="spellEnd"/>
            <w:r>
              <w:t xml:space="preserve"> plnění v Kč:</w:t>
            </w:r>
          </w:p>
        </w:tc>
        <w:tc>
          <w:tcPr>
            <w:tcW w:w="7190" w:type="dxa"/>
            <w:shd w:val="clear" w:color="auto" w:fill="FFFFFF"/>
          </w:tcPr>
          <w:p w:rsidR="00413134" w:rsidRDefault="00576322">
            <w:pPr>
              <w:pStyle w:val="Style19"/>
              <w:shd w:val="clear" w:color="auto" w:fill="auto"/>
              <w:spacing w:after="0" w:line="240" w:lineRule="auto"/>
              <w:ind w:firstLine="180"/>
            </w:pPr>
            <w:r>
              <w:t>XXXXXXXX</w:t>
            </w:r>
          </w:p>
        </w:tc>
      </w:tr>
      <w:tr w:rsidR="00413134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2030" w:type="dxa"/>
            <w:shd w:val="clear" w:color="auto" w:fill="FFFFFF"/>
            <w:vAlign w:val="bottom"/>
          </w:tcPr>
          <w:p w:rsidR="00413134" w:rsidRDefault="00E346D6">
            <w:pPr>
              <w:pStyle w:val="Style19"/>
              <w:shd w:val="clear" w:color="auto" w:fill="auto"/>
              <w:spacing w:after="0" w:line="240" w:lineRule="auto"/>
            </w:pPr>
            <w:r>
              <w:t>Spoluúčast v Kč:</w:t>
            </w:r>
          </w:p>
        </w:tc>
        <w:tc>
          <w:tcPr>
            <w:tcW w:w="7190" w:type="dxa"/>
            <w:shd w:val="clear" w:color="auto" w:fill="FFFFFF"/>
            <w:vAlign w:val="bottom"/>
          </w:tcPr>
          <w:p w:rsidR="00413134" w:rsidRDefault="00576322">
            <w:pPr>
              <w:pStyle w:val="Style19"/>
              <w:shd w:val="clear" w:color="auto" w:fill="auto"/>
              <w:spacing w:after="0" w:line="240" w:lineRule="auto"/>
              <w:ind w:firstLine="180"/>
            </w:pPr>
            <w:r>
              <w:t>XXXXXXX</w:t>
            </w:r>
          </w:p>
        </w:tc>
      </w:tr>
      <w:tr w:rsidR="00413134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2030" w:type="dxa"/>
            <w:shd w:val="clear" w:color="auto" w:fill="FFFFFF"/>
          </w:tcPr>
          <w:p w:rsidR="00413134" w:rsidRDefault="00E346D6">
            <w:pPr>
              <w:pStyle w:val="Style19"/>
              <w:shd w:val="clear" w:color="auto" w:fill="auto"/>
              <w:spacing w:after="0" w:line="240" w:lineRule="auto"/>
            </w:pPr>
            <w:r>
              <w:t>Územní platnost:</w:t>
            </w:r>
          </w:p>
        </w:tc>
        <w:tc>
          <w:tcPr>
            <w:tcW w:w="7190" w:type="dxa"/>
            <w:shd w:val="clear" w:color="auto" w:fill="FFFFFF"/>
          </w:tcPr>
          <w:p w:rsidR="00413134" w:rsidRDefault="00E346D6">
            <w:pPr>
              <w:pStyle w:val="Style19"/>
              <w:shd w:val="clear" w:color="auto" w:fill="auto"/>
              <w:spacing w:after="0" w:line="240" w:lineRule="auto"/>
              <w:ind w:firstLine="180"/>
            </w:pPr>
            <w:r>
              <w:t>Česká republika</w:t>
            </w:r>
          </w:p>
        </w:tc>
      </w:tr>
      <w:tr w:rsidR="00413134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2030" w:type="dxa"/>
            <w:shd w:val="clear" w:color="auto" w:fill="FFFFFF"/>
          </w:tcPr>
          <w:p w:rsidR="00413134" w:rsidRDefault="00E346D6">
            <w:pPr>
              <w:pStyle w:val="Style19"/>
              <w:shd w:val="clear" w:color="auto" w:fill="auto"/>
              <w:spacing w:after="0" w:line="240" w:lineRule="auto"/>
            </w:pPr>
            <w:r>
              <w:t>Roční pojistné v Kč:</w:t>
            </w:r>
          </w:p>
        </w:tc>
        <w:tc>
          <w:tcPr>
            <w:tcW w:w="7190" w:type="dxa"/>
            <w:shd w:val="clear" w:color="auto" w:fill="FFFFFF"/>
          </w:tcPr>
          <w:p w:rsidR="00413134" w:rsidRDefault="00576322">
            <w:pPr>
              <w:pStyle w:val="Style19"/>
              <w:shd w:val="clear" w:color="auto" w:fill="auto"/>
              <w:spacing w:after="0" w:line="240" w:lineRule="auto"/>
              <w:ind w:firstLine="180"/>
            </w:pPr>
            <w:r>
              <w:t>XXXXXX</w:t>
            </w:r>
          </w:p>
        </w:tc>
      </w:tr>
    </w:tbl>
    <w:p w:rsidR="00413134" w:rsidRDefault="00413134">
      <w:pPr>
        <w:spacing w:after="279" w:line="1" w:lineRule="exact"/>
      </w:pPr>
    </w:p>
    <w:p w:rsidR="00413134" w:rsidRDefault="00E346D6">
      <w:pPr>
        <w:pStyle w:val="Style2"/>
        <w:shd w:val="clear" w:color="auto" w:fill="auto"/>
        <w:spacing w:after="0" w:line="300" w:lineRule="auto"/>
        <w:jc w:val="both"/>
      </w:pPr>
      <w:r>
        <w:rPr>
          <w:u w:val="single"/>
        </w:rPr>
        <w:t>Zvláštní ujednání</w:t>
      </w:r>
      <w:r>
        <w:t>: Roční limit plnění</w:t>
      </w:r>
    </w:p>
    <w:p w:rsidR="00413134" w:rsidRDefault="00E346D6">
      <w:pPr>
        <w:pStyle w:val="Style2"/>
        <w:shd w:val="clear" w:color="auto" w:fill="auto"/>
        <w:spacing w:after="660" w:line="300" w:lineRule="auto"/>
        <w:jc w:val="both"/>
      </w:pPr>
      <w:r>
        <w:t>Odchylně od čl. 4 odst. 6 UCZ/</w:t>
      </w:r>
      <w:proofErr w:type="spellStart"/>
      <w:r>
        <w:t>Odp</w:t>
      </w:r>
      <w:proofErr w:type="spellEnd"/>
      <w:r>
        <w:t xml:space="preserve">/14 se ujednává, že plnění vyplacená pojistitelem za všech škodných událostí vzniklých v průběhu pojistného roku nesmí přesáhnout sjednaný limit plnění, resp. </w:t>
      </w:r>
      <w:r>
        <w:rPr>
          <w:lang w:val="en-US" w:eastAsia="en-US" w:bidi="en-US"/>
        </w:rPr>
        <w:t xml:space="preserve">sublimit </w:t>
      </w:r>
      <w:r>
        <w:t>plnění.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30"/>
        <w:gridCol w:w="7190"/>
      </w:tblGrid>
      <w:tr w:rsidR="00413134">
        <w:tblPrEx>
          <w:tblCellMar>
            <w:top w:w="0" w:type="dxa"/>
            <w:bottom w:w="0" w:type="dxa"/>
          </w:tblCellMar>
        </w:tblPrEx>
        <w:trPr>
          <w:trHeight w:hRule="exact" w:val="1742"/>
          <w:jc w:val="center"/>
        </w:trPr>
        <w:tc>
          <w:tcPr>
            <w:tcW w:w="2030" w:type="dxa"/>
            <w:shd w:val="clear" w:color="auto" w:fill="FFFFFF"/>
            <w:vAlign w:val="center"/>
          </w:tcPr>
          <w:p w:rsidR="00413134" w:rsidRDefault="00E346D6">
            <w:pPr>
              <w:pStyle w:val="Style19"/>
              <w:shd w:val="clear" w:color="auto" w:fill="auto"/>
              <w:spacing w:after="0" w:line="240" w:lineRule="auto"/>
            </w:pPr>
            <w:r>
              <w:t>Odpovědnost:</w:t>
            </w:r>
          </w:p>
        </w:tc>
        <w:tc>
          <w:tcPr>
            <w:tcW w:w="7190" w:type="dxa"/>
            <w:tcBorders>
              <w:bottom w:val="single" w:sz="4" w:space="0" w:color="auto"/>
            </w:tcBorders>
            <w:shd w:val="clear" w:color="auto" w:fill="FFFFFF"/>
          </w:tcPr>
          <w:p w:rsidR="00413134" w:rsidRDefault="00E346D6">
            <w:pPr>
              <w:pStyle w:val="Style19"/>
              <w:shd w:val="clear" w:color="auto" w:fill="auto"/>
              <w:spacing w:after="280" w:line="240" w:lineRule="auto"/>
              <w:ind w:left="14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Celkové roční pojistné</w:t>
            </w:r>
          </w:p>
          <w:p w:rsidR="00413134" w:rsidRDefault="00576322">
            <w:pPr>
              <w:pStyle w:val="Style19"/>
              <w:shd w:val="clear" w:color="auto" w:fill="auto"/>
              <w:spacing w:after="680" w:line="240" w:lineRule="auto"/>
              <w:ind w:left="2000"/>
            </w:pPr>
            <w:proofErr w:type="gramStart"/>
            <w:r>
              <w:t>XXXXXXXX</w:t>
            </w:r>
            <w:r w:rsidR="00E346D6">
              <w:t>,-</w:t>
            </w:r>
            <w:proofErr w:type="gramEnd"/>
            <w:r w:rsidR="00E346D6">
              <w:t xml:space="preserve"> Kč</w:t>
            </w:r>
          </w:p>
          <w:p w:rsidR="00413134" w:rsidRDefault="00E346D6">
            <w:pPr>
              <w:pStyle w:val="Style19"/>
              <w:shd w:val="clear" w:color="auto" w:fill="auto"/>
              <w:spacing w:after="480" w:line="240" w:lineRule="auto"/>
              <w:ind w:firstLine="8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Společná a závěrečná ustanovení</w:t>
            </w:r>
          </w:p>
        </w:tc>
      </w:tr>
    </w:tbl>
    <w:p w:rsidR="00413134" w:rsidRDefault="00413134">
      <w:pPr>
        <w:spacing w:after="279" w:line="1" w:lineRule="exact"/>
      </w:pPr>
    </w:p>
    <w:p w:rsidR="00413134" w:rsidRDefault="00E346D6">
      <w:pPr>
        <w:pStyle w:val="Style2"/>
        <w:shd w:val="clear" w:color="auto" w:fill="auto"/>
        <w:tabs>
          <w:tab w:val="left" w:pos="4582"/>
        </w:tabs>
        <w:spacing w:after="0" w:line="240" w:lineRule="auto"/>
        <w:jc w:val="both"/>
      </w:pPr>
      <w:r>
        <w:rPr>
          <w:b/>
          <w:bCs/>
        </w:rPr>
        <w:t>Roční pojistné:</w:t>
      </w:r>
      <w:r>
        <w:rPr>
          <w:b/>
          <w:bCs/>
        </w:rPr>
        <w:tab/>
      </w:r>
      <w:proofErr w:type="gramStart"/>
      <w:r w:rsidR="00576322">
        <w:rPr>
          <w:b/>
          <w:bCs/>
        </w:rPr>
        <w:t>XXXXXXXXX</w:t>
      </w:r>
      <w:r>
        <w:rPr>
          <w:b/>
          <w:bCs/>
        </w:rPr>
        <w:t>,-</w:t>
      </w:r>
      <w:proofErr w:type="gramEnd"/>
      <w:r>
        <w:rPr>
          <w:b/>
          <w:bCs/>
        </w:rPr>
        <w:t xml:space="preserve"> Kč</w:t>
      </w:r>
    </w:p>
    <w:p w:rsidR="00413134" w:rsidRDefault="00E346D6">
      <w:pPr>
        <w:pStyle w:val="Style2"/>
        <w:shd w:val="clear" w:color="auto" w:fill="auto"/>
        <w:tabs>
          <w:tab w:val="left" w:pos="4582"/>
        </w:tabs>
        <w:spacing w:after="0" w:line="240" w:lineRule="auto"/>
        <w:jc w:val="both"/>
      </w:pPr>
      <w:r>
        <w:rPr>
          <w:b/>
          <w:bCs/>
        </w:rPr>
        <w:t>Pojistné za období od 1.1.2021 - 31.12.2024:</w:t>
      </w:r>
      <w:r>
        <w:rPr>
          <w:b/>
          <w:bCs/>
        </w:rPr>
        <w:tab/>
      </w:r>
      <w:proofErr w:type="gramStart"/>
      <w:r w:rsidR="00576322">
        <w:rPr>
          <w:b/>
          <w:bCs/>
        </w:rPr>
        <w:t>XXXXXXXXX</w:t>
      </w:r>
      <w:r>
        <w:rPr>
          <w:b/>
          <w:bCs/>
        </w:rPr>
        <w:t>,-</w:t>
      </w:r>
      <w:proofErr w:type="gramEnd"/>
      <w:r>
        <w:rPr>
          <w:b/>
          <w:bCs/>
        </w:rPr>
        <w:t xml:space="preserve"> Kč</w:t>
      </w:r>
    </w:p>
    <w:p w:rsidR="00413134" w:rsidRDefault="00E346D6">
      <w:pPr>
        <w:pStyle w:val="Style2"/>
        <w:shd w:val="clear" w:color="auto" w:fill="auto"/>
        <w:tabs>
          <w:tab w:val="left" w:pos="4582"/>
        </w:tabs>
        <w:spacing w:after="0" w:line="240" w:lineRule="auto"/>
        <w:jc w:val="both"/>
      </w:pPr>
      <w:r>
        <w:rPr>
          <w:b/>
          <w:bCs/>
        </w:rPr>
        <w:t>Způsob placení:</w:t>
      </w:r>
      <w:r>
        <w:rPr>
          <w:b/>
          <w:bCs/>
        </w:rPr>
        <w:tab/>
        <w:t>čtvrtletně (bez přirážky)</w:t>
      </w:r>
    </w:p>
    <w:p w:rsidR="00413134" w:rsidRDefault="00E346D6">
      <w:pPr>
        <w:pStyle w:val="Style2"/>
        <w:shd w:val="clear" w:color="auto" w:fill="auto"/>
        <w:tabs>
          <w:tab w:val="left" w:pos="4582"/>
        </w:tabs>
        <w:spacing w:after="220" w:line="240" w:lineRule="auto"/>
        <w:jc w:val="both"/>
      </w:pPr>
      <w:r>
        <w:rPr>
          <w:b/>
          <w:bCs/>
        </w:rPr>
        <w:t>Splátka pojistného:</w:t>
      </w:r>
      <w:r>
        <w:rPr>
          <w:b/>
          <w:bCs/>
        </w:rPr>
        <w:tab/>
      </w:r>
      <w:r w:rsidR="00576322">
        <w:rPr>
          <w:b/>
          <w:bCs/>
        </w:rPr>
        <w:t>XXXXXXXXX</w:t>
      </w:r>
      <w:r>
        <w:rPr>
          <w:b/>
          <w:bCs/>
        </w:rPr>
        <w:t xml:space="preserve"> Kč</w:t>
      </w:r>
    </w:p>
    <w:p w:rsidR="00413134" w:rsidRDefault="00E346D6">
      <w:pPr>
        <w:pStyle w:val="Style2"/>
        <w:shd w:val="clear" w:color="auto" w:fill="auto"/>
        <w:spacing w:after="540" w:line="240" w:lineRule="auto"/>
        <w:jc w:val="both"/>
      </w:pPr>
      <w:r>
        <w:t xml:space="preserve">Splatnost pojistného: 1.1., 1.4., 1.7., 1.10. (den a měsíc </w:t>
      </w:r>
      <w:r>
        <w:t>běžného roku).</w:t>
      </w:r>
    </w:p>
    <w:p w:rsidR="00413134" w:rsidRDefault="00E346D6">
      <w:pPr>
        <w:pStyle w:val="Style21"/>
        <w:shd w:val="clear" w:color="auto" w:fill="auto"/>
      </w:pPr>
      <w:r>
        <w:rPr>
          <w:u w:val="single"/>
        </w:rPr>
        <w:t>Pojistně bude placeno na účet pojistitele.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30"/>
        <w:gridCol w:w="7190"/>
      </w:tblGrid>
      <w:tr w:rsidR="00413134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2030" w:type="dxa"/>
            <w:tcBorders>
              <w:top w:val="single" w:sz="4" w:space="0" w:color="auto"/>
            </w:tcBorders>
            <w:shd w:val="clear" w:color="auto" w:fill="FFFFFF"/>
          </w:tcPr>
          <w:p w:rsidR="00413134" w:rsidRDefault="00E346D6">
            <w:pPr>
              <w:pStyle w:val="Style19"/>
              <w:shd w:val="clear" w:color="auto" w:fill="auto"/>
              <w:spacing w:after="0" w:line="240" w:lineRule="auto"/>
            </w:pPr>
            <w:r>
              <w:t>Peněžní ústav:</w:t>
            </w:r>
          </w:p>
        </w:tc>
        <w:tc>
          <w:tcPr>
            <w:tcW w:w="7190" w:type="dxa"/>
            <w:tcBorders>
              <w:top w:val="single" w:sz="4" w:space="0" w:color="auto"/>
            </w:tcBorders>
            <w:shd w:val="clear" w:color="auto" w:fill="FFFFFF"/>
          </w:tcPr>
          <w:p w:rsidR="00413134" w:rsidRDefault="00576322">
            <w:pPr>
              <w:pStyle w:val="Style19"/>
              <w:shd w:val="clear" w:color="auto" w:fill="auto"/>
              <w:spacing w:after="0" w:line="240" w:lineRule="auto"/>
              <w:ind w:firstLine="580"/>
            </w:pPr>
            <w:r>
              <w:rPr>
                <w:lang w:val="en-US" w:eastAsia="en-US" w:bidi="en-US"/>
              </w:rPr>
              <w:t>XXXXXXXXXXXXXXXXXXXXXXXXXXXXXXXXXXXXXX</w:t>
            </w:r>
          </w:p>
        </w:tc>
      </w:tr>
      <w:tr w:rsidR="00413134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2030" w:type="dxa"/>
            <w:shd w:val="clear" w:color="auto" w:fill="FFFFFF"/>
          </w:tcPr>
          <w:p w:rsidR="00413134" w:rsidRDefault="00E346D6">
            <w:pPr>
              <w:pStyle w:val="Style19"/>
              <w:shd w:val="clear" w:color="auto" w:fill="auto"/>
              <w:spacing w:after="0" w:line="240" w:lineRule="auto"/>
            </w:pPr>
            <w:r>
              <w:t>Číslo účtu:</w:t>
            </w:r>
          </w:p>
        </w:tc>
        <w:tc>
          <w:tcPr>
            <w:tcW w:w="7190" w:type="dxa"/>
            <w:shd w:val="clear" w:color="auto" w:fill="FFFFFF"/>
          </w:tcPr>
          <w:p w:rsidR="00413134" w:rsidRDefault="00576322">
            <w:pPr>
              <w:pStyle w:val="Style19"/>
              <w:shd w:val="clear" w:color="auto" w:fill="auto"/>
              <w:spacing w:after="0" w:line="240" w:lineRule="auto"/>
              <w:ind w:firstLine="580"/>
            </w:pPr>
            <w:r>
              <w:t>XXXXXXXXXXXXXXXXXXXXXXX</w:t>
            </w:r>
          </w:p>
        </w:tc>
      </w:tr>
      <w:tr w:rsidR="00413134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2030" w:type="dxa"/>
            <w:shd w:val="clear" w:color="auto" w:fill="FFFFFF"/>
            <w:vAlign w:val="bottom"/>
          </w:tcPr>
          <w:p w:rsidR="00413134" w:rsidRDefault="00E346D6">
            <w:pPr>
              <w:pStyle w:val="Style19"/>
              <w:shd w:val="clear" w:color="auto" w:fill="auto"/>
              <w:spacing w:after="0" w:line="240" w:lineRule="auto"/>
            </w:pPr>
            <w:r>
              <w:t>Kód banky:</w:t>
            </w:r>
          </w:p>
        </w:tc>
        <w:tc>
          <w:tcPr>
            <w:tcW w:w="7190" w:type="dxa"/>
            <w:shd w:val="clear" w:color="auto" w:fill="FFFFFF"/>
            <w:vAlign w:val="bottom"/>
          </w:tcPr>
          <w:p w:rsidR="00413134" w:rsidRDefault="00576322">
            <w:pPr>
              <w:pStyle w:val="Style19"/>
              <w:shd w:val="clear" w:color="auto" w:fill="auto"/>
              <w:spacing w:after="0" w:line="240" w:lineRule="auto"/>
              <w:ind w:firstLine="580"/>
            </w:pPr>
            <w:r>
              <w:t>XXXXXXXXXXXXXX</w:t>
            </w:r>
          </w:p>
        </w:tc>
      </w:tr>
      <w:tr w:rsidR="00413134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2030" w:type="dxa"/>
            <w:shd w:val="clear" w:color="auto" w:fill="FFFFFF"/>
          </w:tcPr>
          <w:p w:rsidR="00413134" w:rsidRDefault="00E346D6">
            <w:pPr>
              <w:pStyle w:val="Style19"/>
              <w:shd w:val="clear" w:color="auto" w:fill="auto"/>
              <w:spacing w:after="0" w:line="240" w:lineRule="auto"/>
            </w:pPr>
            <w:r>
              <w:t>Konstantní symbol:</w:t>
            </w:r>
          </w:p>
        </w:tc>
        <w:tc>
          <w:tcPr>
            <w:tcW w:w="7190" w:type="dxa"/>
            <w:shd w:val="clear" w:color="auto" w:fill="FFFFFF"/>
          </w:tcPr>
          <w:p w:rsidR="00413134" w:rsidRDefault="00576322">
            <w:pPr>
              <w:pStyle w:val="Style19"/>
              <w:shd w:val="clear" w:color="auto" w:fill="auto"/>
              <w:spacing w:after="0" w:line="240" w:lineRule="auto"/>
              <w:ind w:firstLine="580"/>
            </w:pPr>
            <w:r>
              <w:t>XXXXXXXXXXXXXX</w:t>
            </w:r>
          </w:p>
        </w:tc>
      </w:tr>
    </w:tbl>
    <w:p w:rsidR="00413134" w:rsidRDefault="00E346D6">
      <w:pPr>
        <w:pStyle w:val="Style21"/>
        <w:shd w:val="clear" w:color="auto" w:fill="auto"/>
        <w:spacing w:after="40"/>
      </w:pPr>
      <w:r>
        <w:t>Variabilní symbol:</w:t>
      </w:r>
    </w:p>
    <w:p w:rsidR="00413134" w:rsidRDefault="00E346D6">
      <w:pPr>
        <w:pStyle w:val="Style21"/>
        <w:shd w:val="clear" w:color="auto" w:fill="auto"/>
      </w:pPr>
      <w:r>
        <w:t xml:space="preserve">Za termín úhrady se považuje den, kdy </w:t>
      </w:r>
      <w:r>
        <w:t>byla částka připsána na účet pojistitele.</w:t>
      </w:r>
    </w:p>
    <w:p w:rsidR="00413134" w:rsidRDefault="00E346D6">
      <w:pPr>
        <w:pStyle w:val="Style2"/>
        <w:shd w:val="clear" w:color="auto" w:fill="auto"/>
        <w:spacing w:after="240" w:line="257" w:lineRule="auto"/>
        <w:jc w:val="both"/>
      </w:pPr>
      <w:r>
        <w:t xml:space="preserve">Správu pojištění v průběhu pojistného období bude provádět zplnomocněná pojišťovací makléřská společnost </w:t>
      </w:r>
      <w:r w:rsidR="00576322">
        <w:t>XXXXXXXXXX</w:t>
      </w:r>
      <w:r>
        <w:t xml:space="preserve">, registrační č. </w:t>
      </w:r>
      <w:r w:rsidR="00576322">
        <w:t>XXXXXXX</w:t>
      </w:r>
      <w:r>
        <w:t xml:space="preserve">, se sídlem </w:t>
      </w:r>
      <w:r w:rsidR="00576322">
        <w:t>XXXXXXXXXXXXX</w:t>
      </w:r>
    </w:p>
    <w:p w:rsidR="00413134" w:rsidRDefault="00E346D6">
      <w:pPr>
        <w:pStyle w:val="Style2"/>
        <w:shd w:val="clear" w:color="auto" w:fill="auto"/>
        <w:spacing w:after="120" w:line="240" w:lineRule="auto"/>
      </w:pPr>
      <w:r>
        <w:rPr>
          <w:u w:val="single"/>
        </w:rPr>
        <w:t>Odchylná ujednání:</w:t>
      </w:r>
    </w:p>
    <w:p w:rsidR="00413134" w:rsidRDefault="00E346D6">
      <w:pPr>
        <w:pStyle w:val="Style2"/>
        <w:shd w:val="clear" w:color="auto" w:fill="auto"/>
        <w:spacing w:after="0" w:line="240" w:lineRule="auto"/>
      </w:pPr>
      <w:r>
        <w:t>Limity plnění jsou uvažovány jako "roční".</w:t>
      </w:r>
    </w:p>
    <w:p w:rsidR="00413134" w:rsidRDefault="00E346D6">
      <w:pPr>
        <w:pStyle w:val="Style2"/>
        <w:shd w:val="clear" w:color="auto" w:fill="auto"/>
        <w:spacing w:after="120" w:line="240" w:lineRule="auto"/>
      </w:pPr>
      <w:r>
        <w:rPr>
          <w:u w:val="single"/>
        </w:rPr>
        <w:t>Sleva za příznivý škodní průběh:</w:t>
      </w:r>
    </w:p>
    <w:p w:rsidR="00413134" w:rsidRDefault="00E346D6">
      <w:pPr>
        <w:pStyle w:val="Style2"/>
        <w:shd w:val="clear" w:color="auto" w:fill="auto"/>
        <w:spacing w:after="120" w:line="240" w:lineRule="auto"/>
      </w:pPr>
      <w:r>
        <w:t>V závislosti na škodním průběhu pojištění poskytne pojistitel pojistníkovi bonifikaci, a to takto:</w:t>
      </w:r>
    </w:p>
    <w:p w:rsidR="00413134" w:rsidRDefault="00E346D6">
      <w:pPr>
        <w:pStyle w:val="Style2"/>
        <w:shd w:val="clear" w:color="auto" w:fill="auto"/>
        <w:spacing w:after="0" w:line="240" w:lineRule="auto"/>
      </w:pPr>
      <w:r>
        <w:t>Reálný škodní průběh Sleva</w:t>
      </w:r>
    </w:p>
    <w:p w:rsidR="00413134" w:rsidRDefault="00E346D6">
      <w:pPr>
        <w:pStyle w:val="Style2"/>
        <w:shd w:val="clear" w:color="auto" w:fill="auto"/>
        <w:tabs>
          <w:tab w:val="left" w:pos="2573"/>
        </w:tabs>
        <w:spacing w:after="0" w:line="240" w:lineRule="auto"/>
      </w:pPr>
      <w:proofErr w:type="gramStart"/>
      <w:r>
        <w:t>0%</w:t>
      </w:r>
      <w:proofErr w:type="gramEnd"/>
      <w:r>
        <w:tab/>
        <w:t>15%</w:t>
      </w:r>
    </w:p>
    <w:p w:rsidR="00413134" w:rsidRDefault="00E346D6">
      <w:pPr>
        <w:pStyle w:val="Style2"/>
        <w:shd w:val="clear" w:color="auto" w:fill="auto"/>
        <w:tabs>
          <w:tab w:val="left" w:pos="2573"/>
        </w:tabs>
        <w:spacing w:after="240" w:line="240" w:lineRule="auto"/>
      </w:pPr>
      <w:r>
        <w:t xml:space="preserve">do </w:t>
      </w:r>
      <w:proofErr w:type="gramStart"/>
      <w:r>
        <w:t>10%</w:t>
      </w:r>
      <w:proofErr w:type="gramEnd"/>
      <w:r>
        <w:tab/>
        <w:t>5%</w:t>
      </w:r>
    </w:p>
    <w:p w:rsidR="00413134" w:rsidRDefault="00E346D6">
      <w:pPr>
        <w:pStyle w:val="Style2"/>
        <w:shd w:val="clear" w:color="auto" w:fill="auto"/>
        <w:spacing w:after="0" w:line="254" w:lineRule="auto"/>
        <w:jc w:val="both"/>
      </w:pPr>
      <w:r>
        <w:t>Reálným škodním pr</w:t>
      </w:r>
      <w:r>
        <w:t>ůběhem za hodnocenou dobu pojištění (za pojistný neboli upisovací rok) se rozumí poměr výše zaplacených a výše nahlášených (dosud nezaplacených) pojistných událostí vždy od počátku pojištění až do konce hodnoceného období k výši spotřebovaného pojistného (</w:t>
      </w:r>
      <w:proofErr w:type="gramStart"/>
      <w:r>
        <w:t>t.j.</w:t>
      </w:r>
      <w:proofErr w:type="gramEnd"/>
      <w:r>
        <w:t xml:space="preserve"> poměrný díl pojistného odpovídající počtu uplynulých dnů) od počátku do konce hodnoceného období.</w:t>
      </w:r>
    </w:p>
    <w:p w:rsidR="00413134" w:rsidRDefault="00E346D6">
      <w:pPr>
        <w:pStyle w:val="Style2"/>
        <w:shd w:val="clear" w:color="auto" w:fill="auto"/>
        <w:spacing w:after="240" w:line="254" w:lineRule="auto"/>
        <w:jc w:val="both"/>
      </w:pPr>
      <w:r>
        <w:t>Podmínkou pro vyplacení bonifikace je uhrazení předepsaného pojistného v daném pojistném roce, resp. za vyhodnocované období. Nárok nevznikne při ukončen</w:t>
      </w:r>
      <w:r>
        <w:t>í platnosti pojistné smlouvy před uplynutím celého pojistného roku, resp. doby dané platnou pojistnou smlouvou.</w:t>
      </w:r>
    </w:p>
    <w:p w:rsidR="00413134" w:rsidRDefault="00E346D6">
      <w:pPr>
        <w:pStyle w:val="Style2"/>
        <w:shd w:val="clear" w:color="auto" w:fill="auto"/>
        <w:spacing w:after="0"/>
        <w:jc w:val="both"/>
      </w:pPr>
      <w:r>
        <w:rPr>
          <w:u w:val="single"/>
        </w:rPr>
        <w:t>Způsob likvidace pojistných událostí:</w:t>
      </w:r>
    </w:p>
    <w:p w:rsidR="00413134" w:rsidRDefault="00E346D6">
      <w:pPr>
        <w:pStyle w:val="Style2"/>
        <w:shd w:val="clear" w:color="auto" w:fill="auto"/>
        <w:spacing w:after="240"/>
        <w:jc w:val="both"/>
      </w:pPr>
      <w:r>
        <w:t xml:space="preserve">V případě vzniku pojistné události se neprodleně obraťte na nejbližší pracoviště UNIQA </w:t>
      </w:r>
      <w:r>
        <w:t>pojišťovny, a.s. nebo na telefonní linku 488 125 125. Při každém jednání uveďte číslo pojistné smlouvy, které je zároveň variabilním symbolem.</w:t>
      </w:r>
    </w:p>
    <w:p w:rsidR="00413134" w:rsidRDefault="00E346D6">
      <w:pPr>
        <w:pStyle w:val="Style2"/>
        <w:shd w:val="clear" w:color="auto" w:fill="auto"/>
        <w:spacing w:after="0"/>
      </w:pPr>
      <w:r>
        <w:rPr>
          <w:u w:val="single"/>
        </w:rPr>
        <w:t>Sankční doložka:</w:t>
      </w:r>
    </w:p>
    <w:p w:rsidR="00413134" w:rsidRDefault="00E346D6">
      <w:pPr>
        <w:pStyle w:val="Style2"/>
        <w:shd w:val="clear" w:color="auto" w:fill="auto"/>
        <w:spacing w:after="360"/>
        <w:jc w:val="both"/>
      </w:pPr>
      <w:r>
        <w:t>Bez ohledu na všechna ostatní ustanovení této smlouvy pojistitel neposkytne pojistné plnění či j</w:t>
      </w:r>
      <w:r>
        <w:t>akékoliv jiné plnění z pojištění, pokud by takový postup byl v rozporu s ekonomickými, obchodními nebo finančními sankcemi a/nebo embargy Rady bezpečnosti OSN, Evropské unie nebo jakýmikoliv vnitrostátními právními předpisy či právními předpisy Evropské un</w:t>
      </w:r>
      <w:r>
        <w:t>ie, které se vztahují na účastníky tohoto pojištění. To platí také pro hospodářské, obchodní nebo finanční sankce a/nebo embarga vydaná Spojenými státy americkými nebo jinými zeměmi, není-li to v rozporu s právními předpisy Evropské unie nebo vnitrostátním</w:t>
      </w:r>
      <w:r>
        <w:t>i právními předpisy.</w:t>
      </w:r>
    </w:p>
    <w:p w:rsidR="00413134" w:rsidRDefault="00E346D6">
      <w:pPr>
        <w:pStyle w:val="Style2"/>
        <w:shd w:val="clear" w:color="auto" w:fill="auto"/>
        <w:spacing w:after="0"/>
        <w:jc w:val="both"/>
      </w:pPr>
      <w:r>
        <w:t>Pojistná smlouva obsahuje 6 listů a přílohu (zřizovací listina) a je na základě dohody smluvních stran vyhotovena v elektronické podobě ve formátu PDF, přičemž původ a integrita elektronického vyhotovení této smlouvy, jakož i totožnost</w:t>
      </w:r>
      <w:r>
        <w:t xml:space="preserve"> jednajících osob, jsou zaručeny elektronickými podpisy smluvních stran, resp. osob oprávněných za smluvní stranu tuto smlouvu uzavřít. Každá ze smluvních stran obdrží originál pojistné smlouvy v elektronické podobě.</w:t>
      </w:r>
    </w:p>
    <w:p w:rsidR="00413134" w:rsidRDefault="00E346D6">
      <w:pPr>
        <w:pStyle w:val="Style2"/>
        <w:shd w:val="clear" w:color="auto" w:fill="auto"/>
        <w:spacing w:after="180"/>
        <w:jc w:val="both"/>
      </w:pPr>
      <w:r>
        <w:t>Veškeré změny a doplňky pojistné smlouv</w:t>
      </w:r>
      <w:r>
        <w:t>y lze činit pouze formou písemných číslovaných dodatků, a to v elektronické podobě ve formátu PDF, který bude opatřen elektronickými podpisy smluvních stran, resp. osob oprávněných za smluvní stranu dodatek uzavřít.</w:t>
      </w:r>
    </w:p>
    <w:p w:rsidR="00576322" w:rsidRDefault="00E346D6" w:rsidP="00576322">
      <w:pPr>
        <w:pStyle w:val="Style2"/>
        <w:shd w:val="clear" w:color="auto" w:fill="auto"/>
        <w:tabs>
          <w:tab w:val="left" w:pos="6098"/>
        </w:tabs>
        <w:spacing w:after="0" w:line="240" w:lineRule="auto"/>
        <w:jc w:val="both"/>
      </w:pPr>
      <w:r>
        <w:t xml:space="preserve">V Praze, dne </w:t>
      </w:r>
      <w:r>
        <w:rPr>
          <w:lang w:val="en-US" w:eastAsia="en-US" w:bidi="en-US"/>
        </w:rPr>
        <w:t xml:space="preserve">(viz </w:t>
      </w:r>
      <w:r>
        <w:t xml:space="preserve">elektronický </w:t>
      </w:r>
      <w:r>
        <w:t>podpis)</w:t>
      </w:r>
    </w:p>
    <w:p w:rsidR="00576322" w:rsidRDefault="00576322" w:rsidP="00576322">
      <w:pPr>
        <w:pStyle w:val="Style2"/>
        <w:shd w:val="clear" w:color="auto" w:fill="auto"/>
        <w:tabs>
          <w:tab w:val="left" w:pos="6098"/>
        </w:tabs>
        <w:spacing w:after="0" w:line="240" w:lineRule="auto"/>
        <w:jc w:val="both"/>
      </w:pPr>
    </w:p>
    <w:p w:rsidR="00576322" w:rsidRDefault="00576322" w:rsidP="00576322">
      <w:pPr>
        <w:pStyle w:val="Style2"/>
        <w:shd w:val="clear" w:color="auto" w:fill="auto"/>
        <w:tabs>
          <w:tab w:val="left" w:pos="6098"/>
        </w:tabs>
        <w:spacing w:after="0" w:line="240" w:lineRule="auto"/>
        <w:jc w:val="both"/>
      </w:pPr>
    </w:p>
    <w:p w:rsidR="00413134" w:rsidRDefault="00E346D6" w:rsidP="00576322">
      <w:pPr>
        <w:pStyle w:val="Style2"/>
        <w:shd w:val="clear" w:color="auto" w:fill="auto"/>
        <w:tabs>
          <w:tab w:val="left" w:pos="6098"/>
        </w:tabs>
        <w:spacing w:after="0" w:line="240" w:lineRule="auto"/>
        <w:jc w:val="both"/>
      </w:pPr>
      <w:r>
        <w:tab/>
      </w:r>
    </w:p>
    <w:p w:rsidR="00413134" w:rsidRDefault="00E346D6">
      <w:pPr>
        <w:pStyle w:val="Style2"/>
        <w:shd w:val="clear" w:color="auto" w:fill="auto"/>
        <w:tabs>
          <w:tab w:val="left" w:pos="6394"/>
        </w:tabs>
        <w:spacing w:after="0" w:line="240" w:lineRule="auto"/>
        <w:ind w:left="3760"/>
      </w:pPr>
      <w:r>
        <w:t>M</w:t>
      </w:r>
      <w:r>
        <w:t xml:space="preserve">ichal </w:t>
      </w:r>
      <w:proofErr w:type="spellStart"/>
      <w:r>
        <w:t>Dachovský</w:t>
      </w:r>
      <w:proofErr w:type="spellEnd"/>
      <w:r>
        <w:tab/>
        <w:t>Ing. Vladimír John</w:t>
      </w:r>
    </w:p>
    <w:p w:rsidR="00413134" w:rsidRDefault="00E346D6">
      <w:pPr>
        <w:pStyle w:val="Style2"/>
        <w:shd w:val="clear" w:color="auto" w:fill="auto"/>
        <w:tabs>
          <w:tab w:val="left" w:pos="6394"/>
        </w:tabs>
        <w:spacing w:after="260" w:line="240" w:lineRule="auto"/>
        <w:ind w:left="3920"/>
        <w:rPr>
          <w:sz w:val="18"/>
          <w:szCs w:val="18"/>
        </w:rPr>
      </w:pPr>
      <w:r>
        <w:rPr>
          <w:sz w:val="18"/>
          <w:szCs w:val="18"/>
        </w:rPr>
        <w:t>Společná prokura</w:t>
      </w:r>
      <w:r>
        <w:rPr>
          <w:sz w:val="18"/>
          <w:szCs w:val="18"/>
        </w:rPr>
        <w:tab/>
        <w:t>Společná prokura</w:t>
      </w:r>
    </w:p>
    <w:p w:rsidR="00413134" w:rsidRDefault="00E346D6">
      <w:pPr>
        <w:pStyle w:val="Style2"/>
        <w:shd w:val="clear" w:color="auto" w:fill="auto"/>
        <w:spacing w:line="293" w:lineRule="auto"/>
        <w:ind w:firstLine="280"/>
        <w:jc w:val="both"/>
      </w:pPr>
      <w:r>
        <w:t xml:space="preserve">Prohlašuji, že mi byly poskytnuty v dostatečném předstihu před uzavřením pojistné smlouvy </w:t>
      </w:r>
      <w:r>
        <w:t>přesným, jasným a srozumitelným způsobem, písemně a v českém jazyce informace o pojistném vztahu a o zpracování osobních údajů pro účely tohoto pojistného vztahu, že jsem byl seznámen s obsahem všech souvisejících pojistných podmínek (viz výše), které jsem</w:t>
      </w:r>
      <w:r>
        <w:t xml:space="preserve"> převzal. Prohlašuji, že pojistná smlouva na uzavření pojištění odpovídá mému pojistnému zájmu, mým pojistným potřebám a požadavkům, že všechny mé dotazy, které jsem položil pojistiteli nebojím pověřenému zástupci, byly náležitě zodpovězeny a že s rozsahem</w:t>
      </w:r>
      <w:r>
        <w:t xml:space="preserve"> a podmínkami pojištění jsem srozuměn/a.</w:t>
      </w:r>
    </w:p>
    <w:p w:rsidR="00413134" w:rsidRDefault="00E346D6">
      <w:pPr>
        <w:pStyle w:val="Style2"/>
        <w:shd w:val="clear" w:color="auto" w:fill="auto"/>
        <w:spacing w:after="160"/>
        <w:ind w:firstLine="280"/>
        <w:jc w:val="both"/>
      </w:pPr>
      <w:r>
        <w:t>Ochrana osobních údajů získaných v souvislosti s uzavřením a plněním této smlouvy se řídí nařízením Evropského parlamentu a Rady (EU) 2016/679 ze dne 27. dubna 2016, o ochraně fyzických osob v souvislosti se zpracov</w:t>
      </w:r>
      <w:r>
        <w:t>áním osobních údajů a o volném pohybu těchto údajů a o zrušení směrnice 95/46/ES (obecné nařízení o ochraně osobních údajů). Pojistník je povinen pojištěného, resp. pojištěné, jakož i všechny další oprávněné třetí osoby, řádně a včas informovat o zpracován</w:t>
      </w:r>
      <w:r>
        <w:t>í jejich osobních údajů v souvislosti s uzavřením a plněním této smlouvy, o jejich souvisejících právech a dalších relevantních skutečnostech vymezených v článku 13, resp. v článku 14 obecného nařízení o ochraně osobních údajů, a sice poskytnutím samostatn</w:t>
      </w:r>
      <w:r>
        <w:t>é listiny obsahující informace o zpracování osobních údajů dle článku 13, resp. článku 14 obecného nařízení o ochraně osobních údajů, anebo jiným vhodným způsobem.</w:t>
      </w:r>
    </w:p>
    <w:p w:rsidR="00413134" w:rsidRDefault="00E346D6">
      <w:pPr>
        <w:pStyle w:val="Style2"/>
        <w:shd w:val="clear" w:color="auto" w:fill="auto"/>
        <w:spacing w:line="310" w:lineRule="auto"/>
        <w:ind w:firstLine="280"/>
        <w:jc w:val="both"/>
      </w:pPr>
      <w:r>
        <w:t>Souhlasím s tím, aby pojistitel uvedl mé jméno/název v seznamu významných klientů, se kterým</w:t>
      </w:r>
      <w:r>
        <w:t>i uzavřel příslušná pojištění (bez uvedení další specifikace pojištění). Toto prohlášení je činěno pro účely § 128 zákona č. 277/2009 Sb. v platném znění.</w:t>
      </w:r>
    </w:p>
    <w:p w:rsidR="00413134" w:rsidRDefault="00E346D6">
      <w:pPr>
        <w:pStyle w:val="Style2"/>
        <w:shd w:val="clear" w:color="auto" w:fill="auto"/>
        <w:spacing w:after="0" w:line="312" w:lineRule="auto"/>
        <w:ind w:firstLine="280"/>
        <w:jc w:val="both"/>
      </w:pPr>
      <w:r>
        <w:t>Potvrzuji, že jsem převzal a souhlasím s níže uvedenými všeobecnými pojistnými podmínkami, které tvoř</w:t>
      </w:r>
      <w:r>
        <w:t>í nedílnou součást této pojistné smlouvy:</w:t>
      </w:r>
    </w:p>
    <w:p w:rsidR="00413134" w:rsidRDefault="00E346D6">
      <w:pPr>
        <w:pStyle w:val="Style2"/>
        <w:numPr>
          <w:ilvl w:val="0"/>
          <w:numId w:val="1"/>
        </w:numPr>
        <w:shd w:val="clear" w:color="auto" w:fill="auto"/>
        <w:tabs>
          <w:tab w:val="left" w:pos="906"/>
        </w:tabs>
        <w:spacing w:after="0" w:line="312" w:lineRule="auto"/>
        <w:ind w:firstLine="580"/>
        <w:jc w:val="both"/>
      </w:pPr>
      <w:r>
        <w:t xml:space="preserve">Všeobecné pojistné </w:t>
      </w:r>
      <w:proofErr w:type="gramStart"/>
      <w:r>
        <w:t>podmínky - obecná</w:t>
      </w:r>
      <w:proofErr w:type="gramEnd"/>
      <w:r>
        <w:t xml:space="preserve"> část - UCZ/14</w:t>
      </w:r>
    </w:p>
    <w:p w:rsidR="00413134" w:rsidRDefault="00E346D6">
      <w:pPr>
        <w:pStyle w:val="Style2"/>
        <w:numPr>
          <w:ilvl w:val="0"/>
          <w:numId w:val="1"/>
        </w:numPr>
        <w:shd w:val="clear" w:color="auto" w:fill="auto"/>
        <w:tabs>
          <w:tab w:val="left" w:pos="1294"/>
        </w:tabs>
        <w:spacing w:after="0" w:line="312" w:lineRule="auto"/>
        <w:ind w:left="1300" w:hanging="700"/>
        <w:jc w:val="both"/>
      </w:pPr>
      <w:r>
        <w:t xml:space="preserve">Všeobecné pojistné podmínky pro pojištění odpovědnosti za </w:t>
      </w:r>
      <w:proofErr w:type="gramStart"/>
      <w:r>
        <w:t>škodu - zvláštní</w:t>
      </w:r>
      <w:proofErr w:type="gramEnd"/>
      <w:r>
        <w:t xml:space="preserve"> část - UCZ/</w:t>
      </w:r>
      <w:proofErr w:type="spellStart"/>
      <w:r>
        <w:t>Odp</w:t>
      </w:r>
      <w:proofErr w:type="spellEnd"/>
      <w:r>
        <w:t>/14</w:t>
      </w:r>
    </w:p>
    <w:p w:rsidR="00413134" w:rsidRDefault="00E346D6">
      <w:pPr>
        <w:pStyle w:val="Style2"/>
        <w:numPr>
          <w:ilvl w:val="0"/>
          <w:numId w:val="1"/>
        </w:numPr>
        <w:shd w:val="clear" w:color="auto" w:fill="auto"/>
        <w:tabs>
          <w:tab w:val="left" w:pos="1294"/>
        </w:tabs>
        <w:spacing w:after="0" w:line="312" w:lineRule="auto"/>
        <w:ind w:firstLine="580"/>
        <w:jc w:val="both"/>
      </w:pPr>
      <w:r>
        <w:t xml:space="preserve">Doplňkové pojistné podmínky pro pojištění podnikatele a </w:t>
      </w:r>
      <w:r>
        <w:t xml:space="preserve">právnické </w:t>
      </w:r>
      <w:proofErr w:type="gramStart"/>
      <w:r>
        <w:t>osoby - UCZ</w:t>
      </w:r>
      <w:proofErr w:type="gramEnd"/>
      <w:r>
        <w:t>/</w:t>
      </w:r>
      <w:proofErr w:type="spellStart"/>
      <w:r>
        <w:t>Odp</w:t>
      </w:r>
      <w:proofErr w:type="spellEnd"/>
      <w:r>
        <w:t>-P/14</w:t>
      </w:r>
    </w:p>
    <w:p w:rsidR="00413134" w:rsidRDefault="00E346D6">
      <w:pPr>
        <w:pStyle w:val="Style2"/>
        <w:numPr>
          <w:ilvl w:val="0"/>
          <w:numId w:val="1"/>
        </w:numPr>
        <w:shd w:val="clear" w:color="auto" w:fill="auto"/>
        <w:tabs>
          <w:tab w:val="left" w:pos="1294"/>
        </w:tabs>
        <w:spacing w:after="480" w:line="312" w:lineRule="auto"/>
        <w:ind w:firstLine="580"/>
        <w:jc w:val="both"/>
      </w:pPr>
      <w:r>
        <w:t>Informace o zpracování osobních údajů</w:t>
      </w:r>
    </w:p>
    <w:p w:rsidR="00413134" w:rsidRDefault="00E346D6">
      <w:pPr>
        <w:pStyle w:val="Style2"/>
        <w:shd w:val="clear" w:color="auto" w:fill="auto"/>
        <w:spacing w:line="312" w:lineRule="auto"/>
        <w:jc w:val="both"/>
      </w:pPr>
      <w:r>
        <w:t>Jsou-li pojistník a pojištěný odlišnými osobami, pak pojištěný svým podpisem výslovně osvědčuje pojistný zájem pojistníka uvedeného výše.</w:t>
      </w:r>
      <w:r>
        <w:br w:type="page"/>
      </w:r>
    </w:p>
    <w:p w:rsidR="00413134" w:rsidRDefault="00E346D6">
      <w:pPr>
        <w:pStyle w:val="Style2"/>
        <w:shd w:val="clear" w:color="auto" w:fill="auto"/>
        <w:spacing w:after="100" w:line="254" w:lineRule="auto"/>
        <w:jc w:val="both"/>
      </w:pPr>
      <w:r>
        <w:t xml:space="preserve">Pojistník prohlašuje, zeje povinným </w:t>
      </w:r>
      <w:r>
        <w:t>subjektem ve smyslu zákona č. 340/2015 Sb., o registru smluv (dále jen „povinný subjekt“), a tedy že rámcová pojistná smlouva č. 2735902042 (dále jen „smlouva“) podléhá povinnosti uveřejnění v registru smluv ve smyslu zákona č. 340/2015 Sb., o registru sml</w:t>
      </w:r>
      <w:r>
        <w:t>uv (dále jen „registr smluv“).</w:t>
      </w:r>
    </w:p>
    <w:p w:rsidR="00413134" w:rsidRDefault="00E346D6">
      <w:pPr>
        <w:pStyle w:val="Style2"/>
        <w:shd w:val="clear" w:color="auto" w:fill="auto"/>
        <w:spacing w:after="100" w:line="259" w:lineRule="auto"/>
        <w:jc w:val="both"/>
      </w:pPr>
      <w:r>
        <w:t>Pojistník bere na vědomí, že pokud se výše uvedené prohlášení nezakládá na pravdě, odpovídá společnosti UNIQA pojišťovna, a. s. (dále jen „UNIQA“) za škodu, která UNIQA v důsledku tohoto nepravdivého prohlášení vznikne.</w:t>
      </w:r>
    </w:p>
    <w:p w:rsidR="00413134" w:rsidRDefault="00E346D6">
      <w:pPr>
        <w:pStyle w:val="Style2"/>
        <w:shd w:val="clear" w:color="auto" w:fill="auto"/>
        <w:spacing w:after="100" w:line="257" w:lineRule="auto"/>
        <w:jc w:val="both"/>
      </w:pPr>
      <w:r>
        <w:t>Pojis</w:t>
      </w:r>
      <w:r>
        <w:t>tník se jako povinný subjekt tímto zavazuje k uveřejnění smlouvy v registru smluv, a to ve lhůtě 30 dní od data uzavření smlouvy. Pojistník je povinen bezodkladně informovat pojistitele o zaslání smlouvy správci registru smluv zprávou do datové schránky ID</w:t>
      </w:r>
      <w:r>
        <w:t xml:space="preserve">: </w:t>
      </w:r>
      <w:proofErr w:type="spellStart"/>
      <w:r>
        <w:t>andcicx</w:t>
      </w:r>
      <w:proofErr w:type="spellEnd"/>
      <w:r>
        <w:t>. Pojistník se dále zavazuje, že před zasláním smlouvy k uveřejnění zajistí znečitelnění neuveřejnitelných informací (např. osobních údajů o fyzických osobách).</w:t>
      </w:r>
    </w:p>
    <w:p w:rsidR="00413134" w:rsidRDefault="00E346D6">
      <w:pPr>
        <w:pStyle w:val="Style2"/>
        <w:shd w:val="clear" w:color="auto" w:fill="auto"/>
        <w:spacing w:after="100" w:line="254" w:lineRule="auto"/>
        <w:jc w:val="both"/>
      </w:pPr>
      <w:r>
        <w:t>Pojistník bere na vědomí, že UNIQA je oprávněna smlouvu rovněž zveřejnit (aniž by tímt</w:t>
      </w:r>
      <w:r>
        <w:t>o byla dotčena sjednaná povinnost pojistníka ke zveřejnění smlouvy). V případě, že smlouva bude uveřejněna v registru smluv přímo UNIQA, pojistník výslovně prohlašuje, že nepovažuje toto uveřejnění za porušení povinnosti mlčenlivosti dle § 127 zákona č. 27</w:t>
      </w:r>
      <w:r>
        <w:t>7/2009 Sb., o pojišťovnictví.</w:t>
      </w:r>
    </w:p>
    <w:p w:rsidR="00413134" w:rsidRDefault="00E346D6">
      <w:pPr>
        <w:pStyle w:val="Style2"/>
        <w:shd w:val="clear" w:color="auto" w:fill="auto"/>
        <w:spacing w:after="0" w:line="252" w:lineRule="auto"/>
        <w:jc w:val="both"/>
      </w:pPr>
      <w:r>
        <w:t xml:space="preserve">Smluvní strany ujednávají, že veškeré vztahy upravené smlouvou a vzniklé mezi stranami od data vzniku pojištění, které bylo sjednáno touto smlouvou, do doby nabytí účinnosti této smlouvy, se této smlouvě podřizují s </w:t>
      </w:r>
      <w:r>
        <w:t>výjimkou případů, kdy pojistník v době nabytí účinnosti smlouvy věděl nebo vědět měl a mohl, že pojistná událost již nastala.</w:t>
      </w:r>
    </w:p>
    <w:p w:rsidR="00413134" w:rsidRDefault="00E346D6">
      <w:pPr>
        <w:spacing w:line="1" w:lineRule="exact"/>
      </w:pPr>
      <w:r>
        <w:rPr>
          <w:noProof/>
        </w:rPr>
        <mc:AlternateContent>
          <mc:Choice Requires="wps">
            <w:drawing>
              <wp:anchor distT="139700" distB="438785" distL="0" distR="0" simplePos="0" relativeHeight="125829382" behindDoc="0" locked="0" layoutInCell="1" allowOverlap="1">
                <wp:simplePos x="0" y="0"/>
                <wp:positionH relativeFrom="page">
                  <wp:posOffset>902335</wp:posOffset>
                </wp:positionH>
                <wp:positionV relativeFrom="paragraph">
                  <wp:posOffset>139700</wp:posOffset>
                </wp:positionV>
                <wp:extent cx="2155190" cy="158750"/>
                <wp:effectExtent l="0" t="0" r="0" b="0"/>
                <wp:wrapTopAndBottom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5190" cy="1587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13134" w:rsidRDefault="00E346D6">
                            <w:pPr>
                              <w:pStyle w:val="Style2"/>
                              <w:shd w:val="clear" w:color="auto" w:fill="auto"/>
                              <w:spacing w:after="0" w:line="240" w:lineRule="auto"/>
                            </w:pPr>
                            <w:r>
                              <w:t>V Praze, dne (viz elektronický podpis)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position:absolute;margin-left:71.049999999999997pt;margin-top:11.pt;width:169.70000000000002pt;height:12.5pt;z-index:-125829371;mso-wrap-distance-left:0;mso-wrap-distance-top:11.pt;mso-wrap-distance-right:0;mso-wrap-distance-bottom:34.550000000000004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 Praze, dne (viz elektronický podpis)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13690" distB="18415" distL="0" distR="0" simplePos="0" relativeHeight="125829384" behindDoc="0" locked="0" layoutInCell="1" allowOverlap="1">
                <wp:simplePos x="0" y="0"/>
                <wp:positionH relativeFrom="page">
                  <wp:posOffset>4246245</wp:posOffset>
                </wp:positionH>
                <wp:positionV relativeFrom="paragraph">
                  <wp:posOffset>313690</wp:posOffset>
                </wp:positionV>
                <wp:extent cx="935990" cy="405130"/>
                <wp:effectExtent l="0" t="0" r="0" b="0"/>
                <wp:wrapTopAndBottom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5990" cy="4051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13134" w:rsidRDefault="00E346D6">
                            <w:pPr>
                              <w:pStyle w:val="Style4"/>
                              <w:shd w:val="clear" w:color="auto" w:fill="auto"/>
                              <w:spacing w:after="0"/>
                              <w:ind w:left="0"/>
                            </w:pPr>
                            <w:r>
                              <w:rPr>
                                <w:b w:val="0"/>
                                <w:bCs w:val="0"/>
                              </w:rPr>
                              <w:t>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3" o:spid="_x0000_s1029" type="#_x0000_t202" style="position:absolute;margin-left:334.35pt;margin-top:24.7pt;width:73.7pt;height:31.9pt;z-index:125829384;visibility:visible;mso-wrap-style:square;mso-wrap-distance-left:0;mso-wrap-distance-top:24.7pt;mso-wrap-distance-right:0;mso-wrap-distance-bottom:1.4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loZgwEAAAQDAAAOAAAAZHJzL2Uyb0RvYy54bWysUlFLwzAQfhf8DyHvrt3mxJV1AxkTQVSY&#10;/oA0TdZAkwtJXLt/7yVbN9E38SW93F2/+77vslj1uiV74bwCU9LxKKdEGA61MruSfrxvbu4p8YGZ&#10;mrVgREkPwtPV8vpq0dlCTKCBthaOIIjxRWdL2oRgiyzzvBGa+RFYYbAowWkW8Op2We1Yh+i6zSZ5&#10;fpd14GrrgAvvMbs+Fuky4UspeHiV0otA2pIit5BOl84qntlywYqdY7ZR/ESD/YGFZsrg0DPUmgVG&#10;Pp36BaUVd+BBhhEHnYGUioukAdWM8x9qtg2zImlBc7w92+T/D5a/7N8cUTXubkqJYRp3lMYSvKM5&#10;nfUF9mwtdoX+AXpsHPIek1FzL52OX1RDsI42H87Wij4Qjsn5dDafY4Vj6TafjafJ+uzys3U+PArQ&#10;JAYldbi5ZCjbP/uARLB1aImzDGxU28Z8ZHhkEqPQV32Sc2ZfQX1A8u2TQdviExgCNwTVKRjQ0Oo0&#10;7/Qs4i6/39PMy+NdfgEAAP//AwBQSwMEFAAGAAgAAAAhALIyPxHgAAAACgEAAA8AAABkcnMvZG93&#10;bnJldi54bWxMj8FOwzAQRO9I/IO1SNyok1KZNMSpKgQnpIo0HDg6sZtYjdchdtvw92xPcFzN08zb&#10;YjO7gZ3NFKxHCekiAWaw9dpiJ+GzfnvIgIWoUKvBo5HwYwJsytubQuXaX7Ay533sGJVgyJWEPsYx&#10;5zy0vXEqLPxokLKDn5yKdE4d15O6ULkb+DJJBHfKIi30ajQvvWmP+5OTsP3C6tV+75qP6lDZul4n&#10;+C6OUt7fzdtnYNHM8Q+Gqz6pQ0lOjT+hDmyQIET2RKiE1XoFjIAsFSmwhsj0cQm8LPj/F8pfAAAA&#10;//8DAFBLAQItABQABgAIAAAAIQC2gziS/gAAAOEBAAATAAAAAAAAAAAAAAAAAAAAAABbQ29udGVu&#10;dF9UeXBlc10ueG1sUEsBAi0AFAAGAAgAAAAhADj9If/WAAAAlAEAAAsAAAAAAAAAAAAAAAAALwEA&#10;AF9yZWxzLy5yZWxzUEsBAi0AFAAGAAgAAAAhAEXCWhmDAQAABAMAAA4AAAAAAAAAAAAAAAAALgIA&#10;AGRycy9lMm9Eb2MueG1sUEsBAi0AFAAGAAgAAAAhALIyPxHgAAAACgEAAA8AAAAAAAAAAAAAAAAA&#10;3QMAAGRycy9kb3ducmV2LnhtbFBLBQYAAAAABAAEAPMAAADqBAAAAAA=&#10;" filled="f" stroked="f">
                <v:textbox inset="0,0,0,0">
                  <w:txbxContent>
                    <w:p w:rsidR="00413134" w:rsidRDefault="00E346D6">
                      <w:pPr>
                        <w:pStyle w:val="Style4"/>
                        <w:shd w:val="clear" w:color="auto" w:fill="auto"/>
                        <w:spacing w:after="0"/>
                        <w:ind w:left="0"/>
                      </w:pPr>
                      <w:r>
                        <w:rPr>
                          <w:b w:val="0"/>
                          <w:bCs w:val="0"/>
                        </w:rPr>
                        <w:t>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298450" distB="0" distL="0" distR="0" simplePos="0" relativeHeight="125829386" behindDoc="0" locked="0" layoutInCell="1" allowOverlap="1">
                <wp:simplePos x="0" y="0"/>
                <wp:positionH relativeFrom="page">
                  <wp:posOffset>5391785</wp:posOffset>
                </wp:positionH>
                <wp:positionV relativeFrom="paragraph">
                  <wp:posOffset>298450</wp:posOffset>
                </wp:positionV>
                <wp:extent cx="1021080" cy="438785"/>
                <wp:effectExtent l="0" t="0" r="0" b="0"/>
                <wp:wrapTopAndBottom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1080" cy="4387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13134" w:rsidRDefault="00413134">
                            <w:pPr>
                              <w:pStyle w:val="Style7"/>
                              <w:shd w:val="clear" w:color="auto" w:fill="auto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5" o:spid="_x0000_s1030" type="#_x0000_t202" style="position:absolute;margin-left:424.55pt;margin-top:23.5pt;width:80.4pt;height:34.55pt;z-index:125829386;visibility:visible;mso-wrap-style:square;mso-wrap-distance-left:0;mso-wrap-distance-top:23.5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mAahAEAAAUDAAAOAAAAZHJzL2Uyb0RvYy54bWysUlFLwzAQfhf8DyHvrt2cWsq6gYyJICqo&#10;PyBNkzXQ5EIS1+7fe8nWTfRNfEkvd9fvvu+7LFaD7shOOK/AVHQ6ySkRhkOjzLaiH++bq4ISH5hp&#10;WAdGVHQvPF0tLy8WvS3FDFroGuEIghhf9raibQi2zDLPW6GZn4AVBosSnGYBr26bNY71iK67bJbn&#10;t1kPrrEOuPAes+tDkS4TvpSChxcpvQikqyhyC+l06azjmS0XrNw6ZlvFjzTYH1hopgwOPUGtWWDk&#10;06lfUFpxBx5kmHDQGUipuEgaUM00/6HmrWVWJC1ojrcnm/z/wfLn3asjqsHd3VBimMYdpbEE72hO&#10;b32JPW8Wu8JwDwM2jnmPyah5kE7HL6ohWEeb9ydrxRAIjz/ls2leYIljbX5d3BUJPjv/bZ0PDwI0&#10;iUFFHa4uOcp2Tz4gE2wdW+IwAxvVdTEfKR6oxCgM9ZD0zEeaNTR7ZN89GvQtvoExcGNQH4MRDb1O&#10;847vIi7z+z3NPL/e5RcAAAD//wMAUEsDBBQABgAIAAAAIQB6hFRK4AAAAAsBAAAPAAAAZHJzL2Rv&#10;d25yZXYueG1sTI/BTsMwDIbvSLxDZCRuLCmaylqaThOCExJaVw4c08ZrozVOabKtvP2yE7vZ8qff&#10;31+sZzuwE07eOJKQLAQwpNZpQ52E7/rjaQXMB0VaDY5Qwh96WJf3d4XKtTtThadd6FgMIZ8rCX0I&#10;Y865b3u0yi/ciBRvezdZFeI6dVxP6hzD7cCfhUi5VYbih16N+NZje9gdrYTND1Xv5ver2Vb7ytR1&#10;JugzPUj5+DBvXoEFnMM/DFf9qA5ldGrckbRng4TVMksiKmH5EjtdASGyDFgTpyRNgJcFv+1QXgAA&#10;AP//AwBQSwECLQAUAAYACAAAACEAtoM4kv4AAADhAQAAEwAAAAAAAAAAAAAAAAAAAAAAW0NvbnRl&#10;bnRfVHlwZXNdLnhtbFBLAQItABQABgAIAAAAIQA4/SH/1gAAAJQBAAALAAAAAAAAAAAAAAAAAC8B&#10;AABfcmVscy8ucmVsc1BLAQItABQABgAIAAAAIQC8UmAahAEAAAUDAAAOAAAAAAAAAAAAAAAAAC4C&#10;AABkcnMvZTJvRG9jLnhtbFBLAQItABQABgAIAAAAIQB6hFRK4AAAAAsBAAAPAAAAAAAAAAAAAAAA&#10;AN4DAABkcnMvZG93bnJldi54bWxQSwUGAAAAAAQABADzAAAA6wQAAAAA&#10;" filled="f" stroked="f">
                <v:textbox inset="0,0,0,0">
                  <w:txbxContent>
                    <w:p w:rsidR="00413134" w:rsidRDefault="00413134">
                      <w:pPr>
                        <w:pStyle w:val="Style7"/>
                        <w:shd w:val="clear" w:color="auto" w:fill="auto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413134" w:rsidRPr="00576322" w:rsidRDefault="00E346D6">
      <w:pPr>
        <w:pStyle w:val="Style2"/>
        <w:shd w:val="clear" w:color="auto" w:fill="auto"/>
        <w:spacing w:after="960" w:line="240" w:lineRule="auto"/>
        <w:jc w:val="center"/>
        <w:rPr>
          <w:b/>
          <w:bCs/>
        </w:rPr>
      </w:pPr>
      <w:bookmarkStart w:id="28" w:name="_GoBack"/>
      <w:bookmarkEnd w:id="28"/>
      <w:r w:rsidRPr="00576322">
        <w:rPr>
          <w:b/>
          <w:bCs/>
        </w:rPr>
        <w:t>Pojistník</w:t>
      </w:r>
    </w:p>
    <w:p w:rsidR="00413134" w:rsidRPr="00576322" w:rsidRDefault="00E346D6">
      <w:pPr>
        <w:pStyle w:val="Style2"/>
        <w:shd w:val="clear" w:color="auto" w:fill="auto"/>
        <w:spacing w:after="0" w:line="240" w:lineRule="auto"/>
        <w:rPr>
          <w:b/>
          <w:bCs/>
        </w:rPr>
      </w:pPr>
      <w:r w:rsidRPr="00576322">
        <w:t>Pojištěno prostřednictvím;</w:t>
      </w:r>
      <w:r w:rsidR="00576322">
        <w:t xml:space="preserve"> </w:t>
      </w:r>
      <w:r w:rsidR="00576322" w:rsidRPr="00576322">
        <w:t>XXXXXXXXXXXXXXXXX</w:t>
      </w:r>
    </w:p>
    <w:p w:rsidR="00413134" w:rsidRDefault="00E346D6">
      <w:pPr>
        <w:pStyle w:val="Style2"/>
        <w:shd w:val="clear" w:color="auto" w:fill="auto"/>
        <w:spacing w:after="0" w:line="240" w:lineRule="auto"/>
      </w:pPr>
      <w:r>
        <w:t xml:space="preserve">Zpracovala: </w:t>
      </w:r>
      <w:r w:rsidR="00576322">
        <w:t>XXXXXXXXXXXXXXXXXXXX</w:t>
      </w:r>
    </w:p>
    <w:sectPr w:rsidR="00413134">
      <w:headerReference w:type="default" r:id="rId9"/>
      <w:footerReference w:type="default" r:id="rId10"/>
      <w:headerReference w:type="first" r:id="rId11"/>
      <w:footerReference w:type="first" r:id="rId12"/>
      <w:pgSz w:w="11909" w:h="16834"/>
      <w:pgMar w:top="3037" w:right="1197" w:bottom="2546" w:left="1395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46D6" w:rsidRDefault="00E346D6">
      <w:r>
        <w:separator/>
      </w:r>
    </w:p>
  </w:endnote>
  <w:endnote w:type="continuationSeparator" w:id="0">
    <w:p w:rsidR="00E346D6" w:rsidRDefault="00E346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3134" w:rsidRDefault="00E346D6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4" behindDoc="1" locked="0" layoutInCell="1" allowOverlap="1">
              <wp:simplePos x="0" y="0"/>
              <wp:positionH relativeFrom="page">
                <wp:posOffset>3203575</wp:posOffset>
              </wp:positionH>
              <wp:positionV relativeFrom="page">
                <wp:posOffset>9201150</wp:posOffset>
              </wp:positionV>
              <wp:extent cx="1319530" cy="198120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19530" cy="1981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13134" w:rsidRDefault="00E346D6">
                          <w:pPr>
                            <w:pStyle w:val="Style11"/>
                            <w:shd w:val="clear" w:color="auto" w:fill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#</w:t>
                          </w: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 xml:space="preserve"> (celkem 6)</w:t>
                          </w:r>
                        </w:p>
                        <w:p w:rsidR="00413134" w:rsidRDefault="00E346D6">
                          <w:pPr>
                            <w:pStyle w:val="Style11"/>
                            <w:shd w:val="clear" w:color="auto" w:fill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Pojistná smlouva č. 2734901406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5" type="#_x0000_t202" style="position:absolute;margin-left:252.25pt;margin-top:724.5pt;width:103.90000000000001pt;height:15.6pt;z-index:-18874405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1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 xml:space="preserve"> (celkem 6)</w:t>
                    </w:r>
                  </w:p>
                  <w:p>
                    <w:pPr>
                      <w:pStyle w:val="Style11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>Pojistná smlouva č. 2734901406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3134" w:rsidRDefault="00E346D6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700" behindDoc="1" locked="0" layoutInCell="1" allowOverlap="1">
              <wp:simplePos x="0" y="0"/>
              <wp:positionH relativeFrom="page">
                <wp:posOffset>3203575</wp:posOffset>
              </wp:positionH>
              <wp:positionV relativeFrom="page">
                <wp:posOffset>9201150</wp:posOffset>
              </wp:positionV>
              <wp:extent cx="1319530" cy="198120"/>
              <wp:effectExtent l="0" t="0" r="0" b="0"/>
              <wp:wrapNone/>
              <wp:docPr id="21" name="Shape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19530" cy="1981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13134" w:rsidRDefault="00E346D6">
                          <w:pPr>
                            <w:pStyle w:val="Style11"/>
                            <w:shd w:val="clear" w:color="auto" w:fill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#</w:t>
                          </w: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 xml:space="preserve"> (celkem 6)</w:t>
                          </w:r>
                        </w:p>
                        <w:p w:rsidR="00413134" w:rsidRDefault="00E346D6">
                          <w:pPr>
                            <w:pStyle w:val="Style11"/>
                            <w:shd w:val="clear" w:color="auto" w:fill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Pojistná smlouva č. 2734901406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7" type="#_x0000_t202" style="position:absolute;margin-left:252.25pt;margin-top:724.5pt;width:103.90000000000001pt;height:15.6pt;z-index:-18874405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1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 xml:space="preserve"> (celkem 6)</w:t>
                    </w:r>
                  </w:p>
                  <w:p>
                    <w:pPr>
                      <w:pStyle w:val="Style11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>Pojistná smlouva č. 2734901406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3134" w:rsidRDefault="00E346D6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706" behindDoc="1" locked="0" layoutInCell="1" allowOverlap="1">
              <wp:simplePos x="0" y="0"/>
              <wp:positionH relativeFrom="page">
                <wp:posOffset>3199130</wp:posOffset>
              </wp:positionH>
              <wp:positionV relativeFrom="page">
                <wp:posOffset>9194800</wp:posOffset>
              </wp:positionV>
              <wp:extent cx="1316990" cy="198120"/>
              <wp:effectExtent l="0" t="0" r="0" b="0"/>
              <wp:wrapNone/>
              <wp:docPr id="27" name="Shape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16990" cy="1981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13134" w:rsidRDefault="00E346D6">
                          <w:pPr>
                            <w:pStyle w:val="Style11"/>
                            <w:shd w:val="clear" w:color="auto" w:fill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#</w:t>
                          </w: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 xml:space="preserve"> (celkem 6)</w:t>
                          </w:r>
                        </w:p>
                        <w:p w:rsidR="00413134" w:rsidRDefault="00E346D6">
                          <w:pPr>
                            <w:pStyle w:val="Style11"/>
                            <w:shd w:val="clear" w:color="auto" w:fill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Pojistná smlouva č. 2734901406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53" type="#_x0000_t202" style="position:absolute;margin-left:251.90000000000001pt;margin-top:724.pt;width:103.7pt;height:15.6pt;z-index:-188744047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1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 xml:space="preserve"> (celkem 6)</w:t>
                    </w:r>
                  </w:p>
                  <w:p>
                    <w:pPr>
                      <w:pStyle w:val="Style11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>Pojistná smlouva č. 2734901406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46D6" w:rsidRDefault="00E346D6"/>
  </w:footnote>
  <w:footnote w:type="continuationSeparator" w:id="0">
    <w:p w:rsidR="00E346D6" w:rsidRDefault="00E346D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3134" w:rsidRDefault="00E346D6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957580</wp:posOffset>
              </wp:positionH>
              <wp:positionV relativeFrom="page">
                <wp:posOffset>1596390</wp:posOffset>
              </wp:positionV>
              <wp:extent cx="381000" cy="9144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1000" cy="914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13134" w:rsidRDefault="00E346D6">
                          <w:pPr>
                            <w:pStyle w:val="Style11"/>
                            <w:pBdr>
                              <w:top w:val="single" w:sz="0" w:space="0" w:color="000000"/>
                              <w:left w:val="single" w:sz="0" w:space="0" w:color="000000"/>
                              <w:bottom w:val="single" w:sz="0" w:space="0" w:color="000000"/>
                              <w:right w:val="single" w:sz="0" w:space="0" w:color="000000"/>
                            </w:pBdr>
                            <w:shd w:val="clear" w:color="auto" w:fill="000000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FFFFFF"/>
                              <w:sz w:val="19"/>
                              <w:szCs w:val="19"/>
                            </w:rPr>
                            <w:t>UNIQA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1" type="#_x0000_t202" style="position:absolute;margin-left:75.400000000000006pt;margin-top:125.7pt;width:30.pt;height:7.2000000000000002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1"/>
                      <w:keepNext w:val="0"/>
                      <w:keepLines w:val="0"/>
                      <w:widowControl w:val="0"/>
                      <w:pBdr>
                        <w:top w:val="single" w:sz="0" w:space="0" w:color="000000"/>
                        <w:left w:val="single" w:sz="0" w:space="0" w:color="000000"/>
                        <w:bottom w:val="single" w:sz="0" w:space="0" w:color="000000"/>
                        <w:right w:val="single" w:sz="0" w:space="0" w:color="000000"/>
                      </w:pBdr>
                      <w:shd w:val="clear" w:color="auto" w:fill="000000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9"/>
                        <w:szCs w:val="19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FFFFFF"/>
                        <w:spacing w:val="0"/>
                        <w:w w:val="100"/>
                        <w:position w:val="0"/>
                        <w:sz w:val="19"/>
                        <w:szCs w:val="19"/>
                        <w:shd w:val="clear" w:color="auto" w:fill="auto"/>
                        <w:lang w:val="cs-CZ" w:eastAsia="cs-CZ" w:bidi="cs-CZ"/>
                      </w:rPr>
                      <w:t>UNIQA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5069205</wp:posOffset>
              </wp:positionH>
              <wp:positionV relativeFrom="page">
                <wp:posOffset>1678305</wp:posOffset>
              </wp:positionV>
              <wp:extent cx="1005840" cy="121920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5840" cy="121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13134" w:rsidRDefault="00E346D6">
                          <w:pPr>
                            <w:pStyle w:val="Style11"/>
                            <w:shd w:val="clear" w:color="auto" w:fill="auto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  <w:t>č.j. 2020/3947/NM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3" type="#_x0000_t202" style="position:absolute;margin-left:399.15000000000003pt;margin-top:132.15000000000001pt;width:79.200000000000003pt;height:9.5999999999999996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1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9"/>
                        <w:szCs w:val="19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9"/>
                        <w:szCs w:val="19"/>
                        <w:shd w:val="clear" w:color="auto" w:fill="auto"/>
                        <w:lang w:val="cs-CZ" w:eastAsia="cs-CZ" w:bidi="cs-CZ"/>
                      </w:rPr>
                      <w:t>č.j. 2020/3947/NM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3134" w:rsidRDefault="00E346D6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6" behindDoc="1" locked="0" layoutInCell="1" allowOverlap="1">
              <wp:simplePos x="0" y="0"/>
              <wp:positionH relativeFrom="page">
                <wp:posOffset>957580</wp:posOffset>
              </wp:positionH>
              <wp:positionV relativeFrom="page">
                <wp:posOffset>1596390</wp:posOffset>
              </wp:positionV>
              <wp:extent cx="381000" cy="91440"/>
              <wp:effectExtent l="0" t="0" r="0" b="0"/>
              <wp:wrapNone/>
              <wp:docPr id="17" name="Shap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1000" cy="914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13134" w:rsidRDefault="00E346D6">
                          <w:pPr>
                            <w:pStyle w:val="Style11"/>
                            <w:pBdr>
                              <w:top w:val="single" w:sz="0" w:space="0" w:color="000000"/>
                              <w:left w:val="single" w:sz="0" w:space="0" w:color="000000"/>
                              <w:bottom w:val="single" w:sz="0" w:space="0" w:color="000000"/>
                              <w:right w:val="single" w:sz="0" w:space="0" w:color="000000"/>
                            </w:pBdr>
                            <w:shd w:val="clear" w:color="auto" w:fill="000000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FFFFFF"/>
                              <w:sz w:val="19"/>
                              <w:szCs w:val="19"/>
                            </w:rPr>
                            <w:t>UNIQA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3" type="#_x0000_t202" style="position:absolute;margin-left:75.400000000000006pt;margin-top:125.7pt;width:30.pt;height:7.2000000000000002pt;z-index:-188744057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1"/>
                      <w:keepNext w:val="0"/>
                      <w:keepLines w:val="0"/>
                      <w:widowControl w:val="0"/>
                      <w:pBdr>
                        <w:top w:val="single" w:sz="0" w:space="0" w:color="000000"/>
                        <w:left w:val="single" w:sz="0" w:space="0" w:color="000000"/>
                        <w:bottom w:val="single" w:sz="0" w:space="0" w:color="000000"/>
                        <w:right w:val="single" w:sz="0" w:space="0" w:color="000000"/>
                      </w:pBdr>
                      <w:shd w:val="clear" w:color="auto" w:fill="000000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9"/>
                        <w:szCs w:val="19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FFFFFF"/>
                        <w:spacing w:val="0"/>
                        <w:w w:val="100"/>
                        <w:position w:val="0"/>
                        <w:sz w:val="19"/>
                        <w:szCs w:val="19"/>
                        <w:shd w:val="clear" w:color="auto" w:fill="auto"/>
                        <w:lang w:val="cs-CZ" w:eastAsia="cs-CZ" w:bidi="cs-CZ"/>
                      </w:rPr>
                      <w:t>UNIQA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62914698" behindDoc="1" locked="0" layoutInCell="1" allowOverlap="1">
              <wp:simplePos x="0" y="0"/>
              <wp:positionH relativeFrom="page">
                <wp:posOffset>5069205</wp:posOffset>
              </wp:positionH>
              <wp:positionV relativeFrom="page">
                <wp:posOffset>1678305</wp:posOffset>
              </wp:positionV>
              <wp:extent cx="1005840" cy="121920"/>
              <wp:effectExtent l="0" t="0" r="0" b="0"/>
              <wp:wrapNone/>
              <wp:docPr id="19" name="Shape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5840" cy="121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13134" w:rsidRDefault="00E346D6">
                          <w:pPr>
                            <w:pStyle w:val="Style11"/>
                            <w:shd w:val="clear" w:color="auto" w:fill="auto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  <w:t>č.j. 2020/3947/NM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5" type="#_x0000_t202" style="position:absolute;margin-left:399.15000000000003pt;margin-top:132.15000000000001pt;width:79.200000000000003pt;height:9.5999999999999996pt;z-index:-188744055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1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9"/>
                        <w:szCs w:val="19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9"/>
                        <w:szCs w:val="19"/>
                        <w:shd w:val="clear" w:color="auto" w:fill="auto"/>
                        <w:lang w:val="cs-CZ" w:eastAsia="cs-CZ" w:bidi="cs-CZ"/>
                      </w:rPr>
                      <w:t>č.j. 2020/3947/NM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3134" w:rsidRDefault="00E346D6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702" behindDoc="1" locked="0" layoutInCell="1" allowOverlap="1">
              <wp:simplePos x="0" y="0"/>
              <wp:positionH relativeFrom="page">
                <wp:posOffset>952500</wp:posOffset>
              </wp:positionH>
              <wp:positionV relativeFrom="page">
                <wp:posOffset>1596390</wp:posOffset>
              </wp:positionV>
              <wp:extent cx="381000" cy="94615"/>
              <wp:effectExtent l="0" t="0" r="0" b="0"/>
              <wp:wrapNone/>
              <wp:docPr id="23" name="Shape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1000" cy="946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13134" w:rsidRDefault="00E346D6">
                          <w:pPr>
                            <w:pStyle w:val="Style11"/>
                            <w:pBdr>
                              <w:top w:val="single" w:sz="0" w:space="0" w:color="000000"/>
                              <w:left w:val="single" w:sz="0" w:space="0" w:color="000000"/>
                              <w:bottom w:val="single" w:sz="0" w:space="0" w:color="000000"/>
                              <w:right w:val="single" w:sz="0" w:space="0" w:color="000000"/>
                            </w:pBdr>
                            <w:shd w:val="clear" w:color="auto" w:fill="000000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FFFFFF"/>
                              <w:sz w:val="19"/>
                              <w:szCs w:val="19"/>
                              <w:lang w:val="en-US" w:eastAsia="en-US" w:bidi="en-US"/>
                            </w:rPr>
                            <w:t>UNIQA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9" type="#_x0000_t202" style="position:absolute;margin-left:75.pt;margin-top:125.7pt;width:30.pt;height:7.4500000000000002pt;z-index:-18874405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1"/>
                      <w:keepNext w:val="0"/>
                      <w:keepLines w:val="0"/>
                      <w:widowControl w:val="0"/>
                      <w:pBdr>
                        <w:top w:val="single" w:sz="0" w:space="0" w:color="000000"/>
                        <w:left w:val="single" w:sz="0" w:space="0" w:color="000000"/>
                        <w:bottom w:val="single" w:sz="0" w:space="0" w:color="000000"/>
                        <w:right w:val="single" w:sz="0" w:space="0" w:color="000000"/>
                      </w:pBdr>
                      <w:shd w:val="clear" w:color="auto" w:fill="000000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9"/>
                        <w:szCs w:val="19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FFFFFF"/>
                        <w:spacing w:val="0"/>
                        <w:w w:val="100"/>
                        <w:position w:val="0"/>
                        <w:sz w:val="19"/>
                        <w:szCs w:val="19"/>
                        <w:shd w:val="clear" w:color="auto" w:fill="auto"/>
                        <w:lang w:val="en-US" w:eastAsia="en-US" w:bidi="en-US"/>
                      </w:rPr>
                      <w:t>UNIQA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62914704" behindDoc="1" locked="0" layoutInCell="1" allowOverlap="1">
              <wp:simplePos x="0" y="0"/>
              <wp:positionH relativeFrom="page">
                <wp:posOffset>5061585</wp:posOffset>
              </wp:positionH>
              <wp:positionV relativeFrom="page">
                <wp:posOffset>1678305</wp:posOffset>
              </wp:positionV>
              <wp:extent cx="1005840" cy="125095"/>
              <wp:effectExtent l="0" t="0" r="0" b="0"/>
              <wp:wrapNone/>
              <wp:docPr id="25" name="Shape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5840" cy="1250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13134" w:rsidRDefault="00E346D6">
                          <w:pPr>
                            <w:pStyle w:val="Style11"/>
                            <w:shd w:val="clear" w:color="auto" w:fill="auto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  <w:t xml:space="preserve">Č.j. </w:t>
                          </w:r>
                          <w:r>
                            <w:rPr>
                              <w:rFonts w:ascii="Arial" w:eastAsia="Arial" w:hAnsi="Arial" w:cs="Arial"/>
                              <w:sz w:val="19"/>
                              <w:szCs w:val="19"/>
                              <w:lang w:val="en-US" w:eastAsia="en-US" w:bidi="en-US"/>
                            </w:rPr>
                            <w:t>2020/3947/NI\/l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51" type="#_x0000_t202" style="position:absolute;margin-left:398.55000000000001pt;margin-top:132.15000000000001pt;width:79.200000000000003pt;height:9.8499999999999996pt;z-index:-18874404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1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9"/>
                        <w:szCs w:val="19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9"/>
                        <w:szCs w:val="19"/>
                        <w:shd w:val="clear" w:color="auto" w:fill="auto"/>
                        <w:lang w:val="cs-CZ" w:eastAsia="cs-CZ" w:bidi="cs-CZ"/>
                      </w:rPr>
                      <w:t xml:space="preserve">Č.j. </w:t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9"/>
                        <w:szCs w:val="19"/>
                        <w:shd w:val="clear" w:color="auto" w:fill="auto"/>
                        <w:lang w:val="en-US" w:eastAsia="en-US" w:bidi="en-US"/>
                      </w:rPr>
                      <w:t>2020/3947/NI\/l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A337EF"/>
    <w:multiLevelType w:val="multilevel"/>
    <w:tmpl w:val="0B5C43D4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3134"/>
    <w:rsid w:val="00413134"/>
    <w:rsid w:val="00576322"/>
    <w:rsid w:val="00E34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D8DC5"/>
  <w15:docId w15:val="{DA8BCDB4-ACC4-494D-B14B-7AA34D5A6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">
    <w:name w:val="Char Style 3"/>
    <w:basedOn w:val="Standardnpsmoodstavce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5">
    <w:name w:val="Char Style 5"/>
    <w:basedOn w:val="Standardnpsmoodstavce"/>
    <w:link w:val="Style4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CharStyle8">
    <w:name w:val="Char Style 8"/>
    <w:basedOn w:val="Standardnpsmoodstavce"/>
    <w:link w:val="Style7"/>
    <w:rPr>
      <w:rFonts w:ascii="Arial" w:eastAsia="Arial" w:hAnsi="Arial" w:cs="Arial"/>
      <w:b/>
      <w:bCs/>
      <w:i w:val="0"/>
      <w:iCs w:val="0"/>
      <w:smallCaps w:val="0"/>
      <w:strike w:val="0"/>
      <w:sz w:val="12"/>
      <w:szCs w:val="12"/>
      <w:u w:val="none"/>
    </w:rPr>
  </w:style>
  <w:style w:type="character" w:customStyle="1" w:styleId="CharStyle10">
    <w:name w:val="Char Style 10"/>
    <w:basedOn w:val="Standardnpsmoodstavce"/>
    <w:link w:val="Style9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CharStyle12">
    <w:name w:val="Char Style 12"/>
    <w:basedOn w:val="Standardnpsmoodstavce"/>
    <w:link w:val="Style11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7">
    <w:name w:val="Char Style 17"/>
    <w:basedOn w:val="Standardnpsmoodstavce"/>
    <w:link w:val="Style16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20">
    <w:name w:val="Char Style 20"/>
    <w:basedOn w:val="Standardnpsmoodstavce"/>
    <w:link w:val="Style19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22">
    <w:name w:val="Char Style 22"/>
    <w:basedOn w:val="Standardnpsmoodstavce"/>
    <w:link w:val="Style21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29">
    <w:name w:val="Char Style 29"/>
    <w:basedOn w:val="Standardnpsmoodstavce"/>
    <w:link w:val="Style28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CharStyle31">
    <w:name w:val="Char Style 31"/>
    <w:basedOn w:val="Standardnpsmoodstavce"/>
    <w:link w:val="Style30"/>
    <w:rPr>
      <w:rFonts w:ascii="Arial" w:eastAsia="Arial" w:hAnsi="Arial" w:cs="Arial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paragraph" w:customStyle="1" w:styleId="Style2">
    <w:name w:val="Style 2"/>
    <w:basedOn w:val="Normln"/>
    <w:link w:val="CharStyle3"/>
    <w:pPr>
      <w:shd w:val="clear" w:color="auto" w:fill="FFFFFF"/>
      <w:spacing w:after="80" w:line="305" w:lineRule="auto"/>
    </w:pPr>
    <w:rPr>
      <w:rFonts w:ascii="Arial" w:eastAsia="Arial" w:hAnsi="Arial" w:cs="Arial"/>
      <w:sz w:val="19"/>
      <w:szCs w:val="19"/>
    </w:rPr>
  </w:style>
  <w:style w:type="paragraph" w:customStyle="1" w:styleId="Style4">
    <w:name w:val="Style 4"/>
    <w:basedOn w:val="Normln"/>
    <w:link w:val="CharStyle5"/>
    <w:pPr>
      <w:shd w:val="clear" w:color="auto" w:fill="FFFFFF"/>
      <w:spacing w:after="40"/>
      <w:ind w:left="2360"/>
    </w:pPr>
    <w:rPr>
      <w:rFonts w:ascii="Arial" w:eastAsia="Arial" w:hAnsi="Arial" w:cs="Arial"/>
      <w:b/>
      <w:bCs/>
    </w:rPr>
  </w:style>
  <w:style w:type="paragraph" w:customStyle="1" w:styleId="Style7">
    <w:name w:val="Style 7"/>
    <w:basedOn w:val="Normln"/>
    <w:link w:val="CharStyle8"/>
    <w:pPr>
      <w:shd w:val="clear" w:color="auto" w:fill="FFFFFF"/>
      <w:spacing w:line="283" w:lineRule="auto"/>
    </w:pPr>
    <w:rPr>
      <w:rFonts w:ascii="Arial" w:eastAsia="Arial" w:hAnsi="Arial" w:cs="Arial"/>
      <w:b/>
      <w:bCs/>
      <w:sz w:val="12"/>
      <w:szCs w:val="12"/>
    </w:rPr>
  </w:style>
  <w:style w:type="paragraph" w:customStyle="1" w:styleId="Style9">
    <w:name w:val="Style 9"/>
    <w:basedOn w:val="Normln"/>
    <w:link w:val="CharStyle10"/>
    <w:pPr>
      <w:shd w:val="clear" w:color="auto" w:fill="FFFFFF"/>
      <w:spacing w:after="80"/>
      <w:ind w:left="4720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customStyle="1" w:styleId="Style11">
    <w:name w:val="Style 11"/>
    <w:basedOn w:val="Normln"/>
    <w:link w:val="CharStyle12"/>
    <w:pPr>
      <w:shd w:val="clear" w:color="auto" w:fill="FFFFFF"/>
    </w:pPr>
    <w:rPr>
      <w:sz w:val="20"/>
      <w:szCs w:val="20"/>
    </w:rPr>
  </w:style>
  <w:style w:type="paragraph" w:customStyle="1" w:styleId="Style16">
    <w:name w:val="Style 16"/>
    <w:basedOn w:val="Normln"/>
    <w:link w:val="CharStyle17"/>
    <w:pPr>
      <w:shd w:val="clear" w:color="auto" w:fill="FFFFFF"/>
      <w:spacing w:line="312" w:lineRule="auto"/>
      <w:outlineLvl w:val="2"/>
    </w:pPr>
    <w:rPr>
      <w:rFonts w:ascii="Arial" w:eastAsia="Arial" w:hAnsi="Arial" w:cs="Arial"/>
      <w:b/>
      <w:bCs/>
      <w:sz w:val="19"/>
      <w:szCs w:val="19"/>
    </w:rPr>
  </w:style>
  <w:style w:type="paragraph" w:customStyle="1" w:styleId="Style19">
    <w:name w:val="Style 19"/>
    <w:basedOn w:val="Normln"/>
    <w:link w:val="CharStyle20"/>
    <w:pPr>
      <w:shd w:val="clear" w:color="auto" w:fill="FFFFFF"/>
      <w:spacing w:after="80" w:line="305" w:lineRule="auto"/>
    </w:pPr>
    <w:rPr>
      <w:rFonts w:ascii="Arial" w:eastAsia="Arial" w:hAnsi="Arial" w:cs="Arial"/>
      <w:sz w:val="19"/>
      <w:szCs w:val="19"/>
    </w:rPr>
  </w:style>
  <w:style w:type="paragraph" w:customStyle="1" w:styleId="Style21">
    <w:name w:val="Style 21"/>
    <w:basedOn w:val="Normln"/>
    <w:link w:val="CharStyle22"/>
    <w:pPr>
      <w:shd w:val="clear" w:color="auto" w:fill="FFFFFF"/>
    </w:pPr>
    <w:rPr>
      <w:rFonts w:ascii="Arial" w:eastAsia="Arial" w:hAnsi="Arial" w:cs="Arial"/>
      <w:sz w:val="19"/>
      <w:szCs w:val="19"/>
    </w:rPr>
  </w:style>
  <w:style w:type="paragraph" w:customStyle="1" w:styleId="Style28">
    <w:name w:val="Style 28"/>
    <w:basedOn w:val="Normln"/>
    <w:link w:val="CharStyle29"/>
    <w:pPr>
      <w:shd w:val="clear" w:color="auto" w:fill="FFFFFF"/>
      <w:ind w:left="6380"/>
    </w:pPr>
    <w:rPr>
      <w:rFonts w:ascii="Arial" w:eastAsia="Arial" w:hAnsi="Arial" w:cs="Arial"/>
      <w:sz w:val="14"/>
      <w:szCs w:val="14"/>
    </w:rPr>
  </w:style>
  <w:style w:type="paragraph" w:customStyle="1" w:styleId="Style30">
    <w:name w:val="Style 30"/>
    <w:basedOn w:val="Normln"/>
    <w:link w:val="CharStyle31"/>
    <w:pPr>
      <w:shd w:val="clear" w:color="auto" w:fill="FFFFFF"/>
      <w:spacing w:after="120"/>
      <w:ind w:left="1500"/>
      <w:outlineLvl w:val="0"/>
    </w:pPr>
    <w:rPr>
      <w:rFonts w:ascii="Arial" w:eastAsia="Arial" w:hAnsi="Arial" w:cs="Arial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1677</Words>
  <Characters>9896</Characters>
  <Application>Microsoft Office Word</Application>
  <DocSecurity>0</DocSecurity>
  <Lines>82</Lines>
  <Paragraphs>23</Paragraphs>
  <ScaleCrop>false</ScaleCrop>
  <Company>Národní muzeum</Company>
  <LinksUpToDate>false</LinksUpToDate>
  <CharactersWithSpaces>11550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Renata Asingrová</cp:lastModifiedBy>
  <cp:revision>3</cp:revision>
  <dcterms:created xsi:type="dcterms:W3CDTF">2020-08-26T06:01:00Z</dcterms:created>
  <dcterms:modified xsi:type="dcterms:W3CDTF">2020-08-26T06:07:00Z</dcterms:modified>
</cp:coreProperties>
</file>