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28.3.2018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12.2.2018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18.5.2018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23519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30.3.2020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3009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dodatek č. 10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22.11.2017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27849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853,91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Hatín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1.10.2020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1.11.2011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13267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Chlum u Třeboně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1.10.2010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35898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1.12.2017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13.7.2012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123629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9 025,10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Kardašova Řečice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6318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681,19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77908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6 387,39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4334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21463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12894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25.7.2013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155176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12 722,31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Lutová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552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27.3.2012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15718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1 345,15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Majdalena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4582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15.12.2014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12484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Nítovice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21.8.2012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55279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5 550,30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Novosedly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17.6.2014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5437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484,84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56865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5 709,54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87101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8 745,39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26047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7703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15793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5575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609,26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24910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1.2.2010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orná půda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1.8.2014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237291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23 825,23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624599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54 997,46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55 851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850" w:right="850" w:bottom="850" w:left="850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11 nájemní smlouvy č. 15N10/17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27.8.2020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VypocetPachtuNs</dc:title>
</cp:coreProperties>
</file>