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8E" w:rsidRDefault="00E031D0">
      <w:pPr>
        <w:pStyle w:val="Style4"/>
        <w:keepNext/>
        <w:keepLines/>
        <w:shd w:val="clear" w:color="auto" w:fill="auto"/>
      </w:pPr>
      <w:bookmarkStart w:id="0" w:name="bookmark2"/>
      <w:r>
        <w:t>POJISTNÁ SMLOUVA č. 2030600607</w:t>
      </w:r>
      <w:bookmarkEnd w:id="0"/>
    </w:p>
    <w:p w:rsidR="001A178E" w:rsidRDefault="00E031D0">
      <w:pPr>
        <w:pStyle w:val="Style4"/>
        <w:keepNext/>
        <w:keepLines/>
        <w:shd w:val="clear" w:color="auto" w:fill="auto"/>
      </w:pPr>
      <w:bookmarkStart w:id="1" w:name="bookmark0"/>
      <w:bookmarkStart w:id="2" w:name="bookmark1"/>
      <w:bookmarkStart w:id="3" w:name="bookmark3"/>
      <w:r>
        <w:t>Pojistná smlouva č. NM 200 854</w:t>
      </w:r>
      <w:bookmarkEnd w:id="1"/>
      <w:bookmarkEnd w:id="2"/>
      <w:bookmarkEnd w:id="3"/>
    </w:p>
    <w:p w:rsidR="001A178E" w:rsidRDefault="00E031D0">
      <w:pPr>
        <w:pStyle w:val="Style10"/>
        <w:keepNext/>
        <w:keepLines/>
        <w:shd w:val="clear" w:color="auto" w:fill="auto"/>
      </w:pPr>
      <w:bookmarkStart w:id="4" w:name="bookmark4"/>
      <w:bookmarkStart w:id="5" w:name="bookmark5"/>
      <w:bookmarkStart w:id="6" w:name="bookmark6"/>
      <w:r>
        <w:t>Pojištění předmětů umělecké a sběratelské hodnoty</w:t>
      </w:r>
      <w:bookmarkEnd w:id="4"/>
      <w:bookmarkEnd w:id="5"/>
      <w:bookmarkEnd w:id="6"/>
    </w:p>
    <w:p w:rsidR="001A178E" w:rsidRDefault="00E031D0">
      <w:pPr>
        <w:pStyle w:val="Style12"/>
        <w:keepNext/>
        <w:keepLines/>
        <w:shd w:val="clear" w:color="auto" w:fill="auto"/>
        <w:tabs>
          <w:tab w:val="left" w:pos="1937"/>
        </w:tabs>
        <w:spacing w:after="0" w:line="307" w:lineRule="auto"/>
      </w:pPr>
      <w:bookmarkStart w:id="7" w:name="bookmark7"/>
      <w:bookmarkStart w:id="8" w:name="bookmark8"/>
      <w:bookmarkStart w:id="9" w:name="bookmark9"/>
      <w:r>
        <w:rPr>
          <w:u w:val="single"/>
        </w:rPr>
        <w:t>Pojistitel:</w:t>
      </w:r>
      <w:r>
        <w:tab/>
        <w:t>UNIQA pojišťovna, a. s.</w:t>
      </w:r>
      <w:bookmarkEnd w:id="7"/>
      <w:bookmarkEnd w:id="8"/>
      <w:bookmarkEnd w:id="9"/>
    </w:p>
    <w:p w:rsidR="001A178E" w:rsidRDefault="00E031D0">
      <w:pPr>
        <w:pStyle w:val="Style2"/>
        <w:shd w:val="clear" w:color="auto" w:fill="auto"/>
        <w:spacing w:after="0" w:line="307" w:lineRule="auto"/>
        <w:ind w:left="1940" w:firstLine="20"/>
      </w:pPr>
      <w:r>
        <w:t>Evropská 136, 160 12 Praha 6</w:t>
      </w:r>
    </w:p>
    <w:p w:rsidR="001A178E" w:rsidRDefault="00E031D0">
      <w:pPr>
        <w:pStyle w:val="Style2"/>
        <w:shd w:val="clear" w:color="auto" w:fill="auto"/>
        <w:spacing w:after="0" w:line="307" w:lineRule="auto"/>
        <w:ind w:left="1940" w:firstLine="20"/>
      </w:pPr>
      <w:r>
        <w:t>IČ: 492 40 480</w:t>
      </w:r>
    </w:p>
    <w:p w:rsidR="001A178E" w:rsidRDefault="00E031D0">
      <w:pPr>
        <w:pStyle w:val="Style2"/>
        <w:shd w:val="clear" w:color="auto" w:fill="auto"/>
        <w:spacing w:after="0" w:line="307" w:lineRule="auto"/>
        <w:ind w:left="1940" w:firstLine="20"/>
      </w:pPr>
      <w:r>
        <w:t xml:space="preserve">zapsán v obchodním rejstříku, vedeném Městským soudem v </w:t>
      </w:r>
      <w:r>
        <w:t>Praze oddíl B, vložka 2012</w:t>
      </w:r>
    </w:p>
    <w:p w:rsidR="001A178E" w:rsidRDefault="00E031D0">
      <w:pPr>
        <w:pStyle w:val="Style2"/>
        <w:shd w:val="clear" w:color="auto" w:fill="auto"/>
        <w:spacing w:after="0" w:line="271" w:lineRule="auto"/>
        <w:ind w:left="1940"/>
      </w:pPr>
      <w:r>
        <w:t>Zastoupení: Ing. Vladimír John, společná prokura</w:t>
      </w:r>
    </w:p>
    <w:p w:rsidR="001A178E" w:rsidRDefault="00E031D0">
      <w:pPr>
        <w:pStyle w:val="Style2"/>
        <w:shd w:val="clear" w:color="auto" w:fill="auto"/>
        <w:spacing w:after="0" w:line="271" w:lineRule="auto"/>
        <w:ind w:left="3480"/>
      </w:pPr>
      <w:r>
        <w:t xml:space="preserve">Michal </w:t>
      </w:r>
      <w:proofErr w:type="spellStart"/>
      <w:r>
        <w:t>Dachovský</w:t>
      </w:r>
      <w:proofErr w:type="spellEnd"/>
      <w:r>
        <w:t>, společná prokura</w:t>
      </w:r>
    </w:p>
    <w:p w:rsidR="001A178E" w:rsidRDefault="00E031D0">
      <w:pPr>
        <w:pStyle w:val="Style2"/>
        <w:shd w:val="clear" w:color="auto" w:fill="auto"/>
        <w:spacing w:after="780" w:line="271" w:lineRule="auto"/>
        <w:ind w:left="1940" w:firstLine="20"/>
      </w:pPr>
      <w:r>
        <w:t xml:space="preserve">bankovní spojení: </w:t>
      </w:r>
      <w:r w:rsidR="00253E9A">
        <w:rPr>
          <w:lang w:val="en-US" w:eastAsia="en-US" w:bidi="en-US"/>
        </w:rPr>
        <w:t>XXXXXXXXXXXXXXXXXXXXXXXXXXXXXXXX</w:t>
      </w:r>
      <w:r>
        <w:t xml:space="preserve"> č. </w:t>
      </w:r>
      <w:proofErr w:type="spellStart"/>
      <w:r>
        <w:t>ú.</w:t>
      </w:r>
      <w:proofErr w:type="spellEnd"/>
      <w:r>
        <w:t xml:space="preserve">: </w:t>
      </w:r>
      <w:r w:rsidR="00253E9A">
        <w:t>XXXXXXXXXXXXXXXXXX</w:t>
      </w:r>
    </w:p>
    <w:p w:rsidR="001A178E" w:rsidRDefault="00E031D0">
      <w:pPr>
        <w:pStyle w:val="Style12"/>
        <w:keepNext/>
        <w:keepLines/>
        <w:shd w:val="clear" w:color="auto" w:fill="auto"/>
        <w:tabs>
          <w:tab w:val="left" w:pos="1937"/>
        </w:tabs>
        <w:spacing w:after="0" w:line="240" w:lineRule="auto"/>
      </w:pPr>
      <w:bookmarkStart w:id="10" w:name="bookmark10"/>
      <w:bookmarkStart w:id="11" w:name="bookmark11"/>
      <w:bookmarkStart w:id="12" w:name="bookmark12"/>
      <w:proofErr w:type="spellStart"/>
      <w:r>
        <w:rPr>
          <w:u w:val="single"/>
        </w:rPr>
        <w:t>Poiistník</w:t>
      </w:r>
      <w:proofErr w:type="spellEnd"/>
      <w:r>
        <w:rPr>
          <w:u w:val="single"/>
        </w:rPr>
        <w:t>:</w:t>
      </w:r>
      <w:r>
        <w:tab/>
        <w:t>NÁRODNÍ MUZEUM</w:t>
      </w:r>
      <w:bookmarkEnd w:id="10"/>
      <w:bookmarkEnd w:id="11"/>
      <w:bookmarkEnd w:id="12"/>
    </w:p>
    <w:p w:rsidR="001A178E" w:rsidRDefault="00E031D0">
      <w:pPr>
        <w:pStyle w:val="Style2"/>
        <w:shd w:val="clear" w:color="auto" w:fill="auto"/>
        <w:spacing w:after="0" w:line="240" w:lineRule="auto"/>
        <w:ind w:left="1940"/>
      </w:pPr>
      <w:r>
        <w:t>Václavské náměstí 1700/68</w:t>
      </w:r>
    </w:p>
    <w:p w:rsidR="001A178E" w:rsidRDefault="00E031D0">
      <w:pPr>
        <w:pStyle w:val="Style2"/>
        <w:shd w:val="clear" w:color="auto" w:fill="auto"/>
        <w:spacing w:after="0" w:line="240" w:lineRule="auto"/>
        <w:ind w:left="1940"/>
      </w:pPr>
      <w:r>
        <w:t>11000 Praha - Nové Město</w:t>
      </w:r>
    </w:p>
    <w:p w:rsidR="001A178E" w:rsidRDefault="00E031D0">
      <w:pPr>
        <w:pStyle w:val="Style2"/>
        <w:shd w:val="clear" w:color="auto" w:fill="auto"/>
        <w:spacing w:after="0" w:line="240" w:lineRule="auto"/>
        <w:ind w:left="1940"/>
      </w:pPr>
      <w:r>
        <w:t>IČ: 000 23 272</w:t>
      </w:r>
    </w:p>
    <w:p w:rsidR="001A178E" w:rsidRDefault="00E031D0">
      <w:pPr>
        <w:pStyle w:val="Style2"/>
        <w:shd w:val="clear" w:color="auto" w:fill="auto"/>
        <w:spacing w:after="560" w:line="240" w:lineRule="auto"/>
        <w:ind w:left="1940"/>
      </w:pPr>
      <w:r>
        <w:t>Jednající: PhDr. Michal Lukeš, Ph.D., generální ředitel</w:t>
      </w:r>
    </w:p>
    <w:p w:rsidR="001A178E" w:rsidRDefault="00E031D0">
      <w:pPr>
        <w:pStyle w:val="Style2"/>
        <w:shd w:val="clear" w:color="auto" w:fill="auto"/>
        <w:spacing w:after="560" w:line="324" w:lineRule="auto"/>
        <w:jc w:val="both"/>
      </w:pPr>
      <w:r>
        <w:t xml:space="preserve">uzavírají tuto smlouvu o pojištění předmětů umělecké a sběratelské hodnoty ve prospěch </w:t>
      </w:r>
      <w:r>
        <w:rPr>
          <w:b/>
          <w:bCs/>
        </w:rPr>
        <w:t>pojištěného / oprávněné osoby: Vlastníci předmě</w:t>
      </w:r>
      <w:r>
        <w:rPr>
          <w:b/>
          <w:bCs/>
        </w:rPr>
        <w:t>tů pojištění</w:t>
      </w:r>
    </w:p>
    <w:p w:rsidR="001A178E" w:rsidRDefault="00E031D0">
      <w:pPr>
        <w:pStyle w:val="Style2"/>
        <w:shd w:val="clear" w:color="auto" w:fill="auto"/>
        <w:spacing w:after="220" w:line="257" w:lineRule="auto"/>
        <w:jc w:val="both"/>
      </w:pPr>
      <w:r>
        <w:rPr>
          <w:b/>
          <w:bCs/>
        </w:rPr>
        <w:t>Pojištění exponátů na výstavách vč. přepravy</w:t>
      </w:r>
    </w:p>
    <w:p w:rsidR="001A178E" w:rsidRDefault="00E031D0">
      <w:pPr>
        <w:pStyle w:val="Style2"/>
        <w:shd w:val="clear" w:color="auto" w:fill="auto"/>
        <w:spacing w:after="0" w:line="257" w:lineRule="auto"/>
      </w:pPr>
      <w:r>
        <w:rPr>
          <w:b/>
          <w:bCs/>
        </w:rPr>
        <w:t>Článek I</w:t>
      </w:r>
    </w:p>
    <w:p w:rsidR="001A178E" w:rsidRDefault="00E031D0">
      <w:pPr>
        <w:pStyle w:val="Style2"/>
        <w:shd w:val="clear" w:color="auto" w:fill="auto"/>
        <w:spacing w:line="257" w:lineRule="auto"/>
      </w:pPr>
      <w:r>
        <w:rPr>
          <w:b/>
          <w:bCs/>
          <w:u w:val="single"/>
        </w:rPr>
        <w:t>Předmět pojištěni</w:t>
      </w:r>
    </w:p>
    <w:p w:rsidR="001A178E" w:rsidRDefault="00E031D0">
      <w:pPr>
        <w:pStyle w:val="Style2"/>
        <w:numPr>
          <w:ilvl w:val="0"/>
          <w:numId w:val="1"/>
        </w:numPr>
        <w:shd w:val="clear" w:color="auto" w:fill="auto"/>
        <w:tabs>
          <w:tab w:val="left" w:pos="378"/>
        </w:tabs>
        <w:spacing w:line="257" w:lineRule="auto"/>
        <w:ind w:left="400" w:hanging="400"/>
        <w:jc w:val="both"/>
      </w:pPr>
      <w:r>
        <w:t xml:space="preserve">Předmětem tohoto pojištění jsou sbírky exponátů = soubor vlastních věcí a cizích věcí (jež má pojištěný po právu v držení) zvláštní kulturní, historické a umělecké </w:t>
      </w:r>
      <w:r>
        <w:t>hodnoty, a to včetně “cenných předmětů“ (tj. ze zlata, drahokamů, drahých kovů, apod.) podle příslušných podkladů, jež pojistník předává pojistiteli současně s Přihláškou do pojištění v rámci této pojistné smlouvy. Vzor Přihlášky do pojištění tvoří Přílohu</w:t>
      </w:r>
      <w:r>
        <w:t xml:space="preserve"> č. 1 této pojistné smlouvy.</w:t>
      </w:r>
    </w:p>
    <w:p w:rsidR="001A178E" w:rsidRDefault="00E031D0">
      <w:pPr>
        <w:pStyle w:val="Style2"/>
        <w:numPr>
          <w:ilvl w:val="0"/>
          <w:numId w:val="1"/>
        </w:numPr>
        <w:shd w:val="clear" w:color="auto" w:fill="auto"/>
        <w:tabs>
          <w:tab w:val="left" w:pos="378"/>
        </w:tabs>
        <w:spacing w:after="220" w:line="295" w:lineRule="auto"/>
        <w:ind w:left="400" w:hanging="400"/>
        <w:jc w:val="both"/>
      </w:pPr>
      <w:r>
        <w:t>Místem pojištění pro pobyt předmětu pojištění jsou nahlášené adresy dle přihlášky; místo nakládky a vykládky je rovněž uvedeno v přihlášce.</w:t>
      </w:r>
    </w:p>
    <w:p w:rsidR="001A178E" w:rsidRDefault="00E031D0">
      <w:pPr>
        <w:pStyle w:val="Style12"/>
        <w:keepNext/>
        <w:keepLines/>
        <w:shd w:val="clear" w:color="auto" w:fill="auto"/>
        <w:spacing w:after="0"/>
      </w:pPr>
      <w:bookmarkStart w:id="13" w:name="bookmark15"/>
      <w:r>
        <w:t>Článek II</w:t>
      </w:r>
      <w:bookmarkEnd w:id="13"/>
    </w:p>
    <w:p w:rsidR="001A178E" w:rsidRDefault="00E031D0">
      <w:pPr>
        <w:pStyle w:val="Style12"/>
        <w:keepNext/>
        <w:keepLines/>
        <w:shd w:val="clear" w:color="auto" w:fill="auto"/>
        <w:spacing w:after="80"/>
      </w:pPr>
      <w:bookmarkStart w:id="14" w:name="bookmark13"/>
      <w:bookmarkStart w:id="15" w:name="bookmark14"/>
      <w:bookmarkStart w:id="16" w:name="bookmark16"/>
      <w:r>
        <w:rPr>
          <w:u w:val="single"/>
        </w:rPr>
        <w:t>Rozsah pojištění</w:t>
      </w:r>
      <w:bookmarkEnd w:id="14"/>
      <w:bookmarkEnd w:id="15"/>
      <w:bookmarkEnd w:id="16"/>
    </w:p>
    <w:p w:rsidR="001A178E" w:rsidRDefault="00E031D0">
      <w:pPr>
        <w:pStyle w:val="Style2"/>
        <w:numPr>
          <w:ilvl w:val="0"/>
          <w:numId w:val="2"/>
        </w:numPr>
        <w:shd w:val="clear" w:color="auto" w:fill="auto"/>
        <w:tabs>
          <w:tab w:val="left" w:pos="378"/>
        </w:tabs>
        <w:spacing w:line="257" w:lineRule="auto"/>
      </w:pPr>
      <w:r>
        <w:t xml:space="preserve">Touto pojistnou smlouvou lze sjednat následující </w:t>
      </w:r>
      <w:r>
        <w:t>rozsah pojistné ochrany:</w:t>
      </w:r>
    </w:p>
    <w:p w:rsidR="001A178E" w:rsidRDefault="00E031D0">
      <w:pPr>
        <w:pStyle w:val="Style2"/>
        <w:numPr>
          <w:ilvl w:val="0"/>
          <w:numId w:val="3"/>
        </w:numPr>
        <w:shd w:val="clear" w:color="auto" w:fill="auto"/>
        <w:tabs>
          <w:tab w:val="left" w:pos="824"/>
        </w:tabs>
        <w:spacing w:after="0" w:line="276" w:lineRule="auto"/>
        <w:ind w:left="820" w:hanging="320"/>
        <w:jc w:val="both"/>
      </w:pPr>
      <w:r>
        <w:t xml:space="preserve">Tzv. pojištění „z hřebíku na hřebík“ na dobu výpůjčky předmětu pojištění, tj. pro pojištění přepravy na místo výstavy a zpět a dále pro pojištění v místě výstavy (ve výstavních prostorách, případně uskladnění v depozitáři) a všech </w:t>
      </w:r>
      <w:r>
        <w:t>úkonů s tím bezprostředně souvisejících</w:t>
      </w:r>
    </w:p>
    <w:p w:rsidR="001A178E" w:rsidRDefault="00E031D0">
      <w:pPr>
        <w:pStyle w:val="Style2"/>
        <w:numPr>
          <w:ilvl w:val="0"/>
          <w:numId w:val="3"/>
        </w:numPr>
        <w:shd w:val="clear" w:color="auto" w:fill="auto"/>
        <w:tabs>
          <w:tab w:val="left" w:pos="824"/>
        </w:tabs>
        <w:spacing w:after="0" w:line="276" w:lineRule="auto"/>
        <w:ind w:firstLine="500"/>
        <w:jc w:val="both"/>
      </w:pPr>
      <w:r>
        <w:t>pojištění přepravy na místo výstavy a zpět vč. všech úkonů s tím bezprostředně souvisejících</w:t>
      </w:r>
    </w:p>
    <w:p w:rsidR="001A178E" w:rsidRDefault="00E031D0">
      <w:pPr>
        <w:pStyle w:val="Style2"/>
        <w:numPr>
          <w:ilvl w:val="0"/>
          <w:numId w:val="3"/>
        </w:numPr>
        <w:shd w:val="clear" w:color="auto" w:fill="auto"/>
        <w:tabs>
          <w:tab w:val="left" w:pos="990"/>
        </w:tabs>
        <w:spacing w:line="276" w:lineRule="auto"/>
        <w:ind w:left="820" w:hanging="320"/>
        <w:jc w:val="both"/>
      </w:pPr>
      <w:r>
        <w:t>pojištění přepravy pouze na místo výstavy či pouze zpět vč. všech úkonů s tím bezprostředně souvisejících</w:t>
      </w:r>
    </w:p>
    <w:p w:rsidR="001A178E" w:rsidRDefault="00E031D0">
      <w:pPr>
        <w:pStyle w:val="Style2"/>
        <w:numPr>
          <w:ilvl w:val="0"/>
          <w:numId w:val="2"/>
        </w:numPr>
        <w:shd w:val="clear" w:color="auto" w:fill="auto"/>
        <w:tabs>
          <w:tab w:val="left" w:pos="326"/>
        </w:tabs>
        <w:spacing w:after="0" w:line="271" w:lineRule="auto"/>
        <w:jc w:val="both"/>
      </w:pPr>
      <w:r>
        <w:t>Pojištění se sjed</w:t>
      </w:r>
      <w:r>
        <w:t xml:space="preserve">nává v souladu s pojistnými podmínkami a </w:t>
      </w:r>
      <w:r>
        <w:rPr>
          <w:b/>
          <w:bCs/>
        </w:rPr>
        <w:t>v rozsahu pojistného krytí</w:t>
      </w:r>
    </w:p>
    <w:p w:rsidR="001A178E" w:rsidRDefault="00E031D0">
      <w:pPr>
        <w:pStyle w:val="Style2"/>
        <w:shd w:val="clear" w:color="auto" w:fill="auto"/>
        <w:spacing w:after="0" w:line="271" w:lineRule="auto"/>
        <w:ind w:firstLine="320"/>
        <w:jc w:val="both"/>
      </w:pPr>
      <w:r>
        <w:rPr>
          <w:b/>
          <w:bCs/>
          <w:lang w:val="en-US" w:eastAsia="en-US" w:bidi="en-US"/>
        </w:rPr>
        <w:t>“All risks“:</w:t>
      </w:r>
    </w:p>
    <w:p w:rsidR="001A178E" w:rsidRDefault="00E031D0">
      <w:pPr>
        <w:pStyle w:val="Style2"/>
        <w:numPr>
          <w:ilvl w:val="0"/>
          <w:numId w:val="4"/>
        </w:numPr>
        <w:shd w:val="clear" w:color="auto" w:fill="auto"/>
        <w:tabs>
          <w:tab w:val="left" w:pos="652"/>
        </w:tabs>
        <w:spacing w:after="0" w:line="271" w:lineRule="auto"/>
        <w:ind w:firstLine="320"/>
        <w:jc w:val="both"/>
      </w:pPr>
      <w:r>
        <w:t>Všeobecné pojistné podmínky - obecná část (dále jen „UCZ/14'‘)</w:t>
      </w:r>
    </w:p>
    <w:p w:rsidR="001A178E" w:rsidRDefault="00E031D0">
      <w:pPr>
        <w:pStyle w:val="Style2"/>
        <w:numPr>
          <w:ilvl w:val="0"/>
          <w:numId w:val="4"/>
        </w:numPr>
        <w:shd w:val="clear" w:color="auto" w:fill="auto"/>
        <w:tabs>
          <w:tab w:val="left" w:pos="652"/>
        </w:tabs>
        <w:spacing w:after="0" w:line="271" w:lineRule="auto"/>
        <w:ind w:left="640" w:hanging="300"/>
        <w:jc w:val="both"/>
      </w:pPr>
      <w:r>
        <w:t>Všeobecné podmínky pro pojištění předmětů umělecké a/nebo sběratelské hodnoty (dále jen „UCZ/Um/14“)</w:t>
      </w:r>
    </w:p>
    <w:p w:rsidR="001A178E" w:rsidRDefault="00E031D0">
      <w:pPr>
        <w:pStyle w:val="Style2"/>
        <w:numPr>
          <w:ilvl w:val="0"/>
          <w:numId w:val="4"/>
        </w:numPr>
        <w:shd w:val="clear" w:color="auto" w:fill="auto"/>
        <w:tabs>
          <w:tab w:val="left" w:pos="652"/>
        </w:tabs>
        <w:spacing w:after="0" w:line="271" w:lineRule="auto"/>
        <w:ind w:left="640" w:hanging="300"/>
        <w:jc w:val="both"/>
      </w:pPr>
      <w:r>
        <w:t>Všeobecné podmínky pro pojištění přepravy zásilek (dále jen „UCZ/T/14“) - zvláštní část (dále jen „UCZ/T/14“) v rozsahu čl.4, odst. 4.2.1. Zároveň se ujednává, že výluka dle ČI. 6, odst. 6.2 bod m) a n) UCZ/T/14 neplatí.</w:t>
      </w:r>
    </w:p>
    <w:p w:rsidR="001A178E" w:rsidRDefault="00E031D0">
      <w:pPr>
        <w:pStyle w:val="Style2"/>
        <w:numPr>
          <w:ilvl w:val="0"/>
          <w:numId w:val="4"/>
        </w:numPr>
        <w:shd w:val="clear" w:color="auto" w:fill="auto"/>
        <w:tabs>
          <w:tab w:val="left" w:pos="652"/>
        </w:tabs>
        <w:spacing w:after="0" w:line="271" w:lineRule="auto"/>
        <w:ind w:firstLine="320"/>
        <w:jc w:val="both"/>
      </w:pPr>
      <w:r>
        <w:t>Doplňkové pojistné podmínky k pojiš</w:t>
      </w:r>
      <w:r>
        <w:t>tění majetku pro případ odcizení LIM/14</w:t>
      </w:r>
    </w:p>
    <w:p w:rsidR="001A178E" w:rsidRDefault="00E031D0">
      <w:pPr>
        <w:pStyle w:val="Style2"/>
        <w:numPr>
          <w:ilvl w:val="0"/>
          <w:numId w:val="4"/>
        </w:numPr>
        <w:shd w:val="clear" w:color="auto" w:fill="auto"/>
        <w:tabs>
          <w:tab w:val="left" w:pos="652"/>
        </w:tabs>
        <w:spacing w:after="0" w:line="283" w:lineRule="auto"/>
        <w:ind w:left="640" w:hanging="300"/>
        <w:jc w:val="both"/>
      </w:pPr>
      <w:r>
        <w:t>Všeobecné pojistné podmínky pojištění majetku pro případ odcizení - zvláštní část (dále jen „UCZ/</w:t>
      </w:r>
      <w:proofErr w:type="spellStart"/>
      <w:r>
        <w:t>Odc</w:t>
      </w:r>
      <w:proofErr w:type="spellEnd"/>
      <w:r>
        <w:t>/14“) - výklad pojmů</w:t>
      </w:r>
    </w:p>
    <w:p w:rsidR="001A178E" w:rsidRDefault="00E031D0">
      <w:pPr>
        <w:pStyle w:val="Style2"/>
        <w:numPr>
          <w:ilvl w:val="0"/>
          <w:numId w:val="4"/>
        </w:numPr>
        <w:shd w:val="clear" w:color="auto" w:fill="auto"/>
        <w:tabs>
          <w:tab w:val="left" w:pos="652"/>
        </w:tabs>
        <w:spacing w:after="120" w:line="283" w:lineRule="auto"/>
        <w:ind w:firstLine="320"/>
        <w:jc w:val="both"/>
      </w:pPr>
      <w:r>
        <w:t>Další podmínky pro poskytnutí pojistné ochrany</w:t>
      </w:r>
    </w:p>
    <w:p w:rsidR="001A178E" w:rsidRDefault="00E031D0">
      <w:pPr>
        <w:pStyle w:val="Style2"/>
        <w:numPr>
          <w:ilvl w:val="0"/>
          <w:numId w:val="2"/>
        </w:numPr>
        <w:shd w:val="clear" w:color="auto" w:fill="auto"/>
        <w:tabs>
          <w:tab w:val="left" w:pos="326"/>
        </w:tabs>
        <w:spacing w:after="0"/>
        <w:jc w:val="both"/>
      </w:pPr>
      <w:r>
        <w:t>Pro všechny rozsahy pojistné ochrany se sjednává</w:t>
      </w:r>
      <w:r>
        <w:t xml:space="preserve"> pojištění nebezpečí terorismu.</w:t>
      </w:r>
    </w:p>
    <w:p w:rsidR="001A178E" w:rsidRDefault="00E031D0">
      <w:pPr>
        <w:pStyle w:val="Style2"/>
        <w:shd w:val="clear" w:color="auto" w:fill="auto"/>
        <w:spacing w:after="0"/>
        <w:ind w:firstLine="320"/>
        <w:jc w:val="both"/>
      </w:pPr>
      <w:r>
        <w:t>Definice nebezpečí terorismu:</w:t>
      </w:r>
    </w:p>
    <w:p w:rsidR="001A178E" w:rsidRDefault="00E031D0">
      <w:pPr>
        <w:pStyle w:val="Style2"/>
        <w:shd w:val="clear" w:color="auto" w:fill="auto"/>
        <w:ind w:left="320" w:firstLine="20"/>
        <w:jc w:val="both"/>
      </w:pPr>
      <w:r>
        <w:t>Pojištění se vztahuje na krytí nebezpečí terorismu a to během pobytu předmětů pojištění na uvedeném místě pojištění a/nebo během jejich přepravy.</w:t>
      </w:r>
    </w:p>
    <w:p w:rsidR="001A178E" w:rsidRDefault="00E031D0">
      <w:pPr>
        <w:pStyle w:val="Style2"/>
        <w:shd w:val="clear" w:color="auto" w:fill="auto"/>
        <w:spacing w:line="257" w:lineRule="auto"/>
        <w:ind w:left="320" w:firstLine="20"/>
        <w:jc w:val="both"/>
      </w:pPr>
      <w:r>
        <w:t xml:space="preserve">Pro účely tohoto pojištění </w:t>
      </w:r>
      <w:r>
        <w:t xml:space="preserve">teroristický čin znamená čin nebo řadu činů, spočívající v použití síly nebo násilí, jakékoliv osoby či skupiny nebo skupin osob, ať už jednajících samostatně, nebo jménem jakékoliv organizace či organizací či ve spojení s nimi, k jejichž spáchání došlo z </w:t>
      </w:r>
      <w:r>
        <w:t>politických, náboženských nebo ideologických důvodů, a to včetně záměru ovlivnit z těchto důvodů jakoukoliv vládu nebo uvést veřejnost ve strach.</w:t>
      </w:r>
    </w:p>
    <w:p w:rsidR="001A178E" w:rsidRDefault="00E031D0">
      <w:pPr>
        <w:pStyle w:val="Style2"/>
        <w:shd w:val="clear" w:color="auto" w:fill="auto"/>
        <w:ind w:left="320" w:firstLine="20"/>
        <w:jc w:val="both"/>
      </w:pPr>
      <w:r>
        <w:t>Pokud pojistitel označí jakoukoliv škodu, následnou škodu, náklady nebo výdaje za událost, na kterou se pojišt</w:t>
      </w:r>
      <w:r>
        <w:t>ění nevztahuje, nese důkazní břemeno k prokázání opaku pojištěný.</w:t>
      </w:r>
    </w:p>
    <w:p w:rsidR="001A178E" w:rsidRDefault="00E031D0">
      <w:pPr>
        <w:pStyle w:val="Style2"/>
        <w:shd w:val="clear" w:color="auto" w:fill="auto"/>
        <w:spacing w:after="180" w:line="271" w:lineRule="auto"/>
        <w:ind w:left="320" w:firstLine="20"/>
        <w:jc w:val="both"/>
      </w:pPr>
      <w:r>
        <w:t xml:space="preserve">Pojistné krytí je dále upraveno i Smluvním ujednání pro pojištění terorismu INSTITUTE </w:t>
      </w:r>
      <w:r>
        <w:rPr>
          <w:lang w:val="en-US" w:eastAsia="en-US" w:bidi="en-US"/>
        </w:rPr>
        <w:t>STRIKES CLAUSES (CARGO)</w:t>
      </w:r>
    </w:p>
    <w:p w:rsidR="001A178E" w:rsidRDefault="00E031D0">
      <w:pPr>
        <w:pStyle w:val="Style12"/>
        <w:keepNext/>
        <w:keepLines/>
        <w:shd w:val="clear" w:color="auto" w:fill="auto"/>
        <w:spacing w:after="0" w:line="259" w:lineRule="auto"/>
        <w:jc w:val="both"/>
      </w:pPr>
      <w:bookmarkStart w:id="17" w:name="bookmark19"/>
      <w:r>
        <w:t xml:space="preserve">Článek </w:t>
      </w:r>
      <w:r>
        <w:rPr>
          <w:lang w:val="en-US" w:eastAsia="en-US" w:bidi="en-US"/>
        </w:rPr>
        <w:t>III</w:t>
      </w:r>
      <w:bookmarkEnd w:id="17"/>
    </w:p>
    <w:p w:rsidR="001A178E" w:rsidRDefault="00E031D0">
      <w:pPr>
        <w:pStyle w:val="Style12"/>
        <w:keepNext/>
        <w:keepLines/>
        <w:shd w:val="clear" w:color="auto" w:fill="auto"/>
        <w:spacing w:after="80" w:line="259" w:lineRule="auto"/>
        <w:jc w:val="both"/>
      </w:pPr>
      <w:bookmarkStart w:id="18" w:name="bookmark17"/>
      <w:bookmarkStart w:id="19" w:name="bookmark18"/>
      <w:bookmarkStart w:id="20" w:name="bookmark20"/>
      <w:r>
        <w:rPr>
          <w:u w:val="single"/>
        </w:rPr>
        <w:t>Územní rozsah pojistné ochrany</w:t>
      </w:r>
      <w:bookmarkEnd w:id="18"/>
      <w:bookmarkEnd w:id="19"/>
      <w:bookmarkEnd w:id="20"/>
    </w:p>
    <w:p w:rsidR="001A178E" w:rsidRDefault="00E031D0">
      <w:pPr>
        <w:pStyle w:val="Style2"/>
        <w:shd w:val="clear" w:color="auto" w:fill="auto"/>
        <w:spacing w:after="180"/>
        <w:jc w:val="both"/>
      </w:pPr>
      <w:r>
        <w:t xml:space="preserve">Pojištění se sjednává s územním </w:t>
      </w:r>
      <w:r>
        <w:t>rozsahem celý svět.</w:t>
      </w:r>
    </w:p>
    <w:p w:rsidR="001A178E" w:rsidRDefault="00E031D0">
      <w:pPr>
        <w:pStyle w:val="Style12"/>
        <w:keepNext/>
        <w:keepLines/>
        <w:shd w:val="clear" w:color="auto" w:fill="auto"/>
        <w:spacing w:after="0" w:line="259" w:lineRule="auto"/>
        <w:jc w:val="both"/>
      </w:pPr>
      <w:bookmarkStart w:id="21" w:name="bookmark23"/>
      <w:r>
        <w:t>Článek IV</w:t>
      </w:r>
      <w:bookmarkEnd w:id="21"/>
    </w:p>
    <w:p w:rsidR="001A178E" w:rsidRDefault="00E031D0">
      <w:pPr>
        <w:pStyle w:val="Style12"/>
        <w:keepNext/>
        <w:keepLines/>
        <w:shd w:val="clear" w:color="auto" w:fill="auto"/>
        <w:spacing w:after="80" w:line="259" w:lineRule="auto"/>
        <w:jc w:val="both"/>
      </w:pPr>
      <w:bookmarkStart w:id="22" w:name="bookmark21"/>
      <w:bookmarkStart w:id="23" w:name="bookmark22"/>
      <w:bookmarkStart w:id="24" w:name="bookmark24"/>
      <w:r>
        <w:rPr>
          <w:u w:val="single"/>
        </w:rPr>
        <w:t>Způsob a průběh pojištění</w:t>
      </w:r>
      <w:bookmarkEnd w:id="22"/>
      <w:bookmarkEnd w:id="23"/>
      <w:bookmarkEnd w:id="24"/>
    </w:p>
    <w:p w:rsidR="001A178E" w:rsidRDefault="00E031D0">
      <w:pPr>
        <w:pStyle w:val="Style2"/>
        <w:numPr>
          <w:ilvl w:val="0"/>
          <w:numId w:val="5"/>
        </w:numPr>
        <w:shd w:val="clear" w:color="auto" w:fill="auto"/>
        <w:tabs>
          <w:tab w:val="left" w:pos="326"/>
        </w:tabs>
        <w:ind w:left="320" w:hanging="320"/>
        <w:jc w:val="both"/>
      </w:pPr>
      <w:r>
        <w:t xml:space="preserve">Přepravy jednotlivých zásilek přihlašuje pojistník jednotlivými Přihláškami do pojištění (Příloha č.1 této pojistné smlouvy). Návrh musí být zaslán pojistiteli nejpozději 2 pracovní dny před </w:t>
      </w:r>
      <w:r>
        <w:t>požadovaným počátkem pojištění dle Přihlášky. Přihláška popř. její doplňující informace je považována za doručenou prostřednictvím elektronického potvrzení o přijetí. V případě nedostatků v Přihlášce či při neakceptování Přihlášky je pojistitel tuto skuteč</w:t>
      </w:r>
      <w:r>
        <w:t>nost oznámit pojistníkovi písemně do jednoho pracovního dne od obdržení Přihlášky.</w:t>
      </w:r>
    </w:p>
    <w:p w:rsidR="001A178E" w:rsidRDefault="00E031D0">
      <w:pPr>
        <w:pStyle w:val="Style2"/>
        <w:shd w:val="clear" w:color="auto" w:fill="auto"/>
        <w:ind w:firstLine="320"/>
        <w:jc w:val="both"/>
      </w:pPr>
      <w:r>
        <w:t>Obdobně se postupuje v případě pojištění z hřebíku na hřebík a při pojištění výstavy.</w:t>
      </w:r>
    </w:p>
    <w:p w:rsidR="001A178E" w:rsidRDefault="00E031D0">
      <w:pPr>
        <w:pStyle w:val="Style2"/>
        <w:shd w:val="clear" w:color="auto" w:fill="auto"/>
        <w:ind w:left="320" w:firstLine="20"/>
        <w:jc w:val="both"/>
      </w:pPr>
      <w:r>
        <w:t>V případě, že pojistník nemůže zaslat veškeré podklady, zašle alespoň předběžné informa</w:t>
      </w:r>
      <w:r>
        <w:t>ce k pojištění. Pokud tyto byly zaslány, je pojistník povinen oznámit všechny definitivní údaje ihned, jakmile se o nich dozví nebo dozvědět mohl, nejpozději však do 5 dnů po doručení předběžné přihlášky. Přihláška, kterou pojistitel obdrží později, musí b</w:t>
      </w:r>
      <w:r>
        <w:t>ýt doplněna odůvodněním opožděného přihlášení a prohlášením, že nedošlo ke škodě. Nastala4i však škoda před podáním Přihlášky, může pojistitel odmítnout sjednat pojištění a vzniklou škodu neuhradit.</w:t>
      </w:r>
    </w:p>
    <w:p w:rsidR="001A178E" w:rsidRDefault="00E031D0">
      <w:pPr>
        <w:pStyle w:val="Style2"/>
        <w:shd w:val="clear" w:color="auto" w:fill="auto"/>
        <w:spacing w:line="254" w:lineRule="auto"/>
        <w:ind w:left="340" w:firstLine="20"/>
        <w:jc w:val="both"/>
      </w:pPr>
      <w:r>
        <w:t xml:space="preserve">Pojištění zadané přihláškou bude možné stornovat, a to </w:t>
      </w:r>
      <w:proofErr w:type="spellStart"/>
      <w:r>
        <w:t>ne</w:t>
      </w:r>
      <w:r>
        <w:t>jpozdějí</w:t>
      </w:r>
      <w:proofErr w:type="spellEnd"/>
      <w:r>
        <w:t xml:space="preserve"> před započetím přepravy či výstavy. V takovém případě nebude účtováno žádné pojistné.</w:t>
      </w:r>
    </w:p>
    <w:p w:rsidR="001A178E" w:rsidRDefault="00E031D0">
      <w:pPr>
        <w:pStyle w:val="Style2"/>
        <w:numPr>
          <w:ilvl w:val="0"/>
          <w:numId w:val="5"/>
        </w:numPr>
        <w:shd w:val="clear" w:color="auto" w:fill="auto"/>
        <w:tabs>
          <w:tab w:val="left" w:pos="317"/>
        </w:tabs>
        <w:ind w:left="340" w:hanging="340"/>
        <w:jc w:val="both"/>
      </w:pPr>
      <w:r>
        <w:t xml:space="preserve">Hodnota předmětů pojištění v rámci jedné Přihlášky do pojištění nesmí přesáhnout </w:t>
      </w:r>
      <w:r w:rsidR="00253E9A">
        <w:t>XXXXXXXXX</w:t>
      </w:r>
      <w:r>
        <w:t>,- Kč nebo ekvivalent této částky v cizí měně.</w:t>
      </w:r>
    </w:p>
    <w:p w:rsidR="001A178E" w:rsidRDefault="00E031D0">
      <w:pPr>
        <w:pStyle w:val="Style2"/>
        <w:numPr>
          <w:ilvl w:val="0"/>
          <w:numId w:val="5"/>
        </w:numPr>
        <w:shd w:val="clear" w:color="auto" w:fill="auto"/>
        <w:tabs>
          <w:tab w:val="left" w:pos="317"/>
        </w:tabs>
      </w:pPr>
      <w:r>
        <w:t xml:space="preserve">Přihláška do pojištění </w:t>
      </w:r>
      <w:r>
        <w:t xml:space="preserve">se akceptací </w:t>
      </w:r>
      <w:proofErr w:type="spellStart"/>
      <w:r>
        <w:t>pojstitele</w:t>
      </w:r>
      <w:proofErr w:type="spellEnd"/>
      <w:r>
        <w:t xml:space="preserve"> stává součástí pojistné smlouvy.</w:t>
      </w:r>
    </w:p>
    <w:p w:rsidR="001A178E" w:rsidRDefault="00E031D0">
      <w:pPr>
        <w:pStyle w:val="Style2"/>
        <w:numPr>
          <w:ilvl w:val="0"/>
          <w:numId w:val="5"/>
        </w:numPr>
        <w:shd w:val="clear" w:color="auto" w:fill="auto"/>
        <w:tabs>
          <w:tab w:val="left" w:pos="317"/>
        </w:tabs>
        <w:spacing w:after="200"/>
        <w:ind w:left="400" w:hanging="400"/>
        <w:jc w:val="both"/>
      </w:pPr>
      <w:r>
        <w:t>Pojištění se sjednává v CZK (českých korunách). Přepočet cizích měn na CZK se provádí směnným kurzem devizového trhu, který je vyhlašován Českou národní bankou, kdy se při účtování pojistného použije</w:t>
      </w:r>
      <w:r>
        <w:t xml:space="preserve"> kurz platný v den doručení Přihlášky do pojištění pojistiteli, a při výplatě pojistného plnění se použije kurz platný v den vzniku škodné události, která zakládá právo na pojistné plnění.</w:t>
      </w:r>
    </w:p>
    <w:p w:rsidR="001A178E" w:rsidRDefault="00E031D0">
      <w:pPr>
        <w:pStyle w:val="Style2"/>
        <w:shd w:val="clear" w:color="auto" w:fill="auto"/>
        <w:spacing w:after="0" w:line="266" w:lineRule="auto"/>
        <w:jc w:val="both"/>
      </w:pPr>
      <w:r>
        <w:rPr>
          <w:b/>
          <w:bCs/>
        </w:rPr>
        <w:t>Článek V</w:t>
      </w:r>
    </w:p>
    <w:p w:rsidR="001A178E" w:rsidRDefault="00E031D0">
      <w:pPr>
        <w:pStyle w:val="Style2"/>
        <w:shd w:val="clear" w:color="auto" w:fill="auto"/>
        <w:spacing w:line="266" w:lineRule="auto"/>
        <w:jc w:val="both"/>
      </w:pPr>
      <w:r>
        <w:rPr>
          <w:b/>
          <w:bCs/>
          <w:u w:val="single"/>
        </w:rPr>
        <w:t xml:space="preserve">Pojistná hodnota, pojistná částka, limit plnění, spoluúčast, pojistné, sleva za příznivý škodní </w:t>
      </w:r>
      <w:r>
        <w:rPr>
          <w:b/>
          <w:bCs/>
        </w:rPr>
        <w:t>průběh</w:t>
      </w:r>
    </w:p>
    <w:p w:rsidR="001A178E" w:rsidRDefault="00E031D0">
      <w:pPr>
        <w:pStyle w:val="Style2"/>
        <w:numPr>
          <w:ilvl w:val="0"/>
          <w:numId w:val="6"/>
        </w:numPr>
        <w:shd w:val="clear" w:color="auto" w:fill="auto"/>
        <w:tabs>
          <w:tab w:val="left" w:pos="317"/>
        </w:tabs>
        <w:spacing w:after="0" w:line="257" w:lineRule="auto"/>
      </w:pPr>
      <w:r>
        <w:t>Pojistná hodnota:</w:t>
      </w:r>
    </w:p>
    <w:p w:rsidR="001A178E" w:rsidRDefault="00E031D0">
      <w:pPr>
        <w:pStyle w:val="Style2"/>
        <w:shd w:val="clear" w:color="auto" w:fill="auto"/>
        <w:spacing w:after="0" w:line="257" w:lineRule="auto"/>
        <w:ind w:left="340" w:firstLine="20"/>
        <w:jc w:val="both"/>
      </w:pPr>
      <w:r>
        <w:t>Pojištění se sjednává na pojistnou hodnotu předmětu pojištění (dle údajů uvedených v příloze k jednotlivé Přihlášce do pojištění). Urče</w:t>
      </w:r>
      <w:r>
        <w:t>ná pojistná hodnota je horní hranicí plnění pojistitele pro plnění ze všech pojistných událostí nastalých v průběhu doby trvání pojištění.</w:t>
      </w:r>
    </w:p>
    <w:p w:rsidR="001A178E" w:rsidRDefault="00E031D0">
      <w:pPr>
        <w:pStyle w:val="Style2"/>
        <w:shd w:val="clear" w:color="auto" w:fill="auto"/>
        <w:spacing w:line="257" w:lineRule="auto"/>
        <w:ind w:left="340" w:firstLine="20"/>
        <w:jc w:val="both"/>
      </w:pPr>
      <w:r>
        <w:t>Celková pojistná hodnota / pojistná částka všech předmětů pojištění dle údajů v jednotlivé přihlášce do pojištění. Ur</w:t>
      </w:r>
      <w:r>
        <w:t>čená pojistná hodnota je horní hranicí plnění pojistitele pro plnění ze všech pojistných událostí nastalých v průběhu doby trvání pojištění za všechny předměty pojištění celkem.</w:t>
      </w:r>
    </w:p>
    <w:p w:rsidR="001A178E" w:rsidRDefault="00E031D0">
      <w:pPr>
        <w:pStyle w:val="Style2"/>
        <w:numPr>
          <w:ilvl w:val="0"/>
          <w:numId w:val="6"/>
        </w:numPr>
        <w:shd w:val="clear" w:color="auto" w:fill="auto"/>
        <w:tabs>
          <w:tab w:val="left" w:pos="317"/>
        </w:tabs>
        <w:spacing w:after="0" w:line="262" w:lineRule="auto"/>
      </w:pPr>
      <w:r>
        <w:t>Maximální pojistná hodnota výstavy</w:t>
      </w:r>
    </w:p>
    <w:p w:rsidR="001A178E" w:rsidRDefault="00E031D0">
      <w:pPr>
        <w:pStyle w:val="Style2"/>
        <w:numPr>
          <w:ilvl w:val="0"/>
          <w:numId w:val="7"/>
        </w:numPr>
        <w:shd w:val="clear" w:color="auto" w:fill="auto"/>
        <w:tabs>
          <w:tab w:val="left" w:pos="629"/>
        </w:tabs>
        <w:spacing w:line="262" w:lineRule="auto"/>
        <w:ind w:left="340" w:firstLine="20"/>
        <w:jc w:val="both"/>
      </w:pPr>
      <w:r>
        <w:t>případě, že celková hodnota pojištěných pře</w:t>
      </w:r>
      <w:r>
        <w:t xml:space="preserve">dmětů v místě pojištění pojištěných v rámci výstavy přesáhne celkovou hodnotu </w:t>
      </w:r>
      <w:r w:rsidR="00253E9A">
        <w:t>XXXXXXX</w:t>
      </w:r>
      <w:r>
        <w:t>,- Kč musí být sjednání dalšího pojištění projednáno s pojistitelem.</w:t>
      </w:r>
    </w:p>
    <w:p w:rsidR="001A178E" w:rsidRDefault="00E031D0">
      <w:pPr>
        <w:pStyle w:val="Style2"/>
        <w:numPr>
          <w:ilvl w:val="0"/>
          <w:numId w:val="6"/>
        </w:numPr>
        <w:shd w:val="clear" w:color="auto" w:fill="auto"/>
        <w:tabs>
          <w:tab w:val="left" w:pos="317"/>
        </w:tabs>
        <w:spacing w:after="0"/>
      </w:pPr>
      <w:r>
        <w:t>Spoluúčast:</w:t>
      </w:r>
    </w:p>
    <w:p w:rsidR="001A178E" w:rsidRDefault="00E031D0">
      <w:pPr>
        <w:pStyle w:val="Style2"/>
        <w:shd w:val="clear" w:color="auto" w:fill="auto"/>
        <w:ind w:firstLine="340"/>
      </w:pPr>
      <w:r>
        <w:t xml:space="preserve">Pojištění se sjednává spoluúčastí ve výši </w:t>
      </w:r>
      <w:r w:rsidR="00253E9A">
        <w:t>XXXXX</w:t>
      </w:r>
      <w:r>
        <w:t>,- Kč.</w:t>
      </w:r>
    </w:p>
    <w:p w:rsidR="001A178E" w:rsidRDefault="00E031D0">
      <w:pPr>
        <w:pStyle w:val="Style2"/>
        <w:numPr>
          <w:ilvl w:val="0"/>
          <w:numId w:val="6"/>
        </w:numPr>
        <w:shd w:val="clear" w:color="auto" w:fill="auto"/>
        <w:tabs>
          <w:tab w:val="left" w:pos="317"/>
        </w:tabs>
        <w:spacing w:after="0" w:line="257" w:lineRule="auto"/>
      </w:pPr>
      <w:r>
        <w:t xml:space="preserve">Balení a manipulace se </w:t>
      </w:r>
      <w:r>
        <w:t>zapůjčenými uměleckými díly</w:t>
      </w:r>
    </w:p>
    <w:p w:rsidR="001A178E" w:rsidRDefault="00E031D0">
      <w:pPr>
        <w:pStyle w:val="Style2"/>
        <w:shd w:val="clear" w:color="auto" w:fill="auto"/>
        <w:spacing w:after="0" w:line="257" w:lineRule="auto"/>
        <w:ind w:left="340" w:firstLine="20"/>
        <w:jc w:val="both"/>
      </w:pPr>
      <w:r>
        <w:t>Přeprava děl probíhá pod dohledem pověřeného kurátora. Díla jsou při přebírání podrobena fyzické kontrole a jejich stav je zaznamenán do protokolu o stavu díla. Způsob balení dle VPP UCZ/Um/14.</w:t>
      </w:r>
    </w:p>
    <w:p w:rsidR="001A178E" w:rsidRDefault="00E031D0">
      <w:pPr>
        <w:pStyle w:val="Style2"/>
        <w:numPr>
          <w:ilvl w:val="0"/>
          <w:numId w:val="7"/>
        </w:numPr>
        <w:shd w:val="clear" w:color="auto" w:fill="auto"/>
        <w:tabs>
          <w:tab w:val="left" w:pos="629"/>
        </w:tabs>
        <w:spacing w:line="257" w:lineRule="auto"/>
        <w:ind w:left="340" w:firstLine="20"/>
        <w:jc w:val="both"/>
      </w:pPr>
      <w:r>
        <w:t xml:space="preserve">nákladovém prostoru vozidla </w:t>
      </w:r>
      <w:r>
        <w:t>jsou všechna umělecká díla zabezpečena proti posunu. Při předání děl půjčiteli je postup předání obdobný. Další ujednání viz VPP UCZ/Um/14.</w:t>
      </w:r>
    </w:p>
    <w:p w:rsidR="001A178E" w:rsidRDefault="00E031D0">
      <w:pPr>
        <w:pStyle w:val="Style2"/>
        <w:numPr>
          <w:ilvl w:val="0"/>
          <w:numId w:val="6"/>
        </w:numPr>
        <w:shd w:val="clear" w:color="auto" w:fill="auto"/>
        <w:tabs>
          <w:tab w:val="left" w:pos="317"/>
        </w:tabs>
        <w:spacing w:after="0" w:line="269" w:lineRule="auto"/>
      </w:pPr>
      <w:r>
        <w:t>Pojistné</w:t>
      </w:r>
    </w:p>
    <w:p w:rsidR="001A178E" w:rsidRDefault="00E031D0">
      <w:pPr>
        <w:pStyle w:val="Style2"/>
        <w:numPr>
          <w:ilvl w:val="1"/>
          <w:numId w:val="6"/>
        </w:numPr>
        <w:shd w:val="clear" w:color="auto" w:fill="auto"/>
        <w:tabs>
          <w:tab w:val="left" w:pos="848"/>
        </w:tabs>
        <w:spacing w:after="0" w:line="269" w:lineRule="auto"/>
        <w:ind w:left="840" w:hanging="480"/>
        <w:jc w:val="both"/>
      </w:pPr>
      <w:r>
        <w:t>Jednorázové pojistné je vypočteno na základě předložených podkladů v rámci Přihlášky do pojištění z pojistn</w:t>
      </w:r>
      <w:r>
        <w:t>é hodnoty předmětu pojištění dle Sazebníku uvedeného v Příloze č. 2 této pojistné smlouvy a dle zvoleného rozsahu pojistné ochrany (viz Článek II, odst. 1).</w:t>
      </w:r>
    </w:p>
    <w:p w:rsidR="001A178E" w:rsidRDefault="00E031D0">
      <w:pPr>
        <w:pStyle w:val="Style2"/>
        <w:numPr>
          <w:ilvl w:val="1"/>
          <w:numId w:val="6"/>
        </w:numPr>
        <w:shd w:val="clear" w:color="auto" w:fill="auto"/>
        <w:tabs>
          <w:tab w:val="left" w:pos="848"/>
        </w:tabs>
        <w:spacing w:after="0" w:line="269" w:lineRule="auto"/>
        <w:ind w:left="840" w:hanging="480"/>
        <w:jc w:val="both"/>
      </w:pPr>
      <w:r>
        <w:t xml:space="preserve">Minimální pojistné za jednotlivou Přihlášku do pojištění činí 1.000,- Kč a je splatné do 14-ti dnů </w:t>
      </w:r>
      <w:r>
        <w:t>ode dne doručení daňového dokladu - příkazu k úhradě vystaveného pojistitelem, pokud nebude dohodnuto jinak. Ne však dříve než po započetí přepravy či výstavy.</w:t>
      </w:r>
    </w:p>
    <w:p w:rsidR="001A178E" w:rsidRDefault="00E031D0">
      <w:pPr>
        <w:pStyle w:val="Style2"/>
        <w:numPr>
          <w:ilvl w:val="1"/>
          <w:numId w:val="6"/>
        </w:numPr>
        <w:shd w:val="clear" w:color="auto" w:fill="auto"/>
        <w:tabs>
          <w:tab w:val="left" w:pos="848"/>
        </w:tabs>
        <w:spacing w:after="200" w:line="269" w:lineRule="auto"/>
        <w:ind w:left="840" w:hanging="480"/>
        <w:jc w:val="both"/>
      </w:pPr>
      <w:r>
        <w:t xml:space="preserve">Takto stanovené pojistné je úplatou za poskytnutou pojistnou ochranu pojištěných věcí po </w:t>
      </w:r>
      <w:r>
        <w:t>dobu trvání pojištění v návaznosti na zvolený rozsah pojistné ochrany (viz Článek II, odst. 1).</w:t>
      </w:r>
    </w:p>
    <w:p w:rsidR="001A178E" w:rsidRDefault="00E031D0">
      <w:pPr>
        <w:pStyle w:val="Style2"/>
        <w:numPr>
          <w:ilvl w:val="0"/>
          <w:numId w:val="6"/>
        </w:numPr>
        <w:shd w:val="clear" w:color="auto" w:fill="auto"/>
        <w:tabs>
          <w:tab w:val="left" w:pos="317"/>
        </w:tabs>
        <w:spacing w:after="0"/>
      </w:pPr>
      <w:r>
        <w:t>Sleva za příznivý škodní průběh</w:t>
      </w:r>
    </w:p>
    <w:p w:rsidR="001A178E" w:rsidRDefault="00E031D0">
      <w:pPr>
        <w:pStyle w:val="Style2"/>
        <w:numPr>
          <w:ilvl w:val="0"/>
          <w:numId w:val="7"/>
        </w:numPr>
        <w:shd w:val="clear" w:color="auto" w:fill="auto"/>
        <w:tabs>
          <w:tab w:val="left" w:pos="317"/>
        </w:tabs>
        <w:spacing w:after="200"/>
        <w:jc w:val="center"/>
      </w:pPr>
      <w:r>
        <w:t>závislosti na škodním průběhu pojištění poskytne pojistitel pojistníkovi bonifikaci, a to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4272"/>
      </w:tblGrid>
      <w:tr w:rsidR="001A178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>Reálný škodní průběh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>Sleva</w:t>
            </w:r>
          </w:p>
        </w:tc>
      </w:tr>
      <w:tr w:rsidR="001A178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 xml:space="preserve">do </w:t>
            </w:r>
            <w:r>
              <w:t>0 %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>15%</w:t>
            </w:r>
          </w:p>
        </w:tc>
      </w:tr>
      <w:tr w:rsidR="001A178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>do 10%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>5%</w:t>
            </w:r>
          </w:p>
        </w:tc>
      </w:tr>
    </w:tbl>
    <w:p w:rsidR="001A178E" w:rsidRDefault="001A178E">
      <w:pPr>
        <w:spacing w:after="199" w:line="1" w:lineRule="exact"/>
      </w:pPr>
    </w:p>
    <w:p w:rsidR="001A178E" w:rsidRDefault="00E031D0">
      <w:pPr>
        <w:pStyle w:val="Style2"/>
        <w:shd w:val="clear" w:color="auto" w:fill="auto"/>
        <w:spacing w:after="0" w:line="286" w:lineRule="auto"/>
        <w:ind w:left="340" w:firstLine="20"/>
      </w:pPr>
      <w:r>
        <w:t xml:space="preserve">Reálným škodním průběhem za hodnocenou dobu pojištění (za pojistný neboli upisovací rok) se rozumí poměr výše zaplacených a výše nahlášených (dosud nezaplacených) pojistných událostí vždy od počátku pojištění až do konce </w:t>
      </w:r>
      <w:r>
        <w:t>hodnoceného období k výši spotřebovaného</w:t>
      </w:r>
      <w:r>
        <w:br w:type="page"/>
        <w:t>pojistného (tj. poměrný díl pojistného odpovídající počtu uplynulých dnů) od počátku do konce hodnoceného období.</w:t>
      </w:r>
    </w:p>
    <w:p w:rsidR="001A178E" w:rsidRDefault="00E031D0">
      <w:pPr>
        <w:pStyle w:val="Style2"/>
        <w:shd w:val="clear" w:color="auto" w:fill="auto"/>
        <w:spacing w:after="160" w:line="288" w:lineRule="auto"/>
        <w:ind w:left="340"/>
      </w:pPr>
      <w:r>
        <w:t>Podmínkou pro vyplacení bonifikace je uhrazení předepsaného pojistného vdaném pojistném roce, resp. z</w:t>
      </w:r>
      <w:r>
        <w:t>a vyhodnocované období. Nárok nevznikne při ukončení platnosti pojistné smlouvy před uplynutím celého pojistného roku, resp. doby dané platnou pojistnou smlouvou.</w:t>
      </w:r>
    </w:p>
    <w:p w:rsidR="001A178E" w:rsidRDefault="00E031D0">
      <w:pPr>
        <w:pStyle w:val="Style2"/>
        <w:shd w:val="clear" w:color="auto" w:fill="auto"/>
        <w:spacing w:after="0" w:line="240" w:lineRule="auto"/>
      </w:pPr>
      <w:r>
        <w:rPr>
          <w:b/>
          <w:bCs/>
        </w:rPr>
        <w:t>Článek VI</w:t>
      </w:r>
    </w:p>
    <w:p w:rsidR="001A178E" w:rsidRDefault="00E031D0">
      <w:pPr>
        <w:pStyle w:val="Style2"/>
        <w:shd w:val="clear" w:color="auto" w:fill="auto"/>
        <w:spacing w:line="240" w:lineRule="auto"/>
      </w:pPr>
      <w:r>
        <w:rPr>
          <w:b/>
          <w:bCs/>
          <w:u w:val="single"/>
        </w:rPr>
        <w:t>Doba trvání pojištění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5021"/>
      </w:tblGrid>
      <w:tr w:rsidR="001A178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shd w:val="clear" w:color="auto" w:fill="FFFFFF"/>
            <w:vAlign w:val="bottom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>Počátek pojištění: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  <w:ind w:firstLine="220"/>
            </w:pPr>
            <w:r>
              <w:t>1.1.2021 (00:00 hod)</w:t>
            </w:r>
          </w:p>
        </w:tc>
      </w:tr>
      <w:tr w:rsidR="001A178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shd w:val="clear" w:color="auto" w:fill="FFFFFF"/>
            <w:vAlign w:val="bottom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>Konec pojištění: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  <w:ind w:firstLine="220"/>
            </w:pPr>
            <w:r>
              <w:t>1.1.2025 (00:00 hod) bez automatického prodlužování</w:t>
            </w:r>
          </w:p>
        </w:tc>
      </w:tr>
      <w:tr w:rsidR="001A178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19" w:type="dxa"/>
            <w:shd w:val="clear" w:color="auto" w:fill="FFFFFF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</w:pPr>
            <w:r>
              <w:t>Pojistné období:</w:t>
            </w:r>
          </w:p>
        </w:tc>
        <w:tc>
          <w:tcPr>
            <w:tcW w:w="5021" w:type="dxa"/>
            <w:shd w:val="clear" w:color="auto" w:fill="FFFFFF"/>
          </w:tcPr>
          <w:p w:rsidR="001A178E" w:rsidRDefault="00E031D0">
            <w:pPr>
              <w:pStyle w:val="Style17"/>
              <w:shd w:val="clear" w:color="auto" w:fill="auto"/>
              <w:spacing w:after="0" w:line="240" w:lineRule="auto"/>
              <w:ind w:firstLine="220"/>
            </w:pPr>
            <w:r>
              <w:t>12 měsíců</w:t>
            </w:r>
          </w:p>
        </w:tc>
      </w:tr>
    </w:tbl>
    <w:p w:rsidR="001A178E" w:rsidRDefault="001A178E">
      <w:pPr>
        <w:spacing w:after="159" w:line="1" w:lineRule="exact"/>
      </w:pPr>
    </w:p>
    <w:p w:rsidR="001A178E" w:rsidRDefault="00E031D0">
      <w:pPr>
        <w:pStyle w:val="Style12"/>
        <w:keepNext/>
        <w:keepLines/>
        <w:shd w:val="clear" w:color="auto" w:fill="auto"/>
        <w:spacing w:after="0" w:line="240" w:lineRule="auto"/>
      </w:pPr>
      <w:bookmarkStart w:id="25" w:name="bookmark27"/>
      <w:r>
        <w:t>Článek VII</w:t>
      </w:r>
      <w:bookmarkEnd w:id="25"/>
    </w:p>
    <w:p w:rsidR="001A178E" w:rsidRDefault="00E031D0">
      <w:pPr>
        <w:pStyle w:val="Style12"/>
        <w:keepNext/>
        <w:keepLines/>
        <w:shd w:val="clear" w:color="auto" w:fill="auto"/>
        <w:spacing w:after="80" w:line="240" w:lineRule="auto"/>
      </w:pPr>
      <w:bookmarkStart w:id="26" w:name="bookmark25"/>
      <w:bookmarkStart w:id="27" w:name="bookmark26"/>
      <w:bookmarkStart w:id="28" w:name="bookmark28"/>
      <w:r>
        <w:rPr>
          <w:u w:val="single"/>
        </w:rPr>
        <w:t>Ujednání pro případ vzniku škodné události</w:t>
      </w:r>
      <w:bookmarkEnd w:id="26"/>
      <w:bookmarkEnd w:id="27"/>
      <w:bookmarkEnd w:id="28"/>
    </w:p>
    <w:p w:rsidR="001A178E" w:rsidRDefault="00E031D0">
      <w:pPr>
        <w:pStyle w:val="Style2"/>
        <w:numPr>
          <w:ilvl w:val="0"/>
          <w:numId w:val="8"/>
        </w:numPr>
        <w:shd w:val="clear" w:color="auto" w:fill="auto"/>
        <w:tabs>
          <w:tab w:val="left" w:pos="329"/>
        </w:tabs>
        <w:spacing w:line="286" w:lineRule="auto"/>
        <w:ind w:left="340" w:hanging="340"/>
        <w:jc w:val="both"/>
      </w:pPr>
      <w:r>
        <w:t xml:space="preserve">Pojištěný, případně zplnomocněný zástupce, telefonicky nahlásí na </w:t>
      </w:r>
      <w:r>
        <w:rPr>
          <w:lang w:val="en-US" w:eastAsia="en-US" w:bidi="en-US"/>
        </w:rPr>
        <w:t xml:space="preserve">Call </w:t>
      </w:r>
      <w:r>
        <w:t>centrum UNIQA pojišťovny a.s. (</w:t>
      </w:r>
      <w:proofErr w:type="spellStart"/>
      <w:r>
        <w:t>tel.č</w:t>
      </w:r>
      <w:proofErr w:type="spellEnd"/>
      <w:r>
        <w:t xml:space="preserve">. </w:t>
      </w:r>
      <w:r w:rsidR="00253E9A">
        <w:t>XXXXXXXX</w:t>
      </w:r>
      <w:r>
        <w:t xml:space="preserve">) vznik škodné události, kde bude tato registrována a sděleno registrační číslo události). Případně tak lze učinit písemně </w:t>
      </w:r>
      <w:proofErr w:type="spellStart"/>
      <w:r>
        <w:t>emailem</w:t>
      </w:r>
      <w:r w:rsidR="00253E9A">
        <w:t>XXXXXXXXXXXXXX</w:t>
      </w:r>
      <w:proofErr w:type="spellEnd"/>
    </w:p>
    <w:p w:rsidR="001A178E" w:rsidRDefault="00E031D0">
      <w:pPr>
        <w:pStyle w:val="Style2"/>
        <w:numPr>
          <w:ilvl w:val="0"/>
          <w:numId w:val="8"/>
        </w:numPr>
        <w:shd w:val="clear" w:color="auto" w:fill="auto"/>
        <w:tabs>
          <w:tab w:val="left" w:pos="329"/>
        </w:tabs>
        <w:spacing w:after="0" w:line="286" w:lineRule="auto"/>
      </w:pPr>
      <w:r>
        <w:t>Příslušnému pracovníkovi linky je třeba sdělit následující:</w:t>
      </w:r>
    </w:p>
    <w:p w:rsidR="001A178E" w:rsidRDefault="00E031D0">
      <w:pPr>
        <w:pStyle w:val="Style2"/>
        <w:shd w:val="clear" w:color="auto" w:fill="auto"/>
        <w:spacing w:after="0" w:line="286" w:lineRule="auto"/>
        <w:ind w:left="640" w:firstLine="20"/>
      </w:pPr>
      <w:r>
        <w:t>jméno, adresu, číslo pojistné smlouvy, kontaktní spojení vč. emailové adresy, stručně jak a kdy k PU došlo, pravděpodobnou výši škody,</w:t>
      </w:r>
    </w:p>
    <w:p w:rsidR="001A178E" w:rsidRDefault="00E031D0">
      <w:pPr>
        <w:pStyle w:val="Style2"/>
        <w:shd w:val="clear" w:color="auto" w:fill="auto"/>
        <w:spacing w:after="240" w:line="286" w:lineRule="auto"/>
        <w:ind w:left="640" w:firstLine="20"/>
        <w:jc w:val="both"/>
      </w:pPr>
      <w:r>
        <w:t>adresu, místo, kde se poškozené předměty pojištění nacházejí, kontaktní osobu pro zajištění prohlídky a posouzení rozsahu takto vzniklé škody (nutné k přizvání technika, případně soudního znalce).</w:t>
      </w:r>
    </w:p>
    <w:p w:rsidR="001A178E" w:rsidRDefault="00E031D0">
      <w:pPr>
        <w:pStyle w:val="Style12"/>
        <w:keepNext/>
        <w:keepLines/>
        <w:shd w:val="clear" w:color="auto" w:fill="auto"/>
        <w:spacing w:after="80" w:line="254" w:lineRule="auto"/>
      </w:pPr>
      <w:bookmarkStart w:id="29" w:name="bookmark29"/>
      <w:bookmarkStart w:id="30" w:name="bookmark30"/>
      <w:bookmarkStart w:id="31" w:name="bookmark31"/>
      <w:r>
        <w:rPr>
          <w:u w:val="single"/>
        </w:rPr>
        <w:t>ZÁVĚREČNÁ USTANOVENÍ A UJEDNÁNÍ</w:t>
      </w:r>
      <w:bookmarkEnd w:id="29"/>
      <w:bookmarkEnd w:id="30"/>
      <w:bookmarkEnd w:id="31"/>
    </w:p>
    <w:p w:rsidR="001A178E" w:rsidRDefault="00E031D0">
      <w:pPr>
        <w:pStyle w:val="Style2"/>
        <w:numPr>
          <w:ilvl w:val="0"/>
          <w:numId w:val="9"/>
        </w:numPr>
        <w:shd w:val="clear" w:color="auto" w:fill="auto"/>
        <w:tabs>
          <w:tab w:val="left" w:pos="329"/>
        </w:tabs>
        <w:spacing w:after="0" w:line="254" w:lineRule="auto"/>
        <w:ind w:left="340" w:hanging="340"/>
        <w:jc w:val="both"/>
      </w:pPr>
      <w:r>
        <w:t xml:space="preserve">Pojistná smlouva </w:t>
      </w:r>
      <w:r>
        <w:t>obsahuje 6 listů. Přílohu č.1 - 6 a je na základě dohody smluvních stran vyhotovena v elektronické podobě ve formátu PDF, přičemž původ a integrita elektronického vyhotovení této smlouvy, jakož i totožnost jednajících osob, jsou zaručeny elektronickými pod</w:t>
      </w:r>
      <w:r>
        <w:t>pisy smluvních stran, resp. osob oprávněných za smluvní stranu tuto smlouvu uzavřít. Každá ze smluvních stran obdrží originál pojistné smlouvy v elektronické podobě.</w:t>
      </w:r>
    </w:p>
    <w:p w:rsidR="001A178E" w:rsidRDefault="00E031D0">
      <w:pPr>
        <w:pStyle w:val="Style2"/>
        <w:shd w:val="clear" w:color="auto" w:fill="auto"/>
        <w:spacing w:line="254" w:lineRule="auto"/>
        <w:ind w:left="340"/>
        <w:jc w:val="both"/>
      </w:pPr>
      <w:r>
        <w:t>Veškeré změny a doplňky pojistné smlouvy lze činit pouze formou písemných číslovaných doda</w:t>
      </w:r>
      <w:r>
        <w:t xml:space="preserve">tků, a to v elektronické podobě ve formátu PDF, který bude opatřen elektronickými podpisy smluvních stran resp. osob oprávněných za smluvní stranu dodatek </w:t>
      </w:r>
      <w:proofErr w:type="spellStart"/>
      <w:r>
        <w:t>uzavřít.Tato</w:t>
      </w:r>
      <w:proofErr w:type="spellEnd"/>
      <w:r>
        <w:t xml:space="preserve"> pojistná smlouva obsahuje 6 stran textu a 6 příloh a je vystavena ve dvou vyhotoveních, </w:t>
      </w:r>
      <w:r>
        <w:t>z nichž vždy po jednom obdrží pojistník a pojistitel.</w:t>
      </w:r>
    </w:p>
    <w:p w:rsidR="001A178E" w:rsidRDefault="00E031D0">
      <w:pPr>
        <w:pStyle w:val="Style2"/>
        <w:numPr>
          <w:ilvl w:val="0"/>
          <w:numId w:val="9"/>
        </w:numPr>
        <w:shd w:val="clear" w:color="auto" w:fill="auto"/>
        <w:tabs>
          <w:tab w:val="left" w:pos="329"/>
        </w:tabs>
        <w:spacing w:line="257" w:lineRule="auto"/>
        <w:ind w:left="340" w:hanging="340"/>
        <w:jc w:val="both"/>
      </w:pPr>
      <w:r>
        <w:t xml:space="preserve">Správu pojištění v průběhu pojistného období bude provádět zplnomocněná pojišťovací makléřská společnost </w:t>
      </w:r>
      <w:r w:rsidR="00253E9A">
        <w:t>XXXXXXXXXXXXXXXXXXXXXXXXXXXXXXXXXXXXXXXXXXXXXXXXXXXXXXXXXXX</w:t>
      </w:r>
    </w:p>
    <w:p w:rsidR="001A178E" w:rsidRDefault="00E031D0">
      <w:pPr>
        <w:pStyle w:val="Style2"/>
        <w:numPr>
          <w:ilvl w:val="0"/>
          <w:numId w:val="9"/>
        </w:numPr>
        <w:shd w:val="clear" w:color="auto" w:fill="auto"/>
        <w:tabs>
          <w:tab w:val="left" w:pos="329"/>
        </w:tabs>
        <w:spacing w:line="254" w:lineRule="auto"/>
      </w:pPr>
      <w:r>
        <w:t>Přílohy pojistné smlouvy:</w:t>
      </w:r>
    </w:p>
    <w:p w:rsidR="001A178E" w:rsidRDefault="00E031D0">
      <w:pPr>
        <w:pStyle w:val="Style2"/>
        <w:shd w:val="clear" w:color="auto" w:fill="auto"/>
        <w:spacing w:line="295" w:lineRule="auto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12700</wp:posOffset>
                </wp:positionV>
                <wp:extent cx="780415" cy="7861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178E" w:rsidRDefault="00E031D0">
                            <w:pPr>
                              <w:pStyle w:val="Style2"/>
                              <w:shd w:val="clear" w:color="auto" w:fill="auto"/>
                              <w:spacing w:after="120" w:line="240" w:lineRule="auto"/>
                            </w:pPr>
                            <w:r>
                              <w:t>Příloha č. 1 -</w:t>
                            </w:r>
                          </w:p>
                          <w:p w:rsidR="001A178E" w:rsidRDefault="00E031D0">
                            <w:pPr>
                              <w:pStyle w:val="Style2"/>
                              <w:shd w:val="clear" w:color="auto" w:fill="auto"/>
                              <w:spacing w:after="120" w:line="240" w:lineRule="auto"/>
                            </w:pPr>
                            <w:r>
                              <w:t>Příloha č. 2 -</w:t>
                            </w:r>
                          </w:p>
                          <w:p w:rsidR="001A178E" w:rsidRDefault="00E031D0">
                            <w:pPr>
                              <w:pStyle w:val="Style2"/>
                              <w:shd w:val="clear" w:color="auto" w:fill="auto"/>
                              <w:spacing w:after="120" w:line="240" w:lineRule="auto"/>
                            </w:pPr>
                            <w:r>
                              <w:t>Příloha č. 3 -</w:t>
                            </w:r>
                          </w:p>
                          <w:p w:rsidR="001A178E" w:rsidRDefault="00E031D0">
                            <w:pPr>
                              <w:pStyle w:val="Style2"/>
                              <w:shd w:val="clear" w:color="auto" w:fill="auto"/>
                              <w:spacing w:after="120" w:line="240" w:lineRule="auto"/>
                            </w:pPr>
                            <w:r>
                              <w:t>Příloha č. 4 -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299999999999997pt;margin-top:1.pt;width:61.450000000000003pt;height:61.899999999999999pt;z-index:-1258293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1 -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2 -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3 -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4 -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Přihláška do pojištění (vzor)</w:t>
      </w:r>
    </w:p>
    <w:p w:rsidR="001A178E" w:rsidRDefault="00E031D0">
      <w:pPr>
        <w:pStyle w:val="Style2"/>
        <w:shd w:val="clear" w:color="auto" w:fill="auto"/>
        <w:spacing w:line="295" w:lineRule="auto"/>
      </w:pPr>
      <w:r>
        <w:t>Sazebník</w:t>
      </w:r>
    </w:p>
    <w:p w:rsidR="001A178E" w:rsidRDefault="00E031D0">
      <w:pPr>
        <w:pStyle w:val="Style2"/>
        <w:shd w:val="clear" w:color="auto" w:fill="auto"/>
        <w:spacing w:line="295" w:lineRule="auto"/>
      </w:pPr>
      <w:r>
        <w:t>Další podmínky pro poskytnutí pojistné ochrany</w:t>
      </w:r>
    </w:p>
    <w:p w:rsidR="001A178E" w:rsidRDefault="00E031D0">
      <w:pPr>
        <w:pStyle w:val="Style2"/>
        <w:shd w:val="clear" w:color="auto" w:fill="auto"/>
        <w:spacing w:after="0" w:line="295" w:lineRule="auto"/>
      </w:pPr>
      <w:r>
        <w:t>Pojistné podmínky</w:t>
      </w:r>
    </w:p>
    <w:p w:rsidR="001A178E" w:rsidRDefault="00E031D0">
      <w:pPr>
        <w:pStyle w:val="Style2"/>
        <w:shd w:val="clear" w:color="auto" w:fill="auto"/>
        <w:spacing w:after="0" w:line="295" w:lineRule="auto"/>
        <w:ind w:left="1320" w:firstLine="20"/>
      </w:pPr>
      <w:r>
        <w:t xml:space="preserve">Všeobecné pojistné podmínky - obecná část </w:t>
      </w:r>
      <w:r>
        <w:t>(„UCZ/14‘')</w:t>
      </w:r>
    </w:p>
    <w:p w:rsidR="001A178E" w:rsidRDefault="00E031D0">
      <w:pPr>
        <w:pStyle w:val="Style2"/>
        <w:shd w:val="clear" w:color="auto" w:fill="auto"/>
        <w:spacing w:after="0" w:line="295" w:lineRule="auto"/>
        <w:ind w:left="1320" w:firstLine="20"/>
      </w:pPr>
      <w:r>
        <w:t>Všeobecné podmínky pro pojištění předmětů umělecké a/nebo sběratelské hodnoty („UCZ/Um/14")</w:t>
      </w:r>
    </w:p>
    <w:p w:rsidR="001A178E" w:rsidRDefault="00E031D0">
      <w:pPr>
        <w:pStyle w:val="Style2"/>
        <w:shd w:val="clear" w:color="auto" w:fill="auto"/>
        <w:spacing w:after="0" w:line="295" w:lineRule="auto"/>
        <w:ind w:left="1320" w:firstLine="20"/>
      </w:pPr>
      <w:r>
        <w:t>Všeobecné podmínky pro pojištění přepravy zásilek („UCZ/T/14")</w:t>
      </w:r>
    </w:p>
    <w:p w:rsidR="001A178E" w:rsidRDefault="00E031D0">
      <w:pPr>
        <w:pStyle w:val="Style2"/>
        <w:shd w:val="clear" w:color="auto" w:fill="auto"/>
        <w:spacing w:line="295" w:lineRule="auto"/>
        <w:ind w:left="1320" w:firstLine="20"/>
      </w:pPr>
      <w:r>
        <w:t>Doplňkové pojistné podmínky k pojištění majetku pro případ odcizení LIM/14</w:t>
      </w:r>
    </w:p>
    <w:p w:rsidR="001A178E" w:rsidRDefault="00E031D0">
      <w:pPr>
        <w:pStyle w:val="Style2"/>
        <w:shd w:val="clear" w:color="auto" w:fill="auto"/>
        <w:spacing w:after="0" w:line="288" w:lineRule="auto"/>
        <w:ind w:left="1320" w:hanging="320"/>
      </w:pPr>
      <w:r>
        <w:t>■/ Všeobecné p</w:t>
      </w:r>
      <w:r>
        <w:t>ojistné podmínky pojištění majetku pro případ odcizení - zvláštní část (dále jen „UCZ/</w:t>
      </w:r>
      <w:proofErr w:type="spellStart"/>
      <w:r>
        <w:t>Odc</w:t>
      </w:r>
      <w:proofErr w:type="spellEnd"/>
      <w:r>
        <w:t>/14") - výklad pojmů</w:t>
      </w:r>
    </w:p>
    <w:p w:rsidR="001A178E" w:rsidRDefault="00E031D0">
      <w:pPr>
        <w:pStyle w:val="Style2"/>
        <w:shd w:val="clear" w:color="auto" w:fill="auto"/>
        <w:spacing w:after="100" w:line="288" w:lineRule="auto"/>
        <w:ind w:left="1320"/>
      </w:pPr>
      <w:r>
        <w:t xml:space="preserve">Smluvní ujednání pro pojištění terorismu / INSTITUTE </w:t>
      </w:r>
      <w:r>
        <w:rPr>
          <w:lang w:val="en-US" w:eastAsia="en-US" w:bidi="en-US"/>
        </w:rPr>
        <w:t>STRIKES CLAUSES (CARGO)</w:t>
      </w:r>
    </w:p>
    <w:p w:rsidR="001A178E" w:rsidRDefault="00E031D0">
      <w:pPr>
        <w:pStyle w:val="Style2"/>
        <w:shd w:val="clear" w:color="auto" w:fill="auto"/>
        <w:spacing w:after="100" w:line="288" w:lineRule="auto"/>
      </w:pPr>
      <w:r>
        <w:t>Příloha č. 5 - Informace o zpracování osobních údajů</w:t>
      </w:r>
    </w:p>
    <w:p w:rsidR="001A178E" w:rsidRDefault="00E031D0">
      <w:pPr>
        <w:pStyle w:val="Style2"/>
        <w:shd w:val="clear" w:color="auto" w:fill="auto"/>
        <w:spacing w:after="640" w:line="288" w:lineRule="auto"/>
      </w:pPr>
      <w:r>
        <w:t xml:space="preserve">Příloha č. 6 - </w:t>
      </w:r>
      <w:r>
        <w:t>Tabulka nabídkové ceny</w:t>
      </w:r>
    </w:p>
    <w:p w:rsidR="001A178E" w:rsidRDefault="00E031D0">
      <w:pPr>
        <w:pStyle w:val="Style12"/>
        <w:keepNext/>
        <w:keepLines/>
        <w:shd w:val="clear" w:color="auto" w:fill="auto"/>
        <w:spacing w:after="200" w:line="259" w:lineRule="auto"/>
      </w:pPr>
      <w:bookmarkStart w:id="32" w:name="bookmark32"/>
      <w:bookmarkStart w:id="33" w:name="bookmark33"/>
      <w:bookmarkStart w:id="34" w:name="bookmark34"/>
      <w:r>
        <w:t>Dále se ujednává, že se na pojištěni vztahuje sankční doložka, jejíž znění je uvedeno níže.</w:t>
      </w:r>
      <w:bookmarkEnd w:id="32"/>
      <w:bookmarkEnd w:id="33"/>
      <w:bookmarkEnd w:id="34"/>
    </w:p>
    <w:p w:rsidR="001A178E" w:rsidRDefault="00E031D0">
      <w:pPr>
        <w:pStyle w:val="Style2"/>
        <w:shd w:val="clear" w:color="auto" w:fill="auto"/>
        <w:spacing w:after="0" w:line="257" w:lineRule="auto"/>
      </w:pPr>
      <w:r>
        <w:t>SANKČNÍ DOLOŽKA</w:t>
      </w:r>
    </w:p>
    <w:p w:rsidR="001A178E" w:rsidRDefault="00E031D0">
      <w:pPr>
        <w:pStyle w:val="Style2"/>
        <w:shd w:val="clear" w:color="auto" w:fill="auto"/>
        <w:spacing w:after="200" w:line="257" w:lineRule="auto"/>
        <w:jc w:val="both"/>
      </w:pPr>
      <w:r>
        <w:t xml:space="preserve">Bez ohledu na všechna ostatní ustanovení této smlouvy pojistitel neposkytne pojistné plnění či jakékoliv jiné plnění z </w:t>
      </w:r>
      <w:r>
        <w:t>pojištění, pokud by takový postup byl v rozporu s ekonomickými, obchodními nebo finančními sankcemi a/nebo embargy Rady bezpečnosti OSN, Evropské unie nebo jakýmikoliv vnitrostátními právními předpisy či právními předpisy Evropské unie, které se vztahují n</w:t>
      </w:r>
      <w:r>
        <w:t>a účastníky tohoto pojištění. To platí také pro hospodářské, obchodní nebo finanční sankce a/nebo embarga vydaná Spojenými státy americkými nebo jinými zeměmi, není4i to v rozporu s právními předpisy Evropské unie nebo vnitrostátními právními předpisy.</w:t>
      </w:r>
    </w:p>
    <w:p w:rsidR="001A178E" w:rsidRDefault="00E031D0">
      <w:pPr>
        <w:pStyle w:val="Style2"/>
        <w:shd w:val="clear" w:color="auto" w:fill="auto"/>
        <w:spacing w:after="100"/>
        <w:jc w:val="both"/>
      </w:pPr>
      <w:r>
        <w:t>Zpr</w:t>
      </w:r>
      <w:r>
        <w:t xml:space="preserve">acovala: </w:t>
      </w:r>
      <w:r w:rsidR="00253E9A">
        <w:t>XXXXXXXXXXXXXXXXXXXXX</w:t>
      </w:r>
    </w:p>
    <w:p w:rsidR="001A178E" w:rsidRDefault="00E031D0">
      <w:pPr>
        <w:pStyle w:val="Style2"/>
        <w:shd w:val="clear" w:color="auto" w:fill="auto"/>
        <w:spacing w:after="300"/>
        <w:jc w:val="both"/>
      </w:pPr>
      <w:r>
        <w:t>Za UNIQA pojišťovnu, a.s.</w:t>
      </w:r>
    </w:p>
    <w:p w:rsidR="00253E9A" w:rsidRDefault="00E031D0">
      <w:pPr>
        <w:pStyle w:val="Style2"/>
        <w:shd w:val="clear" w:color="auto" w:fill="auto"/>
        <w:tabs>
          <w:tab w:val="left" w:pos="6899"/>
          <w:tab w:val="left" w:pos="6994"/>
          <w:tab w:val="left" w:pos="7560"/>
          <w:tab w:val="left" w:pos="8299"/>
        </w:tabs>
        <w:spacing w:after="0"/>
        <w:jc w:val="both"/>
      </w:pPr>
      <w:r>
        <w:t>V Praze, dne (viz elektronický podpis)</w:t>
      </w:r>
    </w:p>
    <w:p w:rsidR="00253E9A" w:rsidRDefault="00253E9A">
      <w:pPr>
        <w:pStyle w:val="Style2"/>
        <w:shd w:val="clear" w:color="auto" w:fill="auto"/>
        <w:tabs>
          <w:tab w:val="left" w:pos="6899"/>
          <w:tab w:val="left" w:pos="6994"/>
          <w:tab w:val="left" w:pos="7560"/>
          <w:tab w:val="left" w:pos="8299"/>
        </w:tabs>
        <w:spacing w:after="0"/>
        <w:jc w:val="both"/>
      </w:pPr>
    </w:p>
    <w:p w:rsidR="001A178E" w:rsidRDefault="00E031D0">
      <w:pPr>
        <w:pStyle w:val="Style2"/>
        <w:shd w:val="clear" w:color="auto" w:fill="auto"/>
        <w:tabs>
          <w:tab w:val="left" w:pos="6899"/>
          <w:tab w:val="left" w:pos="6994"/>
          <w:tab w:val="left" w:pos="7560"/>
          <w:tab w:val="left" w:pos="8299"/>
        </w:tabs>
        <w:spacing w:after="0"/>
        <w:jc w:val="both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,</w:t>
      </w:r>
      <w:r>
        <w:tab/>
        <w:t>,</w:t>
      </w:r>
    </w:p>
    <w:p w:rsidR="001A178E" w:rsidRDefault="00E031D0">
      <w:pPr>
        <w:pStyle w:val="Style2"/>
        <w:shd w:val="clear" w:color="auto" w:fill="auto"/>
        <w:tabs>
          <w:tab w:val="left" w:pos="5748"/>
        </w:tabs>
        <w:spacing w:after="0"/>
        <w:ind w:left="2580"/>
      </w:pPr>
      <w:r>
        <w:t>Ing. Vladimír John</w:t>
      </w:r>
      <w:r>
        <w:tab/>
        <w:t xml:space="preserve">Michal </w:t>
      </w:r>
      <w:proofErr w:type="spellStart"/>
      <w:r>
        <w:t>Dachovsky</w:t>
      </w:r>
      <w:proofErr w:type="spellEnd"/>
    </w:p>
    <w:p w:rsidR="001A178E" w:rsidRDefault="00E031D0">
      <w:pPr>
        <w:pStyle w:val="Style2"/>
        <w:shd w:val="clear" w:color="auto" w:fill="auto"/>
        <w:tabs>
          <w:tab w:val="left" w:pos="5748"/>
        </w:tabs>
        <w:spacing w:after="200"/>
        <w:ind w:left="2580"/>
      </w:pPr>
      <w:r>
        <w:t>společná prokura</w:t>
      </w:r>
      <w:r>
        <w:tab/>
        <w:t>společná prokura</w:t>
      </w:r>
    </w:p>
    <w:p w:rsidR="001A178E" w:rsidRDefault="00E031D0">
      <w:pPr>
        <w:pStyle w:val="Style2"/>
        <w:shd w:val="clear" w:color="auto" w:fill="auto"/>
        <w:spacing w:after="0"/>
      </w:pPr>
      <w:r>
        <w:t xml:space="preserve">Potvrzuji, že jsem převzal a souhlasím s níže uvedenými všeobecnými pojistnými podmínkami a doplňkovými </w:t>
      </w:r>
      <w:r>
        <w:t>pojistnými podmínkami, která tvoří nedílnou součást této pojistné smlouvy:</w:t>
      </w:r>
    </w:p>
    <w:p w:rsidR="001A178E" w:rsidRDefault="00E031D0">
      <w:pPr>
        <w:pStyle w:val="Style2"/>
        <w:shd w:val="clear" w:color="auto" w:fill="auto"/>
        <w:spacing w:after="0"/>
      </w:pPr>
      <w:r>
        <w:t>UCZ/14 UCZ/Um/14 UCZ/T/14 LIM/14 UCZ/</w:t>
      </w:r>
      <w:proofErr w:type="spellStart"/>
      <w:r>
        <w:t>Odc</w:t>
      </w:r>
      <w:proofErr w:type="spellEnd"/>
      <w:r>
        <w:t xml:space="preserve">/14 Další podmínky pro poskytnutí pojistné ochrany Smluvní ujednání pro pojištění terorismu / INSTITUTE </w:t>
      </w:r>
      <w:r>
        <w:rPr>
          <w:lang w:val="en-US" w:eastAsia="en-US" w:bidi="en-US"/>
        </w:rPr>
        <w:t>STRIKES CLAUSES (CARGO)</w:t>
      </w:r>
    </w:p>
    <w:p w:rsidR="001A178E" w:rsidRDefault="00E031D0">
      <w:pPr>
        <w:pStyle w:val="Style2"/>
        <w:shd w:val="clear" w:color="auto" w:fill="auto"/>
        <w:spacing w:after="0"/>
        <w:ind w:firstLine="280"/>
      </w:pPr>
      <w:r>
        <w:t>Prohlašuji, ž</w:t>
      </w:r>
      <w:r>
        <w:t>e mi byly poskytnuty v dostatečném předstihu před uzavřením pojistné smlouvy přesným, jasným a srozumitelným způsobem, písemně a v českém jazyce informace o pojistném vztahu a o zpracování osobních údajů pro účely tohoto pojistného vztahu, že jsem byl sezn</w:t>
      </w:r>
      <w:r>
        <w:t>ámen s obsahem všech souvisejících pojistných podmínek (viz výše), které jsem převzal. Prohlašuji, že pojistná smlouva na uzavření pojištění odpovídá mému pojistnému zájmu, mým pojistným potřebám a požadavkům, že všechny mé dotazy, které jsem položil pojis</w:t>
      </w:r>
      <w:r>
        <w:t>titeli nebo jím pověřenému zástupci, byly náležitě zodpovězeny a že s rozsahem a podmínkami pojištění jsem srozuměn/a.</w:t>
      </w:r>
    </w:p>
    <w:p w:rsidR="001A178E" w:rsidRDefault="00E031D0">
      <w:pPr>
        <w:pStyle w:val="Style2"/>
        <w:shd w:val="clear" w:color="auto" w:fill="auto"/>
        <w:spacing w:after="200"/>
        <w:ind w:firstLine="280"/>
      </w:pPr>
      <w:r>
        <w:t>Ochrana osobních údajů získaných v souvislosti s uzavřením a plněním této smlouvy se řídí nařízením Evropského parlamentu a Rady (EU) 201</w:t>
      </w:r>
      <w:r>
        <w:t>6/679 ze dne 27. dubna 2016, o ochraně fyzických osob v souvislosti se zpracováním osobních údajů a o volném pohybu těchto údajů a o zrušení směrnice 95/46/ES (obecné nařízení o ochraně osobních údajů). Pojistník je povinen pojištěného, resp. pojištěné, ja</w:t>
      </w:r>
      <w:r>
        <w:t>kož i všechny další oprávněné třetí osoby, řádně a včas informovat o zpracování jejich osobních údajů v souvislosti s uzavřením a plněním této smlouvy, o jejich souvisejících právech a dalších relevantních skutečnostech vymezených v článku 13, resp. v člán</w:t>
      </w:r>
      <w:r>
        <w:t>ku 14 obecného nařízení o ochraně osobních údajů, a sice poskytnutím samostatné listiny obsahující informace o zpracování osobních údajů dle článku 13, resp. článku 14 obecného nařízení o ochraně osobních údajů, a to poskytnutím stejnopisu listiny označené</w:t>
      </w:r>
      <w:r>
        <w:t xml:space="preserve"> jako „Informace o zpracování osobních údajů“ anebo jiným vhodným způsobem.</w:t>
      </w:r>
      <w:r>
        <w:br w:type="page"/>
      </w:r>
    </w:p>
    <w:p w:rsidR="001A178E" w:rsidRDefault="00E031D0">
      <w:pPr>
        <w:pStyle w:val="Style2"/>
        <w:shd w:val="clear" w:color="auto" w:fill="auto"/>
        <w:spacing w:after="0"/>
        <w:ind w:firstLine="280"/>
        <w:jc w:val="both"/>
      </w:pPr>
      <w:r>
        <w:t>Souhlasím s tím, aby pojistitel uvedl mé jméno/název v seznamu významných klientů, se kterými uzavřel příslušná pojištění (bez uvedení další specifikace pojištění). Toto prohlášen</w:t>
      </w:r>
      <w:r>
        <w:t>í je činěno pro účely § 128 zákona č. 277/2009 Sb. v platném znění.</w:t>
      </w:r>
    </w:p>
    <w:p w:rsidR="001A178E" w:rsidRDefault="00E031D0">
      <w:pPr>
        <w:pStyle w:val="Style2"/>
        <w:shd w:val="clear" w:color="auto" w:fill="auto"/>
        <w:spacing w:after="0"/>
        <w:ind w:firstLine="280"/>
        <w:jc w:val="both"/>
      </w:pPr>
      <w:r>
        <w:t>Pojistník prohlašuje, zeje povinným subjektem ve smyslu zákona č. 340/2015 Sb., o registru smluv (dále jen „povinný subjekt“), a tedy že rámcová pojistná smlouva č. 2030600607 (dále jen „s</w:t>
      </w:r>
      <w:r>
        <w:t>mlouva“) podléhá povinnosti uveřejnění v registru smluv ve smyslu zákona č. 340/2015 Sb., o registru smluv (dále jen „registr smluv“).</w:t>
      </w:r>
    </w:p>
    <w:p w:rsidR="001A178E" w:rsidRDefault="00E031D0">
      <w:pPr>
        <w:pStyle w:val="Style2"/>
        <w:shd w:val="clear" w:color="auto" w:fill="auto"/>
        <w:spacing w:after="0"/>
        <w:ind w:firstLine="280"/>
        <w:jc w:val="both"/>
      </w:pPr>
      <w:r>
        <w:t>Pojistník bere na vědomí, že pokud se výše uvedené prohlášení nezakládá na pravdě, odpovídá společnosti UNIQA pojišťovna,</w:t>
      </w:r>
      <w:r>
        <w:t xml:space="preserve"> a. s. (dále jen „UNIQA“) za škodu, která UNIQA v důsledku tohoto nepravdivého prohlášení vznikne.</w:t>
      </w:r>
    </w:p>
    <w:p w:rsidR="001A178E" w:rsidRDefault="00E031D0">
      <w:pPr>
        <w:pStyle w:val="Style2"/>
        <w:shd w:val="clear" w:color="auto" w:fill="auto"/>
        <w:spacing w:after="0"/>
        <w:ind w:firstLine="280"/>
        <w:jc w:val="both"/>
      </w:pPr>
      <w:r>
        <w:t>Pojistník se jako povinný subjekt tímto zavazuje k uveřejnění smlouvy v registru smluv, a to ve lhůtě 30 dní od data uzavření smlouvy. Pojistník je povinen b</w:t>
      </w:r>
      <w:r>
        <w:t xml:space="preserve">ezodkladně informovat pojistitele o zaslání smlouvy správci registru smluv zprávou do datové schránky ID: </w:t>
      </w:r>
      <w:proofErr w:type="spellStart"/>
      <w:r>
        <w:t>andcicx</w:t>
      </w:r>
      <w:proofErr w:type="spellEnd"/>
      <w:r>
        <w:t>. Pojistník se dále zavazuje, že před zasláním smlouvy k uveřejnění zajistí znečitelnění neuveřejnitelných informací (např. osobních údajů o fy</w:t>
      </w:r>
      <w:r>
        <w:t>zických osobách).</w:t>
      </w:r>
    </w:p>
    <w:p w:rsidR="001A178E" w:rsidRDefault="00E031D0">
      <w:pPr>
        <w:pStyle w:val="Style2"/>
        <w:shd w:val="clear" w:color="auto" w:fill="auto"/>
        <w:spacing w:after="0"/>
        <w:ind w:firstLine="280"/>
        <w:jc w:val="both"/>
      </w:pPr>
      <w:r>
        <w:t>Pojistník bere na vědomí, že UNIQA je oprávněna smlouvu rovněž zveřejnit (aniž by tímto byla dotčena sjednaná povinnost pojistníka ke zveřejnění smlouvy). V případě, že smlouva bude uveřejněna v registru smluv přímo UNIQA, pojistník výslo</w:t>
      </w:r>
      <w:r>
        <w:t>vně prohlašuje, že nepovažuje toto uveřejnění za porušení povinnosti mlčenlivosti dle § 127 zákona č. 277/2009 Sb., o pojišťovnictví.</w:t>
      </w:r>
    </w:p>
    <w:p w:rsidR="001A178E" w:rsidRDefault="00E031D0">
      <w:pPr>
        <w:pStyle w:val="Style2"/>
        <w:shd w:val="clear" w:color="auto" w:fill="auto"/>
        <w:spacing w:after="0"/>
        <w:ind w:firstLine="280"/>
        <w:jc w:val="both"/>
      </w:pPr>
      <w:r>
        <w:t>Smluvní strany ujednávají, že veškeré vztahy upravené smlouvou a vzniklé mezi stranami od data vzniku pojištění, které byl</w:t>
      </w:r>
      <w:r>
        <w:t>o sjednáno touto smlouvou, do doby nabytí účinnosti této smlouvy, se této smlouvě podřizují s výjimkou případů, kdy pojistník v době nabytí účinnosti smlouvy věděl nebo vědět měl a mohl, že pojistná událost již nastala.</w:t>
      </w:r>
    </w:p>
    <w:p w:rsidR="001A178E" w:rsidRDefault="00E031D0">
      <w:pPr>
        <w:pStyle w:val="Style2"/>
        <w:shd w:val="clear" w:color="auto" w:fill="auto"/>
        <w:spacing w:after="200"/>
        <w:ind w:firstLine="280"/>
        <w:jc w:val="both"/>
      </w:pPr>
      <w:r>
        <w:t>Pojistník prohlašuje, že jeho pojist</w:t>
      </w:r>
      <w:r>
        <w:t>ný zájem na pojištění majetku pojištěného/oprávněné osoby je dán uzavřenou Smlouvou o výpůjčce mezi pojistníkem a pojištěným/oprávněnou osobou.</w:t>
      </w:r>
    </w:p>
    <w:p w:rsidR="001A178E" w:rsidRDefault="00E031D0">
      <w:pPr>
        <w:pStyle w:val="Style2"/>
        <w:shd w:val="clear" w:color="auto" w:fill="auto"/>
        <w:spacing w:after="0" w:line="240" w:lineRule="auto"/>
        <w:sectPr w:rsidR="001A178E">
          <w:headerReference w:type="default" r:id="rId7"/>
          <w:footerReference w:type="default" r:id="rId8"/>
          <w:headerReference w:type="first" r:id="rId9"/>
          <w:footerReference w:type="first" r:id="rId10"/>
          <w:pgSz w:w="11933" w:h="16853"/>
          <w:pgMar w:top="1991" w:right="1461" w:bottom="2947" w:left="1673" w:header="0" w:footer="3" w:gutter="0"/>
          <w:pgNumType w:start="1"/>
          <w:cols w:space="720"/>
          <w:noEndnote/>
          <w:titlePg/>
          <w:docGrid w:linePitch="360"/>
        </w:sectPr>
      </w:pPr>
      <w:r>
        <w:t>Za pojistníka:</w:t>
      </w:r>
    </w:p>
    <w:p w:rsidR="001A178E" w:rsidRDefault="001A178E">
      <w:pPr>
        <w:spacing w:line="1" w:lineRule="exact"/>
      </w:pPr>
      <w:bookmarkStart w:id="35" w:name="_GoBack"/>
      <w:bookmarkEnd w:id="35"/>
    </w:p>
    <w:p w:rsidR="001A178E" w:rsidRDefault="00E031D0">
      <w:pPr>
        <w:pStyle w:val="Style2"/>
        <w:shd w:val="clear" w:color="auto" w:fill="auto"/>
        <w:spacing w:after="0" w:line="240" w:lineRule="auto"/>
      </w:pPr>
      <w:r>
        <w:t>V Praze, dne (viz elektronický podpis)</w:t>
      </w:r>
    </w:p>
    <w:p w:rsidR="00253E9A" w:rsidRDefault="00253E9A">
      <w:pPr>
        <w:pStyle w:val="Style2"/>
        <w:shd w:val="clear" w:color="auto" w:fill="auto"/>
        <w:spacing w:after="0" w:line="240" w:lineRule="auto"/>
      </w:pPr>
    </w:p>
    <w:p w:rsidR="001A178E" w:rsidRDefault="00E031D0">
      <w:pPr>
        <w:pStyle w:val="Style2"/>
        <w:shd w:val="clear" w:color="auto" w:fill="auto"/>
        <w:spacing w:after="60" w:line="240" w:lineRule="auto"/>
        <w:ind w:firstLine="600"/>
      </w:pPr>
      <w:r>
        <w:t>Pojistník</w:t>
      </w:r>
    </w:p>
    <w:sectPr w:rsidR="001A178E">
      <w:type w:val="continuous"/>
      <w:pgSz w:w="11909" w:h="16834"/>
      <w:pgMar w:top="2007" w:right="2580" w:bottom="2031" w:left="1706" w:header="0" w:footer="3" w:gutter="0"/>
      <w:cols w:num="2" w:space="720" w:equalWidth="0">
        <w:col w:w="3389" w:space="1181"/>
        <w:col w:w="305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D0" w:rsidRDefault="00E031D0">
      <w:r>
        <w:separator/>
      </w:r>
    </w:p>
  </w:endnote>
  <w:endnote w:type="continuationSeparator" w:id="0">
    <w:p w:rsidR="00E031D0" w:rsidRDefault="00E0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8E" w:rsidRDefault="00E031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9402445</wp:posOffset>
              </wp:positionV>
              <wp:extent cx="6413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78E" w:rsidRDefault="00E031D0">
                          <w:pPr>
                            <w:pStyle w:val="Style6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16.60000000000002pt;margin-top:740.35000000000002pt;width:5.0499999999999998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8E" w:rsidRDefault="00E031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9408795</wp:posOffset>
              </wp:positionV>
              <wp:extent cx="3365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78E" w:rsidRDefault="00E031D0">
                          <w:pPr>
                            <w:pStyle w:val="Style6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17.45000000000005pt;margin-top:740.85000000000002pt;width:2.6499999999999999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D0" w:rsidRDefault="00E031D0"/>
  </w:footnote>
  <w:footnote w:type="continuationSeparator" w:id="0">
    <w:p w:rsidR="00E031D0" w:rsidRDefault="00E03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8E" w:rsidRDefault="00E031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5454015</wp:posOffset>
              </wp:positionH>
              <wp:positionV relativeFrom="page">
                <wp:posOffset>636270</wp:posOffset>
              </wp:positionV>
              <wp:extent cx="104267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78E" w:rsidRDefault="00E031D0">
                          <w:pPr>
                            <w:pStyle w:val="Style6"/>
                            <w:shd w:val="clear" w:color="auto" w:fill="auto"/>
                          </w:pPr>
                          <w:r>
                            <w:t>č.j. 2020/3949/NM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29.44999999999999pt;margin-top:50.100000000000001pt;width:82.100000000000009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č.j. 2020/3949/NM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8E" w:rsidRDefault="00E031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5467985</wp:posOffset>
              </wp:positionH>
              <wp:positionV relativeFrom="page">
                <wp:posOffset>642620</wp:posOffset>
              </wp:positionV>
              <wp:extent cx="1036320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78E" w:rsidRDefault="00E031D0">
                          <w:pPr>
                            <w:pStyle w:val="Style6"/>
                            <w:shd w:val="clear" w:color="auto" w:fill="auto"/>
                          </w:pPr>
                          <w:r>
                            <w:t>č.j. 2020/3 949/NM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30.55000000000001pt;margin-top:50.600000000000001pt;width:81.600000000000009pt;height:10.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č.j. 2020/3 949/NM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9F1"/>
    <w:multiLevelType w:val="multilevel"/>
    <w:tmpl w:val="E9B8B8F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B13A9"/>
    <w:multiLevelType w:val="multilevel"/>
    <w:tmpl w:val="F9A60CE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333B7"/>
    <w:multiLevelType w:val="multilevel"/>
    <w:tmpl w:val="79FE7DE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93F0E"/>
    <w:multiLevelType w:val="multilevel"/>
    <w:tmpl w:val="83E6AB1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16F47"/>
    <w:multiLevelType w:val="multilevel"/>
    <w:tmpl w:val="8E5E2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D6CF4"/>
    <w:multiLevelType w:val="multilevel"/>
    <w:tmpl w:val="4EC8C6E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267A7"/>
    <w:multiLevelType w:val="multilevel"/>
    <w:tmpl w:val="9060230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B3D0A"/>
    <w:multiLevelType w:val="multilevel"/>
    <w:tmpl w:val="BE3A3C7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FB0FE5"/>
    <w:multiLevelType w:val="multilevel"/>
    <w:tmpl w:val="D5F493B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8E"/>
    <w:rsid w:val="001A178E"/>
    <w:rsid w:val="00253E9A"/>
    <w:rsid w:val="00E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548C"/>
  <w15:docId w15:val="{82544288-A3F9-472E-AC56-42320B4E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80" w:line="259" w:lineRule="auto"/>
    </w:pPr>
    <w:rPr>
      <w:rFonts w:ascii="Arial" w:eastAsia="Arial" w:hAnsi="Arial" w:cs="Arial"/>
      <w:sz w:val="17"/>
      <w:szCs w:val="17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12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40" w:line="257" w:lineRule="auto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after="80" w:line="259" w:lineRule="auto"/>
    </w:pPr>
    <w:rPr>
      <w:rFonts w:ascii="Arial" w:eastAsia="Arial" w:hAnsi="Arial" w:cs="Arial"/>
      <w:sz w:val="17"/>
      <w:szCs w:val="17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60"/>
    </w:pPr>
    <w:rPr>
      <w:rFonts w:ascii="Arial" w:eastAsia="Arial" w:hAnsi="Arial" w:cs="Arial"/>
      <w:sz w:val="12"/>
      <w:szCs w:val="12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after="60"/>
      <w:outlineLvl w:val="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2368</Words>
  <Characters>13978</Characters>
  <Application>Microsoft Office Word</Application>
  <DocSecurity>0</DocSecurity>
  <Lines>116</Lines>
  <Paragraphs>32</Paragraphs>
  <ScaleCrop>false</ScaleCrop>
  <Company>Národní muzeum</Company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Asingrová</cp:lastModifiedBy>
  <cp:revision>3</cp:revision>
  <dcterms:created xsi:type="dcterms:W3CDTF">2020-08-26T06:52:00Z</dcterms:created>
  <dcterms:modified xsi:type="dcterms:W3CDTF">2020-08-26T06:57:00Z</dcterms:modified>
</cp:coreProperties>
</file>