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60AD" w:rsidRDefault="005C7D70">
      <w:pPr>
        <w:pStyle w:val="Style4"/>
        <w:keepNext/>
        <w:keepLines/>
        <w:shd w:val="clear" w:color="auto" w:fill="auto"/>
        <w:ind w:firstLine="0"/>
      </w:pPr>
      <w:bookmarkStart w:id="0" w:name="bookmark2"/>
      <w:r>
        <w:t>POJISTNÁ SMLOUVA č. 2039600608</w:t>
      </w:r>
      <w:bookmarkEnd w:id="0"/>
    </w:p>
    <w:p w:rsidR="00FA60AD" w:rsidRDefault="005C7D70">
      <w:pPr>
        <w:pStyle w:val="Style4"/>
        <w:keepNext/>
        <w:keepLines/>
        <w:shd w:val="clear" w:color="auto" w:fill="auto"/>
        <w:ind w:firstLine="0"/>
      </w:pPr>
      <w:bookmarkStart w:id="1" w:name="bookmark0"/>
      <w:bookmarkStart w:id="2" w:name="bookmark1"/>
      <w:bookmarkStart w:id="3" w:name="bookmark3"/>
      <w:r>
        <w:t>Pojistná smlouva č. NM 200 851</w:t>
      </w:r>
      <w:bookmarkEnd w:id="1"/>
      <w:bookmarkEnd w:id="2"/>
      <w:bookmarkEnd w:id="3"/>
    </w:p>
    <w:p w:rsidR="00FA60AD" w:rsidRDefault="005C7D70">
      <w:pPr>
        <w:pStyle w:val="Style11"/>
        <w:shd w:val="clear" w:color="auto" w:fill="auto"/>
        <w:spacing w:after="1140"/>
        <w:jc w:val="center"/>
      </w:pPr>
      <w:r>
        <w:t>Pojištění předmětů umělecká a sběratelské hodnoty</w:t>
      </w:r>
    </w:p>
    <w:tbl>
      <w:tblPr>
        <w:tblOverlap w:val="never"/>
        <w:tblW w:w="0" w:type="auto"/>
        <w:tblLayout w:type="fixed"/>
        <w:tblCellMar>
          <w:left w:w="10" w:type="dxa"/>
          <w:right w:w="10" w:type="dxa"/>
        </w:tblCellMar>
        <w:tblLook w:val="04A0" w:firstRow="1" w:lastRow="0" w:firstColumn="1" w:lastColumn="0" w:noHBand="0" w:noVBand="1"/>
      </w:tblPr>
      <w:tblGrid>
        <w:gridCol w:w="1454"/>
        <w:gridCol w:w="6869"/>
      </w:tblGrid>
      <w:tr w:rsidR="00FA60AD">
        <w:tblPrEx>
          <w:tblCellMar>
            <w:top w:w="0" w:type="dxa"/>
            <w:bottom w:w="0" w:type="dxa"/>
          </w:tblCellMar>
        </w:tblPrEx>
        <w:trPr>
          <w:trHeight w:hRule="exact" w:val="1896"/>
        </w:trPr>
        <w:tc>
          <w:tcPr>
            <w:tcW w:w="1454" w:type="dxa"/>
            <w:shd w:val="clear" w:color="auto" w:fill="FFFFFF"/>
          </w:tcPr>
          <w:p w:rsidR="00FA60AD" w:rsidRDefault="005C7D70">
            <w:pPr>
              <w:pStyle w:val="Style13"/>
              <w:shd w:val="clear" w:color="auto" w:fill="auto"/>
              <w:spacing w:line="240" w:lineRule="auto"/>
            </w:pPr>
            <w:r>
              <w:rPr>
                <w:b/>
                <w:bCs/>
              </w:rPr>
              <w:t>Pojistitel:</w:t>
            </w:r>
          </w:p>
        </w:tc>
        <w:tc>
          <w:tcPr>
            <w:tcW w:w="6869" w:type="dxa"/>
            <w:shd w:val="clear" w:color="auto" w:fill="FFFFFF"/>
            <w:vAlign w:val="bottom"/>
          </w:tcPr>
          <w:p w:rsidR="00FA60AD" w:rsidRDefault="005C7D70">
            <w:pPr>
              <w:pStyle w:val="Style13"/>
              <w:shd w:val="clear" w:color="auto" w:fill="auto"/>
              <w:spacing w:line="295" w:lineRule="auto"/>
              <w:ind w:firstLine="480"/>
            </w:pPr>
            <w:r>
              <w:rPr>
                <w:b/>
                <w:bCs/>
              </w:rPr>
              <w:t>UNIQA pojišťovna, a. s.</w:t>
            </w:r>
          </w:p>
          <w:p w:rsidR="00FA60AD" w:rsidRDefault="005C7D70">
            <w:pPr>
              <w:pStyle w:val="Style13"/>
              <w:shd w:val="clear" w:color="auto" w:fill="auto"/>
              <w:spacing w:line="295" w:lineRule="auto"/>
              <w:ind w:firstLine="480"/>
            </w:pPr>
            <w:r>
              <w:t>Evropská 136, 160 12 Praha 6</w:t>
            </w:r>
          </w:p>
          <w:p w:rsidR="00FA60AD" w:rsidRDefault="005C7D70">
            <w:pPr>
              <w:pStyle w:val="Style13"/>
              <w:shd w:val="clear" w:color="auto" w:fill="auto"/>
              <w:spacing w:line="295" w:lineRule="auto"/>
              <w:ind w:firstLine="480"/>
            </w:pPr>
            <w:r>
              <w:t>IČ: 492 40 480</w:t>
            </w:r>
          </w:p>
          <w:p w:rsidR="00FA60AD" w:rsidRDefault="005C7D70">
            <w:pPr>
              <w:pStyle w:val="Style13"/>
              <w:shd w:val="clear" w:color="auto" w:fill="auto"/>
              <w:spacing w:line="295" w:lineRule="auto"/>
              <w:ind w:left="480" w:firstLine="20"/>
            </w:pPr>
            <w:r>
              <w:t xml:space="preserve">zapsán v obchodním rejstříku, vedeném Městským soudem v </w:t>
            </w:r>
            <w:r>
              <w:t>Praze oddíl B, vložka 2012</w:t>
            </w:r>
          </w:p>
          <w:p w:rsidR="00FA60AD" w:rsidRDefault="005C7D70">
            <w:pPr>
              <w:pStyle w:val="Style13"/>
              <w:shd w:val="clear" w:color="auto" w:fill="auto"/>
              <w:spacing w:line="240" w:lineRule="auto"/>
              <w:ind w:firstLine="480"/>
            </w:pPr>
            <w:r>
              <w:t>Zastoupení: Ing. Vladimír John, společná prokura</w:t>
            </w:r>
          </w:p>
          <w:p w:rsidR="00FA60AD" w:rsidRDefault="005C7D70">
            <w:pPr>
              <w:pStyle w:val="Style13"/>
              <w:shd w:val="clear" w:color="auto" w:fill="auto"/>
              <w:spacing w:line="240" w:lineRule="auto"/>
              <w:jc w:val="center"/>
            </w:pPr>
            <w:r>
              <w:t>Michal Bachovský, společná prokura</w:t>
            </w:r>
          </w:p>
          <w:p w:rsidR="00FA60AD" w:rsidRDefault="005C7D70">
            <w:pPr>
              <w:pStyle w:val="Style13"/>
              <w:shd w:val="clear" w:color="auto" w:fill="auto"/>
              <w:spacing w:line="240" w:lineRule="auto"/>
              <w:ind w:firstLine="480"/>
            </w:pPr>
            <w:r>
              <w:t xml:space="preserve">bankovní spojení: </w:t>
            </w:r>
            <w:r w:rsidR="009E6A65">
              <w:t>XXXXXXXXXXXXXXXXXXXXXXXXXXXXXXXXXXXXXXXX</w:t>
            </w:r>
          </w:p>
        </w:tc>
      </w:tr>
      <w:tr w:rsidR="00FA60AD">
        <w:tblPrEx>
          <w:tblCellMar>
            <w:top w:w="0" w:type="dxa"/>
            <w:bottom w:w="0" w:type="dxa"/>
          </w:tblCellMar>
        </w:tblPrEx>
        <w:trPr>
          <w:trHeight w:hRule="exact" w:val="634"/>
        </w:trPr>
        <w:tc>
          <w:tcPr>
            <w:tcW w:w="1454" w:type="dxa"/>
            <w:shd w:val="clear" w:color="auto" w:fill="FFFFFF"/>
          </w:tcPr>
          <w:p w:rsidR="00FA60AD" w:rsidRDefault="00FA60AD">
            <w:pPr>
              <w:rPr>
                <w:sz w:val="10"/>
                <w:szCs w:val="10"/>
              </w:rPr>
            </w:pPr>
          </w:p>
        </w:tc>
        <w:tc>
          <w:tcPr>
            <w:tcW w:w="6869" w:type="dxa"/>
            <w:shd w:val="clear" w:color="auto" w:fill="FFFFFF"/>
          </w:tcPr>
          <w:p w:rsidR="00FA60AD" w:rsidRDefault="005C7D70">
            <w:pPr>
              <w:pStyle w:val="Style13"/>
              <w:shd w:val="clear" w:color="auto" w:fill="auto"/>
              <w:spacing w:line="240" w:lineRule="auto"/>
              <w:ind w:firstLine="480"/>
            </w:pPr>
            <w:r>
              <w:t xml:space="preserve">č. ú.: </w:t>
            </w:r>
            <w:r w:rsidR="009E6A65">
              <w:t>XXXXXXXXXXXXXXXXXXXXXXXXXXXXXXX</w:t>
            </w:r>
          </w:p>
        </w:tc>
      </w:tr>
      <w:tr w:rsidR="00FA60AD">
        <w:tblPrEx>
          <w:tblCellMar>
            <w:top w:w="0" w:type="dxa"/>
            <w:bottom w:w="0" w:type="dxa"/>
          </w:tblCellMar>
        </w:tblPrEx>
        <w:trPr>
          <w:trHeight w:hRule="exact" w:val="1546"/>
        </w:trPr>
        <w:tc>
          <w:tcPr>
            <w:tcW w:w="1454" w:type="dxa"/>
            <w:shd w:val="clear" w:color="auto" w:fill="FFFFFF"/>
          </w:tcPr>
          <w:p w:rsidR="00FA60AD" w:rsidRDefault="005C7D70">
            <w:pPr>
              <w:pStyle w:val="Style13"/>
              <w:shd w:val="clear" w:color="auto" w:fill="auto"/>
              <w:spacing w:before="420" w:line="240" w:lineRule="auto"/>
            </w:pPr>
            <w:r>
              <w:rPr>
                <w:b/>
                <w:bCs/>
              </w:rPr>
              <w:t>Poiistník:</w:t>
            </w:r>
          </w:p>
        </w:tc>
        <w:tc>
          <w:tcPr>
            <w:tcW w:w="6869" w:type="dxa"/>
            <w:shd w:val="clear" w:color="auto" w:fill="FFFFFF"/>
            <w:vAlign w:val="bottom"/>
          </w:tcPr>
          <w:p w:rsidR="00FA60AD" w:rsidRDefault="005C7D70">
            <w:pPr>
              <w:pStyle w:val="Style13"/>
              <w:shd w:val="clear" w:color="auto" w:fill="auto"/>
              <w:spacing w:line="240" w:lineRule="auto"/>
              <w:ind w:firstLine="480"/>
            </w:pPr>
            <w:r>
              <w:rPr>
                <w:b/>
                <w:bCs/>
              </w:rPr>
              <w:t xml:space="preserve">NÁRODNÍ </w:t>
            </w:r>
            <w:r>
              <w:rPr>
                <w:b/>
                <w:bCs/>
              </w:rPr>
              <w:t>MUZEUM</w:t>
            </w:r>
          </w:p>
          <w:p w:rsidR="00FA60AD" w:rsidRDefault="005C7D70">
            <w:pPr>
              <w:pStyle w:val="Style13"/>
              <w:shd w:val="clear" w:color="auto" w:fill="auto"/>
              <w:spacing w:line="240" w:lineRule="auto"/>
              <w:ind w:firstLine="480"/>
            </w:pPr>
            <w:r>
              <w:t>Václavské náměstí 1700/68</w:t>
            </w:r>
          </w:p>
          <w:p w:rsidR="00FA60AD" w:rsidRDefault="005C7D70">
            <w:pPr>
              <w:pStyle w:val="Style13"/>
              <w:shd w:val="clear" w:color="auto" w:fill="auto"/>
              <w:spacing w:line="240" w:lineRule="auto"/>
              <w:ind w:firstLine="480"/>
            </w:pPr>
            <w:r>
              <w:t>11000 Praha - Nové Město</w:t>
            </w:r>
          </w:p>
          <w:p w:rsidR="00FA60AD" w:rsidRDefault="005C7D70">
            <w:pPr>
              <w:pStyle w:val="Style13"/>
              <w:shd w:val="clear" w:color="auto" w:fill="auto"/>
              <w:spacing w:line="240" w:lineRule="auto"/>
              <w:ind w:firstLine="480"/>
            </w:pPr>
            <w:r>
              <w:t>IČ: 000 23 272</w:t>
            </w:r>
          </w:p>
          <w:p w:rsidR="00FA60AD" w:rsidRDefault="005C7D70">
            <w:pPr>
              <w:pStyle w:val="Style13"/>
              <w:shd w:val="clear" w:color="auto" w:fill="auto"/>
              <w:spacing w:line="240" w:lineRule="auto"/>
              <w:ind w:firstLine="480"/>
            </w:pPr>
            <w:r>
              <w:t>Jednající: PhDr. Michal Lukeš, Ph.D., generální ředitel</w:t>
            </w:r>
          </w:p>
        </w:tc>
      </w:tr>
    </w:tbl>
    <w:p w:rsidR="00FA60AD" w:rsidRDefault="00FA60AD">
      <w:pPr>
        <w:spacing w:after="499" w:line="1" w:lineRule="exact"/>
      </w:pPr>
    </w:p>
    <w:p w:rsidR="00FA60AD" w:rsidRDefault="005C7D70">
      <w:pPr>
        <w:pStyle w:val="Style2"/>
        <w:shd w:val="clear" w:color="auto" w:fill="auto"/>
        <w:spacing w:after="560" w:line="307" w:lineRule="auto"/>
        <w:jc w:val="both"/>
      </w:pPr>
      <w:r>
        <w:t xml:space="preserve">uzavírají tuto smlouvu o pojištění předmětů uměleckě a sběratelské hodnoty ve prospěch </w:t>
      </w:r>
      <w:r>
        <w:rPr>
          <w:b/>
          <w:bCs/>
        </w:rPr>
        <w:t>pojištěného / oprávněné osoby: Vlastníci předmětů pojištění</w:t>
      </w:r>
    </w:p>
    <w:p w:rsidR="00FA60AD" w:rsidRDefault="005C7D70">
      <w:pPr>
        <w:pStyle w:val="Style17"/>
        <w:keepNext/>
        <w:keepLines/>
        <w:shd w:val="clear" w:color="auto" w:fill="auto"/>
        <w:spacing w:after="220" w:line="228" w:lineRule="auto"/>
        <w:jc w:val="both"/>
      </w:pPr>
      <w:bookmarkStart w:id="4" w:name="bookmark4"/>
      <w:bookmarkStart w:id="5" w:name="bookmark5"/>
      <w:bookmarkStart w:id="6" w:name="bookmark6"/>
      <w:r>
        <w:t>ČÁST A: Soubor sbírek</w:t>
      </w:r>
      <w:bookmarkEnd w:id="4"/>
      <w:bookmarkEnd w:id="5"/>
      <w:bookmarkEnd w:id="6"/>
    </w:p>
    <w:p w:rsidR="00FA60AD" w:rsidRDefault="005C7D70">
      <w:pPr>
        <w:pStyle w:val="Style19"/>
        <w:keepNext/>
        <w:keepLines/>
        <w:shd w:val="clear" w:color="auto" w:fill="auto"/>
        <w:jc w:val="both"/>
      </w:pPr>
      <w:bookmarkStart w:id="7" w:name="bookmark9"/>
      <w:r>
        <w:rPr>
          <w:u w:val="none"/>
        </w:rPr>
        <w:t>Článek I</w:t>
      </w:r>
      <w:bookmarkEnd w:id="7"/>
    </w:p>
    <w:p w:rsidR="00FA60AD" w:rsidRDefault="005C7D70">
      <w:pPr>
        <w:pStyle w:val="Style19"/>
        <w:keepNext/>
        <w:keepLines/>
        <w:shd w:val="clear" w:color="auto" w:fill="auto"/>
        <w:spacing w:after="60"/>
        <w:jc w:val="both"/>
      </w:pPr>
      <w:bookmarkStart w:id="8" w:name="bookmark10"/>
      <w:bookmarkStart w:id="9" w:name="bookmark7"/>
      <w:bookmarkStart w:id="10" w:name="bookmark8"/>
      <w:r>
        <w:t>Předmět pojištění</w:t>
      </w:r>
      <w:bookmarkEnd w:id="8"/>
      <w:bookmarkEnd w:id="9"/>
      <w:bookmarkEnd w:id="10"/>
    </w:p>
    <w:p w:rsidR="00FA60AD" w:rsidRDefault="005C7D70">
      <w:pPr>
        <w:pStyle w:val="Style2"/>
        <w:numPr>
          <w:ilvl w:val="0"/>
          <w:numId w:val="1"/>
        </w:numPr>
        <w:shd w:val="clear" w:color="auto" w:fill="auto"/>
        <w:tabs>
          <w:tab w:val="left" w:pos="324"/>
        </w:tabs>
        <w:spacing w:line="254" w:lineRule="auto"/>
        <w:ind w:left="320" w:hanging="320"/>
        <w:jc w:val="both"/>
      </w:pPr>
      <w:r>
        <w:t xml:space="preserve">Předmětem tohoto pojištění jsou předměty zvláštní </w:t>
      </w:r>
      <w:r>
        <w:t>kulturní a historické hodnoty, umělecké předměty, sbírky (tj. sbírkové předměty dle evidence sbírkových předmětů a evidence archivních a knižních fondů, včetně předmětů v operativní a jiné evidenci) a věcí cizí (jež má pojištěný po právu v držení). Jedná s</w:t>
      </w:r>
      <w:r>
        <w:t xml:space="preserve">e o soubor věcí, které nejsou pevně spojené s budovami v celkové agregované pojistné částce </w:t>
      </w:r>
      <w:r w:rsidR="009E6A65">
        <w:t>XXXXXXXXXXX</w:t>
      </w:r>
      <w:r>
        <w:t>,- Kč.</w:t>
      </w:r>
    </w:p>
    <w:p w:rsidR="00FA60AD" w:rsidRDefault="005C7D70">
      <w:pPr>
        <w:pStyle w:val="Style2"/>
        <w:shd w:val="clear" w:color="auto" w:fill="auto"/>
        <w:spacing w:line="254" w:lineRule="auto"/>
        <w:ind w:left="320" w:firstLine="20"/>
        <w:jc w:val="both"/>
      </w:pPr>
      <w:r>
        <w:t>Předmětem pojištění jsou dále i věci zvláštní hodnoty (případně soubor sbírek), které jsou přepravovány pojištěným pro vlastní potřebu vlastním</w:t>
      </w:r>
      <w:r>
        <w:t>i nebo po právu užívanými vozidly.</w:t>
      </w:r>
    </w:p>
    <w:p w:rsidR="00FA60AD" w:rsidRDefault="005C7D70">
      <w:pPr>
        <w:pStyle w:val="Style2"/>
        <w:shd w:val="clear" w:color="auto" w:fill="auto"/>
        <w:spacing w:after="220" w:line="254" w:lineRule="auto"/>
        <w:ind w:left="320" w:firstLine="20"/>
        <w:jc w:val="both"/>
      </w:pPr>
      <w:r>
        <w:t>Předmětem pojištění nejsou cizí věci převzaté za účelem provedení dopravy (smlouva o přepravě věci) nebo za účelem obstarání přepravy (zasilatelská smlouva).</w:t>
      </w:r>
    </w:p>
    <w:p w:rsidR="00FA60AD" w:rsidRDefault="005C7D70">
      <w:pPr>
        <w:pStyle w:val="Style2"/>
        <w:numPr>
          <w:ilvl w:val="0"/>
          <w:numId w:val="1"/>
        </w:numPr>
        <w:shd w:val="clear" w:color="auto" w:fill="auto"/>
        <w:tabs>
          <w:tab w:val="left" w:pos="324"/>
        </w:tabs>
        <w:spacing w:line="295" w:lineRule="auto"/>
        <w:ind w:left="320" w:hanging="320"/>
        <w:jc w:val="both"/>
      </w:pPr>
      <w:r>
        <w:t>Pojištění se sjednává za účelem pojištění souboru sbírek v po p</w:t>
      </w:r>
      <w:r>
        <w:t xml:space="preserve">rávu užívaných budovách, stavbách, prostorách a to i kancelářích na území ČR (Viz Příloha č. 1 „Orientační seznam míst pojištění na území ČR“) a jejich přeprav. Přepravy budou uskutečňovány pouze pro vlastní potřebu, a to vlastními nebo po právu užívanými </w:t>
      </w:r>
      <w:r>
        <w:t>vozidly.</w:t>
      </w:r>
    </w:p>
    <w:p w:rsidR="00FA60AD" w:rsidRDefault="005C7D70">
      <w:pPr>
        <w:pStyle w:val="Style2"/>
        <w:shd w:val="clear" w:color="auto" w:fill="auto"/>
        <w:spacing w:line="300" w:lineRule="auto"/>
      </w:pPr>
      <w:r>
        <w:rPr>
          <w:b/>
          <w:bCs/>
        </w:rPr>
        <w:t>Článek II</w:t>
      </w:r>
    </w:p>
    <w:p w:rsidR="00FA60AD" w:rsidRDefault="005C7D70">
      <w:pPr>
        <w:pStyle w:val="Style2"/>
        <w:shd w:val="clear" w:color="auto" w:fill="auto"/>
        <w:spacing w:after="60" w:line="269" w:lineRule="auto"/>
      </w:pPr>
      <w:r>
        <w:rPr>
          <w:b/>
          <w:bCs/>
          <w:u w:val="single"/>
        </w:rPr>
        <w:t>Rozsah pojištění</w:t>
      </w:r>
    </w:p>
    <w:p w:rsidR="00FA60AD" w:rsidRDefault="005C7D70">
      <w:pPr>
        <w:pStyle w:val="Style2"/>
        <w:numPr>
          <w:ilvl w:val="0"/>
          <w:numId w:val="2"/>
        </w:numPr>
        <w:shd w:val="clear" w:color="auto" w:fill="auto"/>
        <w:tabs>
          <w:tab w:val="left" w:pos="332"/>
        </w:tabs>
        <w:spacing w:line="271" w:lineRule="auto"/>
      </w:pPr>
      <w:r>
        <w:t>Pojištění předmětů se sjednává v souladu s pojistnými podmínkami:</w:t>
      </w:r>
    </w:p>
    <w:p w:rsidR="00FA60AD" w:rsidRDefault="005C7D70">
      <w:pPr>
        <w:pStyle w:val="Style2"/>
        <w:numPr>
          <w:ilvl w:val="0"/>
          <w:numId w:val="3"/>
        </w:numPr>
        <w:shd w:val="clear" w:color="auto" w:fill="auto"/>
        <w:tabs>
          <w:tab w:val="left" w:pos="641"/>
        </w:tabs>
        <w:spacing w:line="271" w:lineRule="auto"/>
        <w:ind w:firstLine="320"/>
      </w:pPr>
      <w:r>
        <w:t>Všeobecně pojistně podmínky - obecná část (dále jen „UCZ/14“)</w:t>
      </w:r>
    </w:p>
    <w:p w:rsidR="00FA60AD" w:rsidRDefault="005C7D70">
      <w:pPr>
        <w:pStyle w:val="Style2"/>
        <w:numPr>
          <w:ilvl w:val="0"/>
          <w:numId w:val="3"/>
        </w:numPr>
        <w:shd w:val="clear" w:color="auto" w:fill="auto"/>
        <w:tabs>
          <w:tab w:val="left" w:pos="641"/>
        </w:tabs>
        <w:spacing w:line="271" w:lineRule="auto"/>
        <w:ind w:left="640" w:hanging="320"/>
        <w:jc w:val="both"/>
      </w:pPr>
      <w:r>
        <w:t xml:space="preserve">Všeobecně pojistně podmínky pro pojištění předmětů umělecké a/nebo sběratelské </w:t>
      </w:r>
      <w:r>
        <w:t>hodnoty - zvláštní část (dále jen „UCZ/Um/14“)</w:t>
      </w:r>
    </w:p>
    <w:p w:rsidR="00FA60AD" w:rsidRDefault="005C7D70">
      <w:pPr>
        <w:pStyle w:val="Style2"/>
        <w:numPr>
          <w:ilvl w:val="0"/>
          <w:numId w:val="3"/>
        </w:numPr>
        <w:shd w:val="clear" w:color="auto" w:fill="auto"/>
        <w:tabs>
          <w:tab w:val="left" w:pos="641"/>
        </w:tabs>
        <w:spacing w:line="271" w:lineRule="auto"/>
        <w:ind w:left="640" w:hanging="320"/>
        <w:jc w:val="both"/>
      </w:pPr>
      <w:r>
        <w:t>Všeobecné pojistné podmínky pro pojištění přepravy zásilek - zvláštní část (dále jen „UCZ/T/14“) v rozsahu čl.4, odst 4.2.1</w:t>
      </w:r>
    </w:p>
    <w:p w:rsidR="00FA60AD" w:rsidRDefault="005C7D70">
      <w:pPr>
        <w:pStyle w:val="Style2"/>
        <w:numPr>
          <w:ilvl w:val="0"/>
          <w:numId w:val="3"/>
        </w:numPr>
        <w:shd w:val="clear" w:color="auto" w:fill="auto"/>
        <w:tabs>
          <w:tab w:val="left" w:pos="641"/>
        </w:tabs>
        <w:spacing w:line="271" w:lineRule="auto"/>
        <w:ind w:left="640" w:hanging="320"/>
        <w:jc w:val="both"/>
      </w:pPr>
      <w:r>
        <w:t>Všeobecné pojistné podmínky pojištění majetku pro případ poškození nebo zničení živel</w:t>
      </w:r>
      <w:r>
        <w:t>ní událostí -zvláštní část - (dále jen „UCZ/Živ/14“)</w:t>
      </w:r>
    </w:p>
    <w:p w:rsidR="00FA60AD" w:rsidRDefault="005C7D70">
      <w:pPr>
        <w:pStyle w:val="Style2"/>
        <w:numPr>
          <w:ilvl w:val="0"/>
          <w:numId w:val="3"/>
        </w:numPr>
        <w:shd w:val="clear" w:color="auto" w:fill="auto"/>
        <w:tabs>
          <w:tab w:val="left" w:pos="641"/>
        </w:tabs>
        <w:spacing w:line="271" w:lineRule="auto"/>
        <w:ind w:firstLine="320"/>
      </w:pPr>
      <w:r>
        <w:t>Všeobecné pojistné podmínky pojištění majetku pro případ odcizení - zvláštní část</w:t>
      </w:r>
    </w:p>
    <w:p w:rsidR="00FA60AD" w:rsidRDefault="005C7D70">
      <w:pPr>
        <w:pStyle w:val="Style2"/>
        <w:shd w:val="clear" w:color="auto" w:fill="auto"/>
        <w:spacing w:line="271" w:lineRule="auto"/>
        <w:ind w:firstLine="640"/>
      </w:pPr>
      <w:r>
        <w:t>(dále jen „UCŽ/Odc/14“) - výklad pojmů</w:t>
      </w:r>
    </w:p>
    <w:p w:rsidR="00FA60AD" w:rsidRDefault="005C7D70">
      <w:pPr>
        <w:pStyle w:val="Style2"/>
        <w:numPr>
          <w:ilvl w:val="0"/>
          <w:numId w:val="3"/>
        </w:numPr>
        <w:shd w:val="clear" w:color="auto" w:fill="auto"/>
        <w:tabs>
          <w:tab w:val="left" w:pos="641"/>
        </w:tabs>
        <w:spacing w:line="271" w:lineRule="auto"/>
        <w:ind w:firstLine="320"/>
      </w:pPr>
      <w:r>
        <w:t>Doplňkové pojistné podmínky k pojištění majetku pro případ odcizení LIM/14</w:t>
      </w:r>
    </w:p>
    <w:p w:rsidR="00FA60AD" w:rsidRDefault="005C7D70">
      <w:pPr>
        <w:pStyle w:val="Style2"/>
        <w:numPr>
          <w:ilvl w:val="0"/>
          <w:numId w:val="3"/>
        </w:numPr>
        <w:shd w:val="clear" w:color="auto" w:fill="auto"/>
        <w:tabs>
          <w:tab w:val="left" w:pos="641"/>
        </w:tabs>
        <w:spacing w:after="60" w:line="271" w:lineRule="auto"/>
        <w:ind w:firstLine="320"/>
      </w:pPr>
      <w:r>
        <w:t>Další p</w:t>
      </w:r>
      <w:r>
        <w:t>odmínky pro poskytnutí pojistné ochrany</w:t>
      </w:r>
    </w:p>
    <w:p w:rsidR="00FA60AD" w:rsidRDefault="005C7D70">
      <w:pPr>
        <w:pStyle w:val="Style2"/>
        <w:numPr>
          <w:ilvl w:val="0"/>
          <w:numId w:val="2"/>
        </w:numPr>
        <w:shd w:val="clear" w:color="auto" w:fill="auto"/>
        <w:tabs>
          <w:tab w:val="left" w:pos="332"/>
        </w:tabs>
        <w:spacing w:after="60"/>
        <w:ind w:left="380" w:hanging="380"/>
        <w:jc w:val="both"/>
      </w:pPr>
      <w:r>
        <w:t>Pro předměty pojištění se dle této pojistné smlouvy sjednává pojistná ochrana pro pojištění v místě pojištění (ve výstavních prostorách, případně uskladnění v depozitáři). Pojištění zahrnuje případ vzniku škody do vý</w:t>
      </w:r>
      <w:r>
        <w:t>še sjednaného limitu plnění na předmětech pojištění vzniklou jakoukoli nahodilou škodnou událostí nastalou v době pojištění, která není dále v příslušných pojistných podmínkách z pojištění vyloučena, včetně instalace, deinstalace a úkony bezprostředně s tí</w:t>
      </w:r>
      <w:r>
        <w:t>m související, příp. uskladnění v depozitáři.</w:t>
      </w:r>
    </w:p>
    <w:p w:rsidR="00FA60AD" w:rsidRDefault="005C7D70">
      <w:pPr>
        <w:pStyle w:val="Style2"/>
        <w:numPr>
          <w:ilvl w:val="0"/>
          <w:numId w:val="2"/>
        </w:numPr>
        <w:shd w:val="clear" w:color="auto" w:fill="auto"/>
        <w:tabs>
          <w:tab w:val="left" w:pos="332"/>
        </w:tabs>
        <w:spacing w:after="60"/>
        <w:ind w:left="380" w:hanging="380"/>
        <w:jc w:val="both"/>
      </w:pPr>
      <w:r>
        <w:t>Pro předměty pojištění se dle této pojistné smlouvy sjednává pojistná ochrana pro pojištění přepravy do výše sjednaného limitu plnění na uvedené místo vykládky v rozsahu čl. 4.2.1 VPP UCZ/T/14 včetně balení, vy</w:t>
      </w:r>
      <w:r>
        <w:t>balování a instalace dle čl. 5.4 UCZ/Um/14. Zároveň se ujednává, že výluka dle čl. 6, odst. 6.2 bod m) a n) UCZ/T/14 neplatí a dále se ujednává i krytí nebezpečí terorismu v rozsahu dle ČÁSTI C. Územní rozsah Evropa.</w:t>
      </w:r>
    </w:p>
    <w:p w:rsidR="00FA60AD" w:rsidRDefault="005C7D70">
      <w:pPr>
        <w:pStyle w:val="Style2"/>
        <w:numPr>
          <w:ilvl w:val="0"/>
          <w:numId w:val="2"/>
        </w:numPr>
        <w:shd w:val="clear" w:color="auto" w:fill="auto"/>
        <w:tabs>
          <w:tab w:val="left" w:pos="332"/>
        </w:tabs>
        <w:spacing w:after="180" w:line="269" w:lineRule="auto"/>
        <w:ind w:left="380" w:hanging="380"/>
        <w:jc w:val="both"/>
      </w:pPr>
      <w:r>
        <w:t xml:space="preserve">Podmínky pojistitele pro </w:t>
      </w:r>
      <w:r>
        <w:t>převzetí pojistné ochrany pro případ odcizení předmětů pojištění v místě výstavy (výstavní prostory, depozitář) jsou uvedeny v Příloze č. 3 této pojistné smlouvy. Podmínky pojistitele pro převzetí pojistné ochrany během přepravy jsou uvedeny v Příloze č. 3</w:t>
      </w:r>
      <w:r>
        <w:t xml:space="preserve"> této pojistné smlouvy.</w:t>
      </w:r>
    </w:p>
    <w:p w:rsidR="00FA60AD" w:rsidRDefault="005C7D70">
      <w:pPr>
        <w:pStyle w:val="Style19"/>
        <w:keepNext/>
        <w:keepLines/>
        <w:shd w:val="clear" w:color="auto" w:fill="auto"/>
        <w:spacing w:line="269" w:lineRule="auto"/>
        <w:jc w:val="both"/>
      </w:pPr>
      <w:bookmarkStart w:id="11" w:name="bookmark13"/>
      <w:r>
        <w:rPr>
          <w:u w:val="none"/>
        </w:rPr>
        <w:t xml:space="preserve">Článek </w:t>
      </w:r>
      <w:r>
        <w:rPr>
          <w:u w:val="none"/>
          <w:lang w:val="en-US" w:eastAsia="en-US" w:bidi="en-US"/>
        </w:rPr>
        <w:t>III</w:t>
      </w:r>
      <w:bookmarkEnd w:id="11"/>
    </w:p>
    <w:p w:rsidR="00FA60AD" w:rsidRDefault="005C7D70">
      <w:pPr>
        <w:pStyle w:val="Style19"/>
        <w:keepNext/>
        <w:keepLines/>
        <w:shd w:val="clear" w:color="auto" w:fill="auto"/>
        <w:spacing w:after="60" w:line="269" w:lineRule="auto"/>
      </w:pPr>
      <w:bookmarkStart w:id="12" w:name="bookmark11"/>
      <w:bookmarkStart w:id="13" w:name="bookmark12"/>
      <w:bookmarkStart w:id="14" w:name="bookmark14"/>
      <w:r>
        <w:t>Pojistná hodnota, pojistná částka, limity plnění, spoluúčasti, pojistné</w:t>
      </w:r>
      <w:bookmarkEnd w:id="12"/>
      <w:bookmarkEnd w:id="13"/>
      <w:bookmarkEnd w:id="14"/>
    </w:p>
    <w:p w:rsidR="00FA60AD" w:rsidRDefault="005C7D70">
      <w:pPr>
        <w:pStyle w:val="Style2"/>
        <w:numPr>
          <w:ilvl w:val="0"/>
          <w:numId w:val="4"/>
        </w:numPr>
        <w:shd w:val="clear" w:color="auto" w:fill="auto"/>
        <w:tabs>
          <w:tab w:val="left" w:pos="332"/>
        </w:tabs>
        <w:spacing w:after="60" w:line="269" w:lineRule="auto"/>
      </w:pPr>
      <w:r>
        <w:t xml:space="preserve">Pojistná hodnota / Pojistná částka: </w:t>
      </w:r>
      <w:r w:rsidR="009E6A65">
        <w:t>XXXXXXXXXXX</w:t>
      </w:r>
      <w:r>
        <w:t>,- Kč</w:t>
      </w:r>
    </w:p>
    <w:p w:rsidR="00FA60AD" w:rsidRDefault="005C7D70">
      <w:pPr>
        <w:pStyle w:val="Style2"/>
        <w:numPr>
          <w:ilvl w:val="0"/>
          <w:numId w:val="4"/>
        </w:numPr>
        <w:shd w:val="clear" w:color="auto" w:fill="auto"/>
        <w:tabs>
          <w:tab w:val="left" w:pos="332"/>
        </w:tabs>
        <w:spacing w:line="254" w:lineRule="auto"/>
      </w:pPr>
      <w:r>
        <w:t>Limity plnění</w:t>
      </w:r>
    </w:p>
    <w:p w:rsidR="00FA60AD" w:rsidRDefault="005C7D70">
      <w:pPr>
        <w:pStyle w:val="Style2"/>
        <w:shd w:val="clear" w:color="auto" w:fill="auto"/>
        <w:spacing w:after="60" w:line="254" w:lineRule="auto"/>
        <w:ind w:left="320"/>
        <w:jc w:val="both"/>
      </w:pPr>
      <w:r>
        <w:t xml:space="preserve">Pojištění se sjednává s následujícími limity / </w:t>
      </w:r>
      <w:r>
        <w:rPr>
          <w:lang w:val="en-US" w:eastAsia="en-US" w:bidi="en-US"/>
        </w:rPr>
        <w:t xml:space="preserve">sublimity </w:t>
      </w:r>
      <w:r>
        <w:t xml:space="preserve">pojistného </w:t>
      </w:r>
      <w:r>
        <w:t>plnění (při platnosti předepsaného způsobu zabezpečení) pro uvedená pojištěná nebezpečí. Limitem / sublimitem plnění se rozumí maximální pojistné plnění za jednu a všechny pojistné události nastalé během pojistného období 12 měsíců.</w:t>
      </w:r>
    </w:p>
    <w:p w:rsidR="00FA60AD" w:rsidRDefault="005C7D70">
      <w:pPr>
        <w:pStyle w:val="Style2"/>
        <w:shd w:val="clear" w:color="auto" w:fill="auto"/>
        <w:spacing w:after="120" w:line="262" w:lineRule="auto"/>
        <w:ind w:left="320"/>
        <w:jc w:val="both"/>
      </w:pPr>
      <w:r>
        <w:t>Sjednaný limit plnění c</w:t>
      </w:r>
      <w:r>
        <w:t xml:space="preserve">elkem za všechna pojištěná nebezpečí 550.000.000,- Kč, přičemž platí dále uvedené </w:t>
      </w:r>
      <w:r>
        <w:rPr>
          <w:lang w:val="en-US" w:eastAsia="en-US" w:bidi="en-US"/>
        </w:rPr>
        <w:t xml:space="preserve">sublimity </w:t>
      </w:r>
      <w:r>
        <w:t>plnění.</w:t>
      </w:r>
    </w:p>
    <w:p w:rsidR="00FA60AD" w:rsidRDefault="005C7D70">
      <w:pPr>
        <w:pStyle w:val="Style2"/>
        <w:shd w:val="clear" w:color="auto" w:fill="auto"/>
        <w:spacing w:after="60" w:line="269" w:lineRule="auto"/>
        <w:ind w:firstLine="320"/>
      </w:pPr>
      <w:r>
        <w:rPr>
          <w:u w:val="single"/>
        </w:rPr>
        <w:t xml:space="preserve">Sjednané </w:t>
      </w:r>
      <w:r>
        <w:rPr>
          <w:u w:val="single"/>
          <w:lang w:val="en-US" w:eastAsia="en-US" w:bidi="en-US"/>
        </w:rPr>
        <w:t xml:space="preserve">sublimity </w:t>
      </w:r>
      <w:r>
        <w:rPr>
          <w:u w:val="single"/>
        </w:rPr>
        <w:t>plnění:</w:t>
      </w:r>
    </w:p>
    <w:p w:rsidR="00FA60AD" w:rsidRDefault="005C7D70">
      <w:pPr>
        <w:pStyle w:val="Style2"/>
        <w:shd w:val="clear" w:color="auto" w:fill="auto"/>
        <w:spacing w:line="276" w:lineRule="auto"/>
        <w:ind w:left="320"/>
      </w:pPr>
      <w:r>
        <w:t xml:space="preserve">Pro základní živelní nebezpečí - FLEXA (požár, výbuch, úder blesku, pád letadla nebo sportovního létajícího zařízení nebo </w:t>
      </w:r>
      <w:r>
        <w:t>jeho části)</w:t>
      </w:r>
    </w:p>
    <w:p w:rsidR="00FA60AD" w:rsidRDefault="005C7D70">
      <w:pPr>
        <w:pStyle w:val="Style2"/>
        <w:shd w:val="clear" w:color="auto" w:fill="auto"/>
        <w:tabs>
          <w:tab w:val="left" w:pos="6694"/>
        </w:tabs>
        <w:spacing w:line="276" w:lineRule="auto"/>
        <w:ind w:firstLine="320"/>
      </w:pPr>
      <w:r>
        <w:t>ve výši</w:t>
      </w:r>
      <w:r>
        <w:tab/>
      </w:r>
      <w:r w:rsidR="009E6A65">
        <w:t>XXXXXXXXXXXXXX</w:t>
      </w:r>
      <w:r>
        <w:t>,- Kč</w:t>
      </w:r>
    </w:p>
    <w:p w:rsidR="00FA60AD" w:rsidRDefault="005C7D70">
      <w:pPr>
        <w:pStyle w:val="Style2"/>
        <w:shd w:val="clear" w:color="auto" w:fill="auto"/>
        <w:spacing w:after="60" w:line="276" w:lineRule="auto"/>
        <w:ind w:firstLine="320"/>
      </w:pPr>
      <w:r>
        <w:t xml:space="preserve">- spoluúčast: </w:t>
      </w:r>
      <w:r w:rsidR="009E6A65">
        <w:t>XXXXXXX</w:t>
      </w:r>
      <w:r>
        <w:t>,- Kč</w:t>
      </w:r>
    </w:p>
    <w:p w:rsidR="00FA60AD" w:rsidRDefault="005C7D70">
      <w:pPr>
        <w:pStyle w:val="Style2"/>
        <w:shd w:val="clear" w:color="auto" w:fill="auto"/>
        <w:tabs>
          <w:tab w:val="left" w:pos="7010"/>
        </w:tabs>
        <w:ind w:left="300" w:firstLine="20"/>
      </w:pPr>
      <w:r>
        <w:rPr>
          <w:lang w:val="en-US" w:eastAsia="en-US" w:bidi="en-US"/>
        </w:rPr>
        <w:t xml:space="preserve">Pro </w:t>
      </w:r>
      <w:r>
        <w:t xml:space="preserve">ostatní nebezpečí dle krytí </w:t>
      </w:r>
      <w:r>
        <w:rPr>
          <w:lang w:val="en-US" w:eastAsia="en-US" w:bidi="en-US"/>
        </w:rPr>
        <w:t xml:space="preserve">All risks </w:t>
      </w:r>
      <w:r>
        <w:t>(zejména ostatní živelní nebezpečí [dle Čl. 1 odst. 2 a odst. 3 UCZ/Živ/14], aerodynamický třesk; kouř; náraz dopravního prostředku; sesuv nebo zřícení</w:t>
      </w:r>
      <w:r>
        <w:t xml:space="preserve"> sněhových lavin; nepřímý úder blesku, přepětí a kolísání napětí a atmosférické srážky; odcizení, vandalismus; terorismus a další nebezpečí dle uvedených pojistných podmínek) s výjimkou přepravy se sjednává limit plnění ve výši</w:t>
      </w:r>
      <w:r>
        <w:tab/>
      </w:r>
      <w:r w:rsidR="009E6A65">
        <w:t>XXXXXXXXXX</w:t>
      </w:r>
      <w:r>
        <w:t>,- Kč</w:t>
      </w:r>
    </w:p>
    <w:p w:rsidR="00FA60AD" w:rsidRDefault="005C7D70">
      <w:pPr>
        <w:pStyle w:val="Style2"/>
        <w:numPr>
          <w:ilvl w:val="0"/>
          <w:numId w:val="5"/>
        </w:numPr>
        <w:shd w:val="clear" w:color="auto" w:fill="auto"/>
        <w:tabs>
          <w:tab w:val="left" w:pos="621"/>
        </w:tabs>
        <w:spacing w:after="140"/>
        <w:ind w:firstLine="380"/>
      </w:pPr>
      <w:r>
        <w:t xml:space="preserve">spoluúčast: </w:t>
      </w:r>
      <w:r w:rsidR="009E6A65">
        <w:t>XXXXXXX</w:t>
      </w:r>
      <w:r>
        <w:t>,- Kč</w:t>
      </w:r>
    </w:p>
    <w:p w:rsidR="00FA60AD" w:rsidRDefault="005C7D70">
      <w:pPr>
        <w:pStyle w:val="Style2"/>
        <w:shd w:val="clear" w:color="auto" w:fill="auto"/>
        <w:spacing w:line="240" w:lineRule="auto"/>
        <w:ind w:firstLine="300"/>
      </w:pPr>
      <w:r>
        <w:rPr>
          <w:b/>
          <w:bCs/>
        </w:rPr>
        <w:t>Definice nebezpečí terorismu:</w:t>
      </w:r>
    </w:p>
    <w:p w:rsidR="00FA60AD" w:rsidRDefault="005C7D70">
      <w:pPr>
        <w:pStyle w:val="Style2"/>
        <w:shd w:val="clear" w:color="auto" w:fill="auto"/>
        <w:spacing w:after="100" w:line="240" w:lineRule="auto"/>
        <w:ind w:left="300" w:firstLine="20"/>
        <w:jc w:val="both"/>
      </w:pPr>
      <w:r>
        <w:t>Pojištění se vztahuje na krytí nebezpečí terorismu a to během pobytu předmětů pojištění na uvedeném místě pojištění a/nebo během jejich přepravy.</w:t>
      </w:r>
    </w:p>
    <w:p w:rsidR="00FA60AD" w:rsidRDefault="005C7D70">
      <w:pPr>
        <w:pStyle w:val="Style2"/>
        <w:shd w:val="clear" w:color="auto" w:fill="auto"/>
        <w:spacing w:after="100" w:line="257" w:lineRule="auto"/>
        <w:ind w:left="300" w:firstLine="20"/>
        <w:jc w:val="both"/>
      </w:pPr>
      <w:r>
        <w:t>Pro účely tohoto pojištění teroristický čin znamená čin nebo řadu či</w:t>
      </w:r>
      <w:r>
        <w:t>nů, spočívající v použití síly nebo násilí, jakékoliv osoby či skupiny nebo skupin osob, ať už jednajících samostatně, nebo jménem jakékoliv organizace či organizací či ve spojení s nimi, k jejichž spáchání došlo z politických, náboženských nebo ideologick</w:t>
      </w:r>
      <w:r>
        <w:t>ých důvodů, a to včetně záměru ovlivnit z těchto důvodů jakoukoliv vládu nebo uvést veřejnost ve strach.</w:t>
      </w:r>
    </w:p>
    <w:p w:rsidR="00FA60AD" w:rsidRDefault="005C7D70">
      <w:pPr>
        <w:pStyle w:val="Style2"/>
        <w:shd w:val="clear" w:color="auto" w:fill="auto"/>
        <w:spacing w:after="100" w:line="240" w:lineRule="auto"/>
        <w:ind w:left="300" w:firstLine="20"/>
        <w:jc w:val="both"/>
      </w:pPr>
      <w:r>
        <w:t>Pokud pojistitel označí jakoukoliv škodu, následnou škodu, náklady nebo výdaje za událost, na kterou se pojištění nevztahuje, nese důkazní břemeno k pr</w:t>
      </w:r>
      <w:r>
        <w:t>okázání opaku pojištěný.</w:t>
      </w:r>
    </w:p>
    <w:p w:rsidR="00FA60AD" w:rsidRDefault="005C7D70">
      <w:pPr>
        <w:pStyle w:val="Style2"/>
        <w:shd w:val="clear" w:color="auto" w:fill="auto"/>
        <w:ind w:left="300" w:firstLine="20"/>
        <w:jc w:val="both"/>
      </w:pPr>
      <w:r>
        <w:t>Pro pojištění přepravy věcí zvláštní hodnoty (případně soubor sbírek) se ^ednává společný limit plnění i se souborem vlastních a cizích věcí movitých a zásob, uveden v ČÁSTI C</w:t>
      </w:r>
    </w:p>
    <w:p w:rsidR="00FA60AD" w:rsidRDefault="005C7D70">
      <w:pPr>
        <w:pStyle w:val="Style2"/>
        <w:shd w:val="clear" w:color="auto" w:fill="auto"/>
        <w:ind w:firstLine="300"/>
      </w:pPr>
      <w:r>
        <w:t xml:space="preserve">Pro nebezpečí odcizení jsou sjednány </w:t>
      </w:r>
      <w:r>
        <w:rPr>
          <w:lang w:val="en-US" w:eastAsia="en-US" w:bidi="en-US"/>
        </w:rPr>
        <w:t xml:space="preserve">sublimity </w:t>
      </w:r>
      <w:r>
        <w:t>plnění dle způsobu zabezpečení (uvedeny</w:t>
      </w:r>
    </w:p>
    <w:p w:rsidR="00FA60AD" w:rsidRDefault="005C7D70">
      <w:pPr>
        <w:pStyle w:val="Style2"/>
        <w:shd w:val="clear" w:color="auto" w:fill="auto"/>
        <w:ind w:left="300" w:firstLine="20"/>
        <w:jc w:val="both"/>
      </w:pPr>
      <w:r>
        <w:t>v ČÁSTI C Článek II, bod 1.4); pro přepravu těchto věcí zvláštní hodnoty platí zároveň i podmínky dle Článku I a Článku II této části.</w:t>
      </w:r>
    </w:p>
    <w:p w:rsidR="00FA60AD" w:rsidRDefault="005C7D70">
      <w:pPr>
        <w:pStyle w:val="Style2"/>
        <w:numPr>
          <w:ilvl w:val="0"/>
          <w:numId w:val="5"/>
        </w:numPr>
        <w:shd w:val="clear" w:color="auto" w:fill="auto"/>
        <w:tabs>
          <w:tab w:val="left" w:pos="545"/>
        </w:tabs>
        <w:spacing w:after="140"/>
        <w:ind w:firstLine="300"/>
      </w:pPr>
      <w:r>
        <w:t xml:space="preserve">spoluúčast: </w:t>
      </w:r>
      <w:r w:rsidR="009E6A65">
        <w:t>XXXXX</w:t>
      </w:r>
      <w:r>
        <w:t>,- Kč</w:t>
      </w:r>
    </w:p>
    <w:p w:rsidR="00FA60AD" w:rsidRDefault="005C7D70">
      <w:pPr>
        <w:pStyle w:val="Style2"/>
        <w:numPr>
          <w:ilvl w:val="0"/>
          <w:numId w:val="4"/>
        </w:numPr>
        <w:shd w:val="clear" w:color="auto" w:fill="auto"/>
        <w:tabs>
          <w:tab w:val="left" w:pos="423"/>
        </w:tabs>
        <w:spacing w:after="100"/>
      </w:pPr>
      <w:r>
        <w:rPr>
          <w:b/>
          <w:bCs/>
        </w:rPr>
        <w:t>Pojistné za</w:t>
      </w:r>
      <w:r>
        <w:rPr>
          <w:b/>
          <w:bCs/>
        </w:rPr>
        <w:t xml:space="preserve"> dobu trvání pojištění dle ČÁSTI A:</w:t>
      </w:r>
    </w:p>
    <w:p w:rsidR="00FA60AD" w:rsidRDefault="005C7D70">
      <w:pPr>
        <w:pStyle w:val="Style2"/>
        <w:shd w:val="clear" w:color="auto" w:fill="auto"/>
        <w:ind w:firstLine="300"/>
      </w:pPr>
      <w:r>
        <w:t>Pojištění základního živlu - FLEXA:</w:t>
      </w:r>
    </w:p>
    <w:p w:rsidR="00FA60AD" w:rsidRDefault="005C7D70">
      <w:pPr>
        <w:pStyle w:val="Style2"/>
        <w:shd w:val="clear" w:color="auto" w:fill="auto"/>
        <w:spacing w:after="100"/>
        <w:ind w:firstLine="980"/>
      </w:pPr>
      <w:r>
        <w:t xml:space="preserve">limit pojistného plnění </w:t>
      </w:r>
      <w:r w:rsidR="009E6A65">
        <w:t>XXXXXXXXX</w:t>
      </w:r>
      <w:r>
        <w:t>,- Kč</w:t>
      </w:r>
    </w:p>
    <w:p w:rsidR="00FA60AD" w:rsidRDefault="005C7D70">
      <w:pPr>
        <w:pStyle w:val="Style2"/>
        <w:shd w:val="clear" w:color="auto" w:fill="auto"/>
        <w:ind w:left="300" w:firstLine="20"/>
        <w:jc w:val="both"/>
      </w:pPr>
      <w:r>
        <w:t xml:space="preserve">Pojištění sdruženého (doplňkového) živlu a dalších nebezpečí dle krytí </w:t>
      </w:r>
      <w:r>
        <w:rPr>
          <w:lang w:val="en-US" w:eastAsia="en-US" w:bidi="en-US"/>
        </w:rPr>
        <w:t xml:space="preserve">All risks </w:t>
      </w:r>
      <w:r>
        <w:t>s výjimkou pojištění přepravy:</w:t>
      </w:r>
    </w:p>
    <w:p w:rsidR="00FA60AD" w:rsidRDefault="005C7D70">
      <w:pPr>
        <w:pStyle w:val="Style2"/>
        <w:shd w:val="clear" w:color="auto" w:fill="auto"/>
        <w:spacing w:after="100"/>
        <w:ind w:firstLine="660"/>
      </w:pPr>
      <w:r>
        <w:rPr>
          <w:i/>
          <w:iCs/>
        </w:rPr>
        <w:t>'Z'</w:t>
      </w:r>
      <w:r>
        <w:t xml:space="preserve"> limit pojistného plnění </w:t>
      </w:r>
      <w:r w:rsidR="009E6A65">
        <w:t>XXXXXXXXX</w:t>
      </w:r>
      <w:r>
        <w:t>,- Kč</w:t>
      </w:r>
    </w:p>
    <w:p w:rsidR="00FA60AD" w:rsidRDefault="005C7D70">
      <w:pPr>
        <w:pStyle w:val="Style2"/>
        <w:shd w:val="clear" w:color="auto" w:fill="auto"/>
        <w:spacing w:after="140"/>
        <w:ind w:firstLine="300"/>
      </w:pPr>
      <w:r>
        <w:t>Pojištění přepravy s územním rozsahem Evropa - pojistné uvedeno v ČÁSTI C:</w:t>
      </w:r>
    </w:p>
    <w:p w:rsidR="00FA60AD" w:rsidRDefault="005C7D70">
      <w:pPr>
        <w:pStyle w:val="Style2"/>
        <w:shd w:val="clear" w:color="auto" w:fill="auto"/>
        <w:spacing w:after="100"/>
        <w:ind w:left="380"/>
        <w:jc w:val="both"/>
      </w:pPr>
      <w:r>
        <w:rPr>
          <w:b/>
          <w:bCs/>
        </w:rPr>
        <w:t xml:space="preserve">Roční pojistné činí </w:t>
      </w:r>
      <w:r w:rsidR="009E6A65">
        <w:rPr>
          <w:b/>
          <w:bCs/>
        </w:rPr>
        <w:t>XXXXXX</w:t>
      </w:r>
      <w:r>
        <w:rPr>
          <w:b/>
          <w:bCs/>
        </w:rPr>
        <w:t xml:space="preserve">,- Kč, pojistné za sjednanou dobu pojištění (1.1.2021-1.1.2025) činí </w:t>
      </w:r>
      <w:r w:rsidR="009E6A65">
        <w:rPr>
          <w:b/>
          <w:bCs/>
        </w:rPr>
        <w:t>XXXXXXXX</w:t>
      </w:r>
      <w:r>
        <w:rPr>
          <w:b/>
          <w:bCs/>
        </w:rPr>
        <w:t>,-Kč.</w:t>
      </w:r>
    </w:p>
    <w:p w:rsidR="00FA60AD" w:rsidRDefault="005C7D70">
      <w:pPr>
        <w:pStyle w:val="Style2"/>
        <w:shd w:val="clear" w:color="auto" w:fill="auto"/>
        <w:ind w:left="300" w:firstLine="20"/>
        <w:jc w:val="both"/>
      </w:pPr>
      <w:r>
        <w:t>Pojistné za celou dobu poji</w:t>
      </w:r>
      <w:r>
        <w:t xml:space="preserve">štění dle ČÁSTI A činí </w:t>
      </w:r>
      <w:r w:rsidR="009E6A65">
        <w:rPr>
          <w:b/>
          <w:bCs/>
        </w:rPr>
        <w:t>XXXXXX</w:t>
      </w:r>
      <w:r>
        <w:rPr>
          <w:b/>
          <w:bCs/>
        </w:rPr>
        <w:t xml:space="preserve">,- Kč, </w:t>
      </w:r>
      <w:r>
        <w:t xml:space="preserve">roční pojistné činí </w:t>
      </w:r>
      <w:r w:rsidR="009E6A65">
        <w:t>XXXXXX</w:t>
      </w:r>
      <w:r>
        <w:t xml:space="preserve">,- Kč. Platby pojistného jsou sjednány jako čtvrtletní a budou hrazeny ve výši čtvrtiny celkového ročního pojistného na účet pojistitele: č. ú.: </w:t>
      </w:r>
      <w:r w:rsidR="009E6A65">
        <w:t>XXXXXXX</w:t>
      </w:r>
      <w:r>
        <w:t>, VS (bude doplněn).</w:t>
      </w:r>
    </w:p>
    <w:p w:rsidR="00FA60AD" w:rsidRDefault="005C7D70">
      <w:pPr>
        <w:pStyle w:val="Style2"/>
        <w:shd w:val="clear" w:color="auto" w:fill="auto"/>
        <w:ind w:firstLine="300"/>
      </w:pPr>
      <w:r>
        <w:t>Splatnost pojistného: 1.1., 1.4., 1.7., 1.10. (den a měsíc běžného roku)</w:t>
      </w:r>
    </w:p>
    <w:p w:rsidR="00FA60AD" w:rsidRDefault="005C7D70">
      <w:pPr>
        <w:pStyle w:val="Style2"/>
        <w:shd w:val="clear" w:color="auto" w:fill="auto"/>
        <w:spacing w:after="140"/>
        <w:ind w:firstLine="300"/>
      </w:pPr>
      <w:r>
        <w:t xml:space="preserve">Splátka pojistného: </w:t>
      </w:r>
      <w:r w:rsidR="009E6A65">
        <w:t>XXXXXXX</w:t>
      </w:r>
      <w:r>
        <w:t>,- Kč.</w:t>
      </w:r>
    </w:p>
    <w:p w:rsidR="00FA60AD" w:rsidRDefault="005C7D70">
      <w:pPr>
        <w:pStyle w:val="Style2"/>
        <w:shd w:val="clear" w:color="auto" w:fill="auto"/>
        <w:spacing w:after="220" w:line="276" w:lineRule="auto"/>
        <w:ind w:left="300" w:firstLine="20"/>
        <w:jc w:val="both"/>
      </w:pPr>
      <w:r>
        <w:t>Takto stanovené pojistné je úplatou za poskytnutou pojistnou ochranu pojištěných věcí za dobu trvání pojištění za ČÁST A.</w:t>
      </w:r>
    </w:p>
    <w:p w:rsidR="00FA60AD" w:rsidRDefault="005C7D70">
      <w:pPr>
        <w:pStyle w:val="Style2"/>
        <w:shd w:val="clear" w:color="auto" w:fill="auto"/>
        <w:spacing w:line="240" w:lineRule="auto"/>
        <w:ind w:firstLine="240"/>
      </w:pPr>
      <w:r>
        <w:rPr>
          <w:b/>
          <w:bCs/>
        </w:rPr>
        <w:t>Sleva za příznivý škodní pr</w:t>
      </w:r>
      <w:r>
        <w:rPr>
          <w:b/>
          <w:bCs/>
        </w:rPr>
        <w:t>ůběh:</w:t>
      </w:r>
    </w:p>
    <w:p w:rsidR="00FA60AD" w:rsidRDefault="005C7D70">
      <w:pPr>
        <w:pStyle w:val="Style2"/>
        <w:shd w:val="clear" w:color="auto" w:fill="auto"/>
        <w:spacing w:after="220" w:line="240" w:lineRule="auto"/>
        <w:ind w:firstLine="240"/>
      </w:pPr>
      <w:r>
        <w:t>V závislosti na škodním průběhu pojištění poskytne pojistitel pojistníkovi bonifikaci, a to takto:</w:t>
      </w:r>
    </w:p>
    <w:tbl>
      <w:tblPr>
        <w:tblOverlap w:val="never"/>
        <w:tblW w:w="0" w:type="auto"/>
        <w:jc w:val="center"/>
        <w:tblLayout w:type="fixed"/>
        <w:tblCellMar>
          <w:left w:w="10" w:type="dxa"/>
          <w:right w:w="10" w:type="dxa"/>
        </w:tblCellMar>
        <w:tblLook w:val="04A0" w:firstRow="1" w:lastRow="0" w:firstColumn="1" w:lastColumn="0" w:noHBand="0" w:noVBand="1"/>
      </w:tblPr>
      <w:tblGrid>
        <w:gridCol w:w="4109"/>
        <w:gridCol w:w="4267"/>
      </w:tblGrid>
      <w:tr w:rsidR="00FA60AD">
        <w:tblPrEx>
          <w:tblCellMar>
            <w:top w:w="0" w:type="dxa"/>
            <w:bottom w:w="0" w:type="dxa"/>
          </w:tblCellMar>
        </w:tblPrEx>
        <w:trPr>
          <w:trHeight w:hRule="exact" w:val="250"/>
          <w:jc w:val="center"/>
        </w:trPr>
        <w:tc>
          <w:tcPr>
            <w:tcW w:w="4109" w:type="dxa"/>
            <w:tcBorders>
              <w:top w:val="single" w:sz="4" w:space="0" w:color="auto"/>
              <w:left w:val="single" w:sz="4" w:space="0" w:color="auto"/>
            </w:tcBorders>
            <w:shd w:val="clear" w:color="auto" w:fill="FFFFFF"/>
            <w:vAlign w:val="bottom"/>
          </w:tcPr>
          <w:p w:rsidR="00FA60AD" w:rsidRDefault="005C7D70">
            <w:pPr>
              <w:pStyle w:val="Style13"/>
              <w:shd w:val="clear" w:color="auto" w:fill="auto"/>
              <w:spacing w:line="240" w:lineRule="auto"/>
            </w:pPr>
            <w:r>
              <w:t>Reálný škodní průběh</w:t>
            </w:r>
          </w:p>
        </w:tc>
        <w:tc>
          <w:tcPr>
            <w:tcW w:w="4267" w:type="dxa"/>
            <w:tcBorders>
              <w:top w:val="single" w:sz="4" w:space="0" w:color="auto"/>
              <w:left w:val="single" w:sz="4" w:space="0" w:color="auto"/>
              <w:right w:val="single" w:sz="4" w:space="0" w:color="auto"/>
            </w:tcBorders>
            <w:shd w:val="clear" w:color="auto" w:fill="FFFFFF"/>
            <w:vAlign w:val="bottom"/>
          </w:tcPr>
          <w:p w:rsidR="00FA60AD" w:rsidRDefault="005C7D70">
            <w:pPr>
              <w:pStyle w:val="Style13"/>
              <w:shd w:val="clear" w:color="auto" w:fill="auto"/>
              <w:spacing w:line="240" w:lineRule="auto"/>
            </w:pPr>
            <w:r>
              <w:t>Sleva</w:t>
            </w:r>
          </w:p>
        </w:tc>
      </w:tr>
      <w:tr w:rsidR="00FA60AD">
        <w:tblPrEx>
          <w:tblCellMar>
            <w:top w:w="0" w:type="dxa"/>
            <w:bottom w:w="0" w:type="dxa"/>
          </w:tblCellMar>
        </w:tblPrEx>
        <w:trPr>
          <w:trHeight w:hRule="exact" w:val="240"/>
          <w:jc w:val="center"/>
        </w:trPr>
        <w:tc>
          <w:tcPr>
            <w:tcW w:w="4109" w:type="dxa"/>
            <w:tcBorders>
              <w:top w:val="single" w:sz="4" w:space="0" w:color="auto"/>
              <w:left w:val="single" w:sz="4" w:space="0" w:color="auto"/>
            </w:tcBorders>
            <w:shd w:val="clear" w:color="auto" w:fill="FFFFFF"/>
            <w:vAlign w:val="bottom"/>
          </w:tcPr>
          <w:p w:rsidR="00FA60AD" w:rsidRDefault="005C7D70">
            <w:pPr>
              <w:pStyle w:val="Style13"/>
              <w:shd w:val="clear" w:color="auto" w:fill="auto"/>
              <w:spacing w:line="240" w:lineRule="auto"/>
            </w:pPr>
            <w:r>
              <w:t>do 0 %</w:t>
            </w:r>
          </w:p>
        </w:tc>
        <w:tc>
          <w:tcPr>
            <w:tcW w:w="4267" w:type="dxa"/>
            <w:tcBorders>
              <w:top w:val="single" w:sz="4" w:space="0" w:color="auto"/>
              <w:left w:val="single" w:sz="4" w:space="0" w:color="auto"/>
              <w:right w:val="single" w:sz="4" w:space="0" w:color="auto"/>
            </w:tcBorders>
            <w:shd w:val="clear" w:color="auto" w:fill="FFFFFF"/>
            <w:vAlign w:val="bottom"/>
          </w:tcPr>
          <w:p w:rsidR="00FA60AD" w:rsidRDefault="005C7D70">
            <w:pPr>
              <w:pStyle w:val="Style13"/>
              <w:shd w:val="clear" w:color="auto" w:fill="auto"/>
              <w:spacing w:line="240" w:lineRule="auto"/>
            </w:pPr>
            <w:r>
              <w:t>15%</w:t>
            </w:r>
          </w:p>
        </w:tc>
      </w:tr>
      <w:tr w:rsidR="00FA60AD">
        <w:tblPrEx>
          <w:tblCellMar>
            <w:top w:w="0" w:type="dxa"/>
            <w:bottom w:w="0" w:type="dxa"/>
          </w:tblCellMar>
        </w:tblPrEx>
        <w:trPr>
          <w:trHeight w:hRule="exact" w:val="250"/>
          <w:jc w:val="center"/>
        </w:trPr>
        <w:tc>
          <w:tcPr>
            <w:tcW w:w="4109" w:type="dxa"/>
            <w:tcBorders>
              <w:top w:val="single" w:sz="4" w:space="0" w:color="auto"/>
              <w:left w:val="single" w:sz="4" w:space="0" w:color="auto"/>
              <w:bottom w:val="single" w:sz="4" w:space="0" w:color="auto"/>
            </w:tcBorders>
            <w:shd w:val="clear" w:color="auto" w:fill="FFFFFF"/>
          </w:tcPr>
          <w:p w:rsidR="00FA60AD" w:rsidRDefault="005C7D70">
            <w:pPr>
              <w:pStyle w:val="Style13"/>
              <w:shd w:val="clear" w:color="auto" w:fill="auto"/>
              <w:spacing w:line="240" w:lineRule="auto"/>
            </w:pPr>
            <w:r>
              <w:t>do 10%</w:t>
            </w:r>
          </w:p>
        </w:tc>
        <w:tc>
          <w:tcPr>
            <w:tcW w:w="4267" w:type="dxa"/>
            <w:tcBorders>
              <w:top w:val="single" w:sz="4" w:space="0" w:color="auto"/>
              <w:left w:val="single" w:sz="4" w:space="0" w:color="auto"/>
              <w:bottom w:val="single" w:sz="4" w:space="0" w:color="auto"/>
              <w:right w:val="single" w:sz="4" w:space="0" w:color="auto"/>
            </w:tcBorders>
            <w:shd w:val="clear" w:color="auto" w:fill="FFFFFF"/>
          </w:tcPr>
          <w:p w:rsidR="00FA60AD" w:rsidRDefault="005C7D70">
            <w:pPr>
              <w:pStyle w:val="Style13"/>
              <w:shd w:val="clear" w:color="auto" w:fill="auto"/>
              <w:spacing w:line="240" w:lineRule="auto"/>
            </w:pPr>
            <w:r>
              <w:t>5%</w:t>
            </w:r>
          </w:p>
        </w:tc>
      </w:tr>
    </w:tbl>
    <w:p w:rsidR="00FA60AD" w:rsidRDefault="00FA60AD">
      <w:pPr>
        <w:sectPr w:rsidR="00FA60AD">
          <w:headerReference w:type="default" r:id="rId7"/>
          <w:footerReference w:type="default" r:id="rId8"/>
          <w:headerReference w:type="first" r:id="rId9"/>
          <w:footerReference w:type="first" r:id="rId10"/>
          <w:pgSz w:w="11928" w:h="16853"/>
          <w:pgMar w:top="1998" w:right="1359" w:bottom="2941" w:left="1574" w:header="0" w:footer="3" w:gutter="0"/>
          <w:pgNumType w:start="1"/>
          <w:cols w:space="720"/>
          <w:noEndnote/>
          <w:titlePg/>
          <w:docGrid w:linePitch="360"/>
        </w:sectPr>
      </w:pPr>
    </w:p>
    <w:p w:rsidR="00FA60AD" w:rsidRDefault="005C7D70">
      <w:pPr>
        <w:pStyle w:val="Style2"/>
        <w:shd w:val="clear" w:color="auto" w:fill="auto"/>
        <w:spacing w:line="269" w:lineRule="auto"/>
        <w:ind w:left="260" w:firstLine="80"/>
      </w:pPr>
      <w:r>
        <w:t xml:space="preserve">Reálným škodním průběhem za hodnocenou dobu pojištění (za pojistný neboli upisovací rok) se rozumí poměr výše zaplacených a výše nahlášených (dosud </w:t>
      </w:r>
      <w:r>
        <w:t>nezaplacených) pojistných událostí vždy od počátku pojištění až do konce hodnoceněho období k výši spotřebovaněho pojistněho (t.j. poměrný díl pojistného odpovídající počtu uplynulých dnů) od počátku do konce hodnoceného období.</w:t>
      </w:r>
    </w:p>
    <w:p w:rsidR="00FA60AD" w:rsidRDefault="005C7D70">
      <w:pPr>
        <w:pStyle w:val="Style2"/>
        <w:shd w:val="clear" w:color="auto" w:fill="auto"/>
        <w:spacing w:after="180" w:line="269" w:lineRule="auto"/>
        <w:ind w:left="260" w:firstLine="80"/>
      </w:pPr>
      <w:r>
        <w:t>Podmínkou pro vyplacení bon</w:t>
      </w:r>
      <w:r>
        <w:t>ifikace je uhrazení předepsaného pojistného v daném pojistném roce, resp. za vyhodnocované období. Nárok nevznikne při ukončení platnosti pojistné smlouvy před uplynutím celého pojistného roku, resp. doby dané platnou pojistnou smlouvou.</w:t>
      </w:r>
    </w:p>
    <w:p w:rsidR="00FA60AD" w:rsidRDefault="005C7D70">
      <w:pPr>
        <w:pStyle w:val="Style19"/>
        <w:keepNext/>
        <w:keepLines/>
        <w:shd w:val="clear" w:color="auto" w:fill="auto"/>
        <w:spacing w:line="240" w:lineRule="auto"/>
      </w:pPr>
      <w:bookmarkStart w:id="15" w:name="bookmark17"/>
      <w:r>
        <w:rPr>
          <w:u w:val="none"/>
        </w:rPr>
        <w:t>Článek IV</w:t>
      </w:r>
      <w:bookmarkEnd w:id="15"/>
    </w:p>
    <w:p w:rsidR="00FA60AD" w:rsidRDefault="005C7D70">
      <w:pPr>
        <w:pStyle w:val="Style19"/>
        <w:keepNext/>
        <w:keepLines/>
        <w:shd w:val="clear" w:color="auto" w:fill="auto"/>
        <w:spacing w:after="80" w:line="240" w:lineRule="auto"/>
      </w:pPr>
      <w:bookmarkStart w:id="16" w:name="bookmark15"/>
      <w:bookmarkStart w:id="17" w:name="bookmark16"/>
      <w:bookmarkStart w:id="18" w:name="bookmark18"/>
      <w:r>
        <w:t>Doba trv</w:t>
      </w:r>
      <w:r>
        <w:t>ání pojištění</w:t>
      </w:r>
      <w:bookmarkEnd w:id="16"/>
      <w:bookmarkEnd w:id="17"/>
      <w:bookmarkEnd w:id="18"/>
    </w:p>
    <w:p w:rsidR="00FA60AD" w:rsidRDefault="005C7D70">
      <w:pPr>
        <w:pStyle w:val="Style2"/>
        <w:shd w:val="clear" w:color="auto" w:fill="auto"/>
        <w:spacing w:line="240" w:lineRule="auto"/>
        <w:ind w:firstLine="260"/>
      </w:pPr>
      <w:r>
        <w:rPr>
          <w:noProof/>
        </w:rPr>
        <mc:AlternateContent>
          <mc:Choice Requires="wps">
            <w:drawing>
              <wp:anchor distT="0" distB="0" distL="114300" distR="114300" simplePos="0" relativeHeight="125829378" behindDoc="0" locked="0" layoutInCell="1" allowOverlap="1">
                <wp:simplePos x="0" y="0"/>
                <wp:positionH relativeFrom="page">
                  <wp:posOffset>1011555</wp:posOffset>
                </wp:positionH>
                <wp:positionV relativeFrom="paragraph">
                  <wp:posOffset>12700</wp:posOffset>
                </wp:positionV>
                <wp:extent cx="1014730" cy="450850"/>
                <wp:effectExtent l="0" t="0" r="0" b="0"/>
                <wp:wrapSquare wrapText="right"/>
                <wp:docPr id="13" name="Shape 13"/>
                <wp:cNvGraphicFramePr/>
                <a:graphic xmlns:a="http://schemas.openxmlformats.org/drawingml/2006/main">
                  <a:graphicData uri="http://schemas.microsoft.com/office/word/2010/wordprocessingShape">
                    <wps:wsp>
                      <wps:cNvSpPr txBox="1"/>
                      <wps:spPr>
                        <a:xfrm>
                          <a:off x="0" y="0"/>
                          <a:ext cx="1014730" cy="450850"/>
                        </a:xfrm>
                        <a:prstGeom prst="rect">
                          <a:avLst/>
                        </a:prstGeom>
                        <a:noFill/>
                      </wps:spPr>
                      <wps:txbx>
                        <w:txbxContent>
                          <w:p w:rsidR="00FA60AD" w:rsidRDefault="005C7D70">
                            <w:pPr>
                              <w:pStyle w:val="Style2"/>
                              <w:shd w:val="clear" w:color="auto" w:fill="auto"/>
                              <w:spacing w:line="240" w:lineRule="auto"/>
                            </w:pPr>
                            <w:r>
                              <w:t>Počátek pojištění:</w:t>
                            </w:r>
                          </w:p>
                          <w:p w:rsidR="00FA60AD" w:rsidRDefault="005C7D70">
                            <w:pPr>
                              <w:pStyle w:val="Style2"/>
                              <w:shd w:val="clear" w:color="auto" w:fill="auto"/>
                              <w:spacing w:line="240" w:lineRule="auto"/>
                            </w:pPr>
                            <w:r>
                              <w:t>Konec pojištění:</w:t>
                            </w:r>
                          </w:p>
                          <w:p w:rsidR="00FA60AD" w:rsidRDefault="005C7D70">
                            <w:pPr>
                              <w:pStyle w:val="Style2"/>
                              <w:shd w:val="clear" w:color="auto" w:fill="auto"/>
                              <w:spacing w:line="240" w:lineRule="auto"/>
                            </w:pPr>
                            <w:r>
                              <w:t>Pojistné období:</w:t>
                            </w:r>
                          </w:p>
                        </w:txbxContent>
                      </wps:txbx>
                      <wps:bodyPr lIns="0" tIns="0" rIns="0" bIns="0"/>
                    </wps:wsp>
                  </a:graphicData>
                </a:graphic>
              </wp:anchor>
            </w:drawing>
          </mc:Choice>
          <mc:Fallback>
            <w:pict>
              <v:shape id="_x0000_s1039" type="#_x0000_t202" style="position:absolute;margin-left:79.650000000000006pt;margin-top:1.pt;width:79.900000000000006pt;height:35.5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Počátek pojištění:</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Konec pojištění:</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Pojistné období:</w:t>
                      </w:r>
                    </w:p>
                  </w:txbxContent>
                </v:textbox>
                <w10:wrap type="square" side="right" anchorx="page"/>
              </v:shape>
            </w:pict>
          </mc:Fallback>
        </mc:AlternateContent>
      </w:r>
      <w:r>
        <w:t>1.1.2021 (00:00 hod)</w:t>
      </w:r>
    </w:p>
    <w:p w:rsidR="00FA60AD" w:rsidRDefault="005C7D70">
      <w:pPr>
        <w:pStyle w:val="Style2"/>
        <w:shd w:val="clear" w:color="auto" w:fill="auto"/>
        <w:spacing w:line="240" w:lineRule="auto"/>
        <w:ind w:firstLine="260"/>
      </w:pPr>
      <w:r>
        <w:t>1.1.2025 (00:00 hod) bez automatického prodlužování</w:t>
      </w:r>
    </w:p>
    <w:p w:rsidR="00FA60AD" w:rsidRDefault="005C7D70">
      <w:pPr>
        <w:pStyle w:val="Style2"/>
        <w:shd w:val="clear" w:color="auto" w:fill="auto"/>
        <w:spacing w:after="180" w:line="240" w:lineRule="auto"/>
        <w:ind w:firstLine="260"/>
      </w:pPr>
      <w:r>
        <w:t>12 měsíců</w:t>
      </w:r>
    </w:p>
    <w:p w:rsidR="00FA60AD" w:rsidRDefault="005C7D70">
      <w:pPr>
        <w:pStyle w:val="Style19"/>
        <w:keepNext/>
        <w:keepLines/>
        <w:shd w:val="clear" w:color="auto" w:fill="auto"/>
        <w:spacing w:line="240" w:lineRule="auto"/>
      </w:pPr>
      <w:bookmarkStart w:id="19" w:name="bookmark21"/>
      <w:r>
        <w:rPr>
          <w:u w:val="none"/>
        </w:rPr>
        <w:t>Článek V</w:t>
      </w:r>
      <w:bookmarkEnd w:id="19"/>
    </w:p>
    <w:p w:rsidR="00FA60AD" w:rsidRDefault="005C7D70">
      <w:pPr>
        <w:pStyle w:val="Style19"/>
        <w:keepNext/>
        <w:keepLines/>
        <w:shd w:val="clear" w:color="auto" w:fill="auto"/>
        <w:spacing w:after="80" w:line="240" w:lineRule="auto"/>
      </w:pPr>
      <w:bookmarkStart w:id="20" w:name="bookmark19"/>
      <w:bookmarkStart w:id="21" w:name="bookmark20"/>
      <w:bookmarkStart w:id="22" w:name="bookmark22"/>
      <w:r>
        <w:t>Ujednání pro případ vzniku škodné události</w:t>
      </w:r>
      <w:bookmarkEnd w:id="20"/>
      <w:bookmarkEnd w:id="21"/>
      <w:bookmarkEnd w:id="22"/>
    </w:p>
    <w:p w:rsidR="00FA60AD" w:rsidRDefault="005C7D70">
      <w:pPr>
        <w:pStyle w:val="Style2"/>
        <w:numPr>
          <w:ilvl w:val="0"/>
          <w:numId w:val="6"/>
        </w:numPr>
        <w:shd w:val="clear" w:color="auto" w:fill="auto"/>
        <w:tabs>
          <w:tab w:val="left" w:pos="328"/>
        </w:tabs>
        <w:spacing w:after="140" w:line="271" w:lineRule="auto"/>
        <w:ind w:left="260" w:hanging="260"/>
        <w:jc w:val="both"/>
      </w:pPr>
      <w:r>
        <w:t xml:space="preserve">Pojištěný, případně zplnomocněný zástupce, telefonicky nahlásí na </w:t>
      </w:r>
      <w:r>
        <w:rPr>
          <w:lang w:val="en-US" w:eastAsia="en-US" w:bidi="en-US"/>
        </w:rPr>
        <w:t xml:space="preserve">Call </w:t>
      </w:r>
      <w:r>
        <w:t xml:space="preserve">centrum UNIQA pojišťovny a.s. (tel.č. </w:t>
      </w:r>
      <w:r w:rsidR="009E6A65">
        <w:t>XXXXXXX</w:t>
      </w:r>
      <w:r>
        <w:t xml:space="preserve">) vznik škodné události, kde bude tato registrována a sděleno registrační číslo události). Případně tak lze učinit písemně emailem: </w:t>
      </w:r>
      <w:hyperlink r:id="rId11" w:history="1">
        <w:r w:rsidR="009E6A65">
          <w:rPr>
            <w:u w:val="single"/>
            <w:lang w:val="en-US" w:eastAsia="en-US" w:bidi="en-US"/>
          </w:rPr>
          <w:t>XXXXXXXXXXXXXXX</w:t>
        </w:r>
      </w:hyperlink>
    </w:p>
    <w:p w:rsidR="00FA60AD" w:rsidRDefault="005C7D70">
      <w:pPr>
        <w:pStyle w:val="Style2"/>
        <w:numPr>
          <w:ilvl w:val="0"/>
          <w:numId w:val="6"/>
        </w:numPr>
        <w:shd w:val="clear" w:color="auto" w:fill="auto"/>
        <w:tabs>
          <w:tab w:val="left" w:pos="328"/>
        </w:tabs>
      </w:pPr>
      <w:r>
        <w:t>Příslušnému pracovníkovi linky je třeba sdělit následující:</w:t>
      </w:r>
    </w:p>
    <w:p w:rsidR="00FA60AD" w:rsidRDefault="005C7D70">
      <w:pPr>
        <w:pStyle w:val="Style2"/>
        <w:shd w:val="clear" w:color="auto" w:fill="auto"/>
        <w:ind w:left="640" w:firstLine="20"/>
      </w:pPr>
      <w:r>
        <w:t>jméno, adresu, číslo pojistné smlouvy, kontaktní spojení vč. emailové adresy, stručně jak a kdy k PU došlo, pravděpodobnou výši škody,</w:t>
      </w:r>
    </w:p>
    <w:p w:rsidR="00FA60AD" w:rsidRDefault="005C7D70">
      <w:pPr>
        <w:pStyle w:val="Style2"/>
        <w:shd w:val="clear" w:color="auto" w:fill="auto"/>
        <w:spacing w:after="520"/>
        <w:ind w:left="640" w:firstLine="20"/>
        <w:jc w:val="both"/>
      </w:pPr>
      <w:r>
        <w:t>adre</w:t>
      </w:r>
      <w:r>
        <w:t>su, místo, kde se poškozené předměty pojištění nacházejí, kontaktní osobu pro zajištění prohlídky a posouzeni rozsahu takto vzniklé škody (nutné k přizvání technika, případně soudního znalce).</w:t>
      </w:r>
    </w:p>
    <w:p w:rsidR="00FA60AD" w:rsidRDefault="005C7D70">
      <w:pPr>
        <w:pStyle w:val="Style17"/>
        <w:keepNext/>
        <w:keepLines/>
        <w:shd w:val="clear" w:color="auto" w:fill="auto"/>
        <w:spacing w:after="140"/>
      </w:pPr>
      <w:bookmarkStart w:id="23" w:name="bookmark23"/>
      <w:bookmarkStart w:id="24" w:name="bookmark24"/>
      <w:bookmarkStart w:id="25" w:name="bookmark25"/>
      <w:r>
        <w:t>ČÁST B; Přeprava “Státní sbírky hudebních nástrojů“</w:t>
      </w:r>
      <w:bookmarkEnd w:id="23"/>
      <w:bookmarkEnd w:id="24"/>
      <w:bookmarkEnd w:id="25"/>
    </w:p>
    <w:p w:rsidR="00FA60AD" w:rsidRDefault="005C7D70">
      <w:pPr>
        <w:pStyle w:val="Style19"/>
        <w:keepNext/>
        <w:keepLines/>
        <w:shd w:val="clear" w:color="auto" w:fill="auto"/>
        <w:spacing w:line="271" w:lineRule="auto"/>
      </w:pPr>
      <w:bookmarkStart w:id="26" w:name="bookmark28"/>
      <w:r>
        <w:rPr>
          <w:u w:val="none"/>
        </w:rPr>
        <w:t>Článek I</w:t>
      </w:r>
      <w:bookmarkEnd w:id="26"/>
    </w:p>
    <w:p w:rsidR="00FA60AD" w:rsidRDefault="005C7D70">
      <w:pPr>
        <w:pStyle w:val="Style19"/>
        <w:keepNext/>
        <w:keepLines/>
        <w:shd w:val="clear" w:color="auto" w:fill="auto"/>
        <w:spacing w:after="80" w:line="271" w:lineRule="auto"/>
      </w:pPr>
      <w:bookmarkStart w:id="27" w:name="bookmark26"/>
      <w:bookmarkStart w:id="28" w:name="bookmark27"/>
      <w:bookmarkStart w:id="29" w:name="bookmark29"/>
      <w:r>
        <w:t>Předmět pojištění, územní platnost</w:t>
      </w:r>
      <w:bookmarkEnd w:id="27"/>
      <w:bookmarkEnd w:id="28"/>
      <w:bookmarkEnd w:id="29"/>
    </w:p>
    <w:p w:rsidR="00FA60AD" w:rsidRDefault="005C7D70">
      <w:pPr>
        <w:pStyle w:val="Style2"/>
        <w:numPr>
          <w:ilvl w:val="0"/>
          <w:numId w:val="7"/>
        </w:numPr>
        <w:shd w:val="clear" w:color="auto" w:fill="auto"/>
        <w:tabs>
          <w:tab w:val="left" w:pos="328"/>
        </w:tabs>
        <w:spacing w:line="259" w:lineRule="auto"/>
        <w:ind w:left="260" w:hanging="260"/>
      </w:pPr>
      <w:r>
        <w:t>Předmětem tohoto pojištění je soubor vlastních věcí zvláštní kulturní, historické a umělecké hodnoty dle Přílohy č. 2.</w:t>
      </w:r>
    </w:p>
    <w:p w:rsidR="00FA60AD" w:rsidRDefault="005C7D70">
      <w:pPr>
        <w:pStyle w:val="Style2"/>
        <w:shd w:val="clear" w:color="auto" w:fill="auto"/>
        <w:spacing w:after="80" w:line="259" w:lineRule="auto"/>
        <w:ind w:left="260" w:firstLine="80"/>
        <w:jc w:val="both"/>
      </w:pPr>
      <w:r>
        <w:t xml:space="preserve">Předmětem pojištění nejsou cizí věci převzaté za účelem provedení dopravy (smlouva o </w:t>
      </w:r>
      <w:r>
        <w:t>přepravě věci) nebo za účelem obstarání přepravy (zasilatelská smlouva)</w:t>
      </w:r>
    </w:p>
    <w:p w:rsidR="00FA60AD" w:rsidRDefault="005C7D70">
      <w:pPr>
        <w:pStyle w:val="Style2"/>
        <w:numPr>
          <w:ilvl w:val="0"/>
          <w:numId w:val="7"/>
        </w:numPr>
        <w:shd w:val="clear" w:color="auto" w:fill="auto"/>
        <w:tabs>
          <w:tab w:val="left" w:pos="328"/>
        </w:tabs>
        <w:spacing w:after="80" w:line="262" w:lineRule="auto"/>
        <w:ind w:left="260" w:hanging="260"/>
      </w:pPr>
      <w:r>
        <w:t>Přeprava "Státní sbírky hudebních nástrojů" se sjednává s územní platností Celý svět. Zároveň se ujednává, že výluka dle čl. 6, odst. 6.2 bod m) a n) UCZ/T/14 neplatí.</w:t>
      </w:r>
    </w:p>
    <w:p w:rsidR="00FA60AD" w:rsidRDefault="005C7D70">
      <w:pPr>
        <w:pStyle w:val="Style2"/>
        <w:shd w:val="clear" w:color="auto" w:fill="auto"/>
        <w:spacing w:line="271" w:lineRule="auto"/>
      </w:pPr>
      <w:r>
        <w:rPr>
          <w:b/>
          <w:bCs/>
        </w:rPr>
        <w:t>Článek II</w:t>
      </w:r>
    </w:p>
    <w:p w:rsidR="00FA60AD" w:rsidRDefault="005C7D70">
      <w:pPr>
        <w:pStyle w:val="Style2"/>
        <w:shd w:val="clear" w:color="auto" w:fill="auto"/>
        <w:spacing w:after="80" w:line="271" w:lineRule="auto"/>
      </w:pPr>
      <w:r>
        <w:rPr>
          <w:b/>
          <w:bCs/>
          <w:u w:val="single"/>
        </w:rPr>
        <w:t>Rozsah</w:t>
      </w:r>
      <w:r>
        <w:rPr>
          <w:b/>
          <w:bCs/>
          <w:u w:val="single"/>
        </w:rPr>
        <w:t xml:space="preserve"> pojištění</w:t>
      </w:r>
    </w:p>
    <w:p w:rsidR="00FA60AD" w:rsidRDefault="005C7D70">
      <w:pPr>
        <w:pStyle w:val="Style2"/>
        <w:shd w:val="clear" w:color="auto" w:fill="auto"/>
        <w:spacing w:line="271" w:lineRule="auto"/>
        <w:ind w:left="640" w:hanging="300"/>
        <w:jc w:val="both"/>
      </w:pPr>
      <w:r>
        <w:rPr>
          <w:b/>
          <w:bCs/>
        </w:rPr>
        <w:t xml:space="preserve">1 Pojištění předmětů se sjednává na bázi </w:t>
      </w:r>
      <w:r>
        <w:rPr>
          <w:b/>
          <w:bCs/>
          <w:lang w:val="en-US" w:eastAsia="en-US" w:bidi="en-US"/>
        </w:rPr>
        <w:t xml:space="preserve">All risks </w:t>
      </w:r>
      <w:r>
        <w:t xml:space="preserve">(pojištění proti všem pojistným nebezpečím kromě nebezpečí, která jsou v pojistné smlouvě, nebo v pojistných podmínkách z pojištění vyloučena) </w:t>
      </w:r>
      <w:r>
        <w:rPr>
          <w:b/>
          <w:bCs/>
        </w:rPr>
        <w:t>dle níže uvedených pojistných podmínek;</w:t>
      </w:r>
    </w:p>
    <w:p w:rsidR="00FA60AD" w:rsidRDefault="005C7D70">
      <w:pPr>
        <w:pStyle w:val="Style2"/>
        <w:numPr>
          <w:ilvl w:val="0"/>
          <w:numId w:val="3"/>
        </w:numPr>
        <w:shd w:val="clear" w:color="auto" w:fill="auto"/>
        <w:tabs>
          <w:tab w:val="left" w:pos="630"/>
        </w:tabs>
        <w:spacing w:line="271" w:lineRule="auto"/>
        <w:ind w:firstLine="260"/>
      </w:pPr>
      <w:r>
        <w:t>Všeobecné p</w:t>
      </w:r>
      <w:r>
        <w:t>ojistné podmínky - obecná část (dále jen „UCZ/14'')</w:t>
      </w:r>
    </w:p>
    <w:p w:rsidR="00FA60AD" w:rsidRDefault="005C7D70">
      <w:pPr>
        <w:pStyle w:val="Style2"/>
        <w:numPr>
          <w:ilvl w:val="0"/>
          <w:numId w:val="3"/>
        </w:numPr>
        <w:shd w:val="clear" w:color="auto" w:fill="auto"/>
        <w:tabs>
          <w:tab w:val="left" w:pos="630"/>
        </w:tabs>
        <w:spacing w:line="271" w:lineRule="auto"/>
        <w:ind w:left="640" w:hanging="300"/>
        <w:jc w:val="both"/>
      </w:pPr>
      <w:r>
        <w:t>Všeobecné pojistné podmínky pro pojištění předmětů umělecké a/nebo sběratelské hodnoty - zvláštní část (dále jen „UCZ/Um/14")</w:t>
      </w:r>
    </w:p>
    <w:p w:rsidR="00FA60AD" w:rsidRDefault="005C7D70">
      <w:pPr>
        <w:pStyle w:val="Style2"/>
        <w:numPr>
          <w:ilvl w:val="0"/>
          <w:numId w:val="3"/>
        </w:numPr>
        <w:shd w:val="clear" w:color="auto" w:fill="auto"/>
        <w:tabs>
          <w:tab w:val="left" w:pos="630"/>
        </w:tabs>
        <w:spacing w:after="80" w:line="271" w:lineRule="auto"/>
        <w:ind w:left="640" w:hanging="300"/>
        <w:jc w:val="both"/>
      </w:pPr>
      <w:r>
        <w:t xml:space="preserve">Všeobecné pojistné podmínky pro pojištění přepravy </w:t>
      </w:r>
      <w:r>
        <w:t>zásilek-zvláštní část (dále jen „UCZ/T/14") v rozsahu čl.4, odst. 4.2.1</w:t>
      </w:r>
    </w:p>
    <w:p w:rsidR="00FA60AD" w:rsidRDefault="005C7D70">
      <w:pPr>
        <w:pStyle w:val="Style2"/>
        <w:numPr>
          <w:ilvl w:val="0"/>
          <w:numId w:val="3"/>
        </w:numPr>
        <w:shd w:val="clear" w:color="auto" w:fill="auto"/>
        <w:tabs>
          <w:tab w:val="left" w:pos="649"/>
        </w:tabs>
        <w:ind w:left="660" w:hanging="320"/>
      </w:pPr>
      <w:r>
        <w:t>Všeobecné pojistné podmínky pojištění majetku pro případ odcizení -zvláštní část (dále jen „UCZ/Odc/14") - výklad pojmů</w:t>
      </w:r>
    </w:p>
    <w:p w:rsidR="00FA60AD" w:rsidRDefault="005C7D70">
      <w:pPr>
        <w:pStyle w:val="Style2"/>
        <w:numPr>
          <w:ilvl w:val="0"/>
          <w:numId w:val="3"/>
        </w:numPr>
        <w:shd w:val="clear" w:color="auto" w:fill="auto"/>
        <w:tabs>
          <w:tab w:val="left" w:pos="649"/>
        </w:tabs>
        <w:ind w:firstLine="320"/>
      </w:pPr>
      <w:r>
        <w:t>Doplňkové pojistné podmínky k pojištění majetku pro případ odciz</w:t>
      </w:r>
      <w:r>
        <w:t>ení LIM/14</w:t>
      </w:r>
    </w:p>
    <w:p w:rsidR="00FA60AD" w:rsidRDefault="005C7D70">
      <w:pPr>
        <w:pStyle w:val="Style2"/>
        <w:numPr>
          <w:ilvl w:val="0"/>
          <w:numId w:val="3"/>
        </w:numPr>
        <w:shd w:val="clear" w:color="auto" w:fill="auto"/>
        <w:tabs>
          <w:tab w:val="left" w:pos="649"/>
        </w:tabs>
        <w:ind w:firstLine="320"/>
      </w:pPr>
      <w:r>
        <w:t>Další podmínky pro poskytnutí pojistné ochrany</w:t>
      </w:r>
    </w:p>
    <w:p w:rsidR="00FA60AD" w:rsidRDefault="005C7D70">
      <w:pPr>
        <w:pStyle w:val="Style2"/>
        <w:numPr>
          <w:ilvl w:val="0"/>
          <w:numId w:val="3"/>
        </w:numPr>
        <w:shd w:val="clear" w:color="auto" w:fill="auto"/>
        <w:tabs>
          <w:tab w:val="left" w:pos="649"/>
        </w:tabs>
        <w:ind w:firstLine="320"/>
      </w:pPr>
      <w:r>
        <w:t>Smluvní ujednání pro pojištění hudebních nástrojů, elektrických nebo elektronických nástrojů</w:t>
      </w:r>
    </w:p>
    <w:p w:rsidR="00FA60AD" w:rsidRDefault="005C7D70">
      <w:pPr>
        <w:pStyle w:val="Style2"/>
        <w:numPr>
          <w:ilvl w:val="0"/>
          <w:numId w:val="3"/>
        </w:numPr>
        <w:shd w:val="clear" w:color="auto" w:fill="auto"/>
        <w:tabs>
          <w:tab w:val="left" w:pos="649"/>
        </w:tabs>
        <w:spacing w:after="80"/>
        <w:ind w:firstLine="320"/>
      </w:pPr>
      <w:r>
        <w:t xml:space="preserve">Smluvní ujednání pro pojištění terorismu / INSTITUTE </w:t>
      </w:r>
      <w:r>
        <w:rPr>
          <w:lang w:val="en-US" w:eastAsia="en-US" w:bidi="en-US"/>
        </w:rPr>
        <w:t>STRIKES CLAUSES (CARGO)</w:t>
      </w:r>
    </w:p>
    <w:p w:rsidR="00FA60AD" w:rsidRDefault="005C7D70">
      <w:pPr>
        <w:pStyle w:val="Style2"/>
        <w:shd w:val="clear" w:color="auto" w:fill="auto"/>
        <w:spacing w:after="120" w:line="254" w:lineRule="auto"/>
        <w:ind w:left="660" w:hanging="320"/>
        <w:jc w:val="both"/>
      </w:pPr>
      <w:r>
        <w:t xml:space="preserve">2 Pojištění se </w:t>
      </w:r>
      <w:r>
        <w:t>sjednává z „z hřebíku na hřebík“ na dobu výpůjčky zmíněného předmětu pojištění (tj. pojištění transportu tam i zpět včetně doby užívání, případně pronájmu ke koncertním Účelům a všech úkonů s tím bezprostředně souvisejích). Přeprava začíná vydáním předmětu</w:t>
      </w:r>
      <w:r>
        <w:t xml:space="preserve"> pojištění z depozitáře a končí jeho uložením zpět do tohoto depozitáře.</w:t>
      </w:r>
    </w:p>
    <w:p w:rsidR="00FA60AD" w:rsidRDefault="005C7D70">
      <w:pPr>
        <w:pStyle w:val="Style2"/>
        <w:shd w:val="clear" w:color="auto" w:fill="auto"/>
        <w:spacing w:line="240" w:lineRule="auto"/>
        <w:ind w:firstLine="320"/>
      </w:pPr>
      <w:r>
        <w:t>Definice nebezpečí terorismu pro pobyt předmětů pojištění:</w:t>
      </w:r>
    </w:p>
    <w:p w:rsidR="00FA60AD" w:rsidRDefault="005C7D70">
      <w:pPr>
        <w:pStyle w:val="Style2"/>
        <w:shd w:val="clear" w:color="auto" w:fill="auto"/>
        <w:spacing w:after="120" w:line="240" w:lineRule="auto"/>
        <w:ind w:left="320" w:firstLine="20"/>
        <w:jc w:val="both"/>
      </w:pPr>
      <w:r>
        <w:t xml:space="preserve">Pojištění se vztahuje na krytí nebezpečí terorismu a to během pobytu předmětů pojištění na uvedeném místě pojištění </w:t>
      </w:r>
      <w:r>
        <w:t>a/nebo během jejich přepravy.</w:t>
      </w:r>
    </w:p>
    <w:p w:rsidR="00FA60AD" w:rsidRDefault="005C7D70">
      <w:pPr>
        <w:pStyle w:val="Style2"/>
        <w:shd w:val="clear" w:color="auto" w:fill="auto"/>
        <w:spacing w:after="200" w:line="254" w:lineRule="auto"/>
        <w:ind w:firstLine="320"/>
        <w:rPr>
          <w:lang w:val="en-US" w:eastAsia="en-US" w:bidi="en-US"/>
        </w:rPr>
      </w:pPr>
      <w:r>
        <w:t xml:space="preserve">Pojištění terorismu během přepravy se řídí dle INSTITUTE </w:t>
      </w:r>
      <w:r>
        <w:rPr>
          <w:lang w:val="en-US" w:eastAsia="en-US" w:bidi="en-US"/>
        </w:rPr>
        <w:t>STRIKES CLAUSES (CARGO)</w:t>
      </w:r>
    </w:p>
    <w:p w:rsidR="009E6A65" w:rsidRDefault="009E6A65">
      <w:pPr>
        <w:pStyle w:val="Style2"/>
        <w:shd w:val="clear" w:color="auto" w:fill="auto"/>
        <w:spacing w:after="200" w:line="254" w:lineRule="auto"/>
        <w:ind w:firstLine="320"/>
      </w:pPr>
    </w:p>
    <w:p w:rsidR="00FA60AD" w:rsidRDefault="005C7D70">
      <w:pPr>
        <w:pStyle w:val="Style19"/>
        <w:keepNext/>
        <w:keepLines/>
        <w:shd w:val="clear" w:color="auto" w:fill="auto"/>
      </w:pPr>
      <w:bookmarkStart w:id="30" w:name="bookmark32"/>
      <w:r>
        <w:rPr>
          <w:u w:val="none"/>
        </w:rPr>
        <w:t xml:space="preserve">Článek </w:t>
      </w:r>
      <w:r>
        <w:rPr>
          <w:u w:val="none"/>
          <w:lang w:val="en-US" w:eastAsia="en-US" w:bidi="en-US"/>
        </w:rPr>
        <w:t>III</w:t>
      </w:r>
      <w:bookmarkEnd w:id="30"/>
    </w:p>
    <w:p w:rsidR="00FA60AD" w:rsidRDefault="005C7D70">
      <w:pPr>
        <w:pStyle w:val="Style19"/>
        <w:keepNext/>
        <w:keepLines/>
        <w:shd w:val="clear" w:color="auto" w:fill="auto"/>
        <w:spacing w:after="80"/>
      </w:pPr>
      <w:bookmarkStart w:id="31" w:name="bookmark30"/>
      <w:bookmarkStart w:id="32" w:name="bookmark31"/>
      <w:bookmarkStart w:id="33" w:name="bookmark33"/>
      <w:r>
        <w:t>Pojistná hodnota, pojistná částka, limity</w:t>
      </w:r>
      <w:r>
        <w:t xml:space="preserve"> plnění, spoluúčast, pojistné</w:t>
      </w:r>
      <w:bookmarkEnd w:id="31"/>
      <w:bookmarkEnd w:id="32"/>
      <w:bookmarkEnd w:id="33"/>
    </w:p>
    <w:p w:rsidR="00FA60AD" w:rsidRDefault="005C7D70">
      <w:pPr>
        <w:pStyle w:val="Style2"/>
        <w:numPr>
          <w:ilvl w:val="0"/>
          <w:numId w:val="8"/>
        </w:numPr>
        <w:shd w:val="clear" w:color="auto" w:fill="auto"/>
        <w:tabs>
          <w:tab w:val="left" w:pos="329"/>
        </w:tabs>
        <w:spacing w:line="254" w:lineRule="auto"/>
      </w:pPr>
      <w:r>
        <w:t>Celková pojistná hodnota / celková pojistná částka: 228.996.000,- Kč</w:t>
      </w:r>
    </w:p>
    <w:p w:rsidR="00FA60AD" w:rsidRDefault="005C7D70">
      <w:pPr>
        <w:pStyle w:val="Style2"/>
        <w:shd w:val="clear" w:color="auto" w:fill="auto"/>
        <w:spacing w:after="80" w:line="254" w:lineRule="auto"/>
        <w:ind w:left="320" w:firstLine="20"/>
        <w:jc w:val="both"/>
      </w:pPr>
      <w:r>
        <w:t>Pojištění se sjednává na pojistnou hodnotu / pojistnou částku jednotlivého předmětu pojištění v souladu s Přílohou č. 2. Určená pojistná hodnota je horní hra</w:t>
      </w:r>
      <w:r>
        <w:t>nicí plnění pojistitele pro plnění ze všech pojistných událostí nastalých během pojistného období 12 měsíců.</w:t>
      </w:r>
    </w:p>
    <w:p w:rsidR="00FA60AD" w:rsidRDefault="005C7D70">
      <w:pPr>
        <w:pStyle w:val="Style2"/>
        <w:numPr>
          <w:ilvl w:val="0"/>
          <w:numId w:val="8"/>
        </w:numPr>
        <w:shd w:val="clear" w:color="auto" w:fill="auto"/>
        <w:tabs>
          <w:tab w:val="left" w:pos="329"/>
        </w:tabs>
        <w:spacing w:line="254" w:lineRule="auto"/>
      </w:pPr>
      <w:r>
        <w:t>Limity plnění</w:t>
      </w:r>
    </w:p>
    <w:p w:rsidR="00FA60AD" w:rsidRDefault="005C7D70">
      <w:pPr>
        <w:pStyle w:val="Style2"/>
        <w:shd w:val="clear" w:color="auto" w:fill="auto"/>
        <w:spacing w:after="80" w:line="254" w:lineRule="auto"/>
        <w:ind w:left="320" w:firstLine="20"/>
        <w:jc w:val="both"/>
      </w:pPr>
      <w:r>
        <w:t xml:space="preserve">Pojištění se zároveň sjednává s následujícím ročním limitem pojistného plnění (při platnosti předepsaného způsobu </w:t>
      </w:r>
      <w:r>
        <w:t>zabezpečení) pro uvedená pojištěná nebezpečí. Limitem plnění se rozumí maximální pojistné plnění za jednu a všechny pojistné události nastalé během pojistného období 12 měsíců.</w:t>
      </w:r>
    </w:p>
    <w:p w:rsidR="00FA60AD" w:rsidRDefault="005C7D70">
      <w:pPr>
        <w:pStyle w:val="Style2"/>
        <w:shd w:val="clear" w:color="auto" w:fill="auto"/>
        <w:spacing w:after="80" w:line="254" w:lineRule="auto"/>
        <w:ind w:firstLine="320"/>
      </w:pPr>
      <w:r>
        <w:t xml:space="preserve">Sjednaný limit plnění: </w:t>
      </w:r>
      <w:r w:rsidR="00FF2E83">
        <w:t>XXXXXXX</w:t>
      </w:r>
      <w:r>
        <w:t>,- Kč</w:t>
      </w:r>
    </w:p>
    <w:p w:rsidR="00FA60AD" w:rsidRDefault="005C7D70">
      <w:pPr>
        <w:pStyle w:val="Style2"/>
        <w:numPr>
          <w:ilvl w:val="0"/>
          <w:numId w:val="8"/>
        </w:numPr>
        <w:shd w:val="clear" w:color="auto" w:fill="auto"/>
        <w:tabs>
          <w:tab w:val="left" w:pos="329"/>
        </w:tabs>
        <w:spacing w:line="254" w:lineRule="auto"/>
      </w:pPr>
      <w:r>
        <w:t>Spoluúčast:</w:t>
      </w:r>
    </w:p>
    <w:p w:rsidR="00FA60AD" w:rsidRDefault="005C7D70">
      <w:pPr>
        <w:pStyle w:val="Style2"/>
        <w:shd w:val="clear" w:color="auto" w:fill="auto"/>
        <w:spacing w:after="80" w:line="254" w:lineRule="auto"/>
        <w:ind w:firstLine="320"/>
      </w:pPr>
      <w:r>
        <w:t>Pojištění se sjednává se spo</w:t>
      </w:r>
      <w:r>
        <w:t xml:space="preserve">luúčastí ve výši </w:t>
      </w:r>
      <w:r w:rsidR="00FF2E83">
        <w:t>XXXXXX</w:t>
      </w:r>
      <w:r>
        <w:t>,- Kč.</w:t>
      </w:r>
    </w:p>
    <w:p w:rsidR="00FA60AD" w:rsidRDefault="005C7D70">
      <w:pPr>
        <w:pStyle w:val="Style2"/>
        <w:numPr>
          <w:ilvl w:val="0"/>
          <w:numId w:val="8"/>
        </w:numPr>
        <w:shd w:val="clear" w:color="auto" w:fill="auto"/>
        <w:tabs>
          <w:tab w:val="left" w:pos="329"/>
        </w:tabs>
        <w:spacing w:after="80" w:line="254" w:lineRule="auto"/>
      </w:pPr>
      <w:r>
        <w:rPr>
          <w:b/>
          <w:bCs/>
        </w:rPr>
        <w:t>Pojistné za dobu trvání pojištění dle ČÁSTI B:</w:t>
      </w:r>
    </w:p>
    <w:p w:rsidR="00FA60AD" w:rsidRDefault="005C7D70">
      <w:pPr>
        <w:pStyle w:val="Style2"/>
        <w:shd w:val="clear" w:color="auto" w:fill="auto"/>
        <w:spacing w:after="200" w:line="276" w:lineRule="auto"/>
        <w:ind w:left="260" w:firstLine="20"/>
        <w:jc w:val="both"/>
      </w:pPr>
      <w:r>
        <w:rPr>
          <w:b/>
          <w:bCs/>
        </w:rPr>
        <w:t xml:space="preserve">Roční pojistné činí </w:t>
      </w:r>
      <w:r w:rsidR="00FF2E83">
        <w:rPr>
          <w:b/>
          <w:bCs/>
        </w:rPr>
        <w:t>XXXXXXX</w:t>
      </w:r>
      <w:r>
        <w:rPr>
          <w:b/>
          <w:bCs/>
        </w:rPr>
        <w:t xml:space="preserve">,- Kč, pojistné za sjednanou dobu pojištění (1.1.2021 -1.1.2025) činí </w:t>
      </w:r>
      <w:r w:rsidR="00FF2E83">
        <w:rPr>
          <w:b/>
          <w:bCs/>
        </w:rPr>
        <w:t>XXXXXXXXX</w:t>
      </w:r>
      <w:r>
        <w:rPr>
          <w:b/>
          <w:bCs/>
        </w:rPr>
        <w:t>,- Kč.</w:t>
      </w:r>
    </w:p>
    <w:p w:rsidR="00FA60AD" w:rsidRDefault="005C7D70">
      <w:pPr>
        <w:pStyle w:val="Style2"/>
        <w:shd w:val="clear" w:color="auto" w:fill="auto"/>
        <w:ind w:left="320" w:firstLine="20"/>
        <w:jc w:val="both"/>
      </w:pPr>
      <w:r>
        <w:t xml:space="preserve">Pojistné za celou dobu pojištění dle ČÁSTI B činí </w:t>
      </w:r>
      <w:r w:rsidR="00FF2E83">
        <w:rPr>
          <w:b/>
          <w:bCs/>
        </w:rPr>
        <w:t>XXXXXXX</w:t>
      </w:r>
      <w:r>
        <w:rPr>
          <w:b/>
          <w:bCs/>
        </w:rPr>
        <w:t xml:space="preserve">,- Kč, </w:t>
      </w:r>
      <w:r>
        <w:t>r</w:t>
      </w:r>
      <w:r>
        <w:t xml:space="preserve">oční pojistné činí </w:t>
      </w:r>
      <w:r w:rsidR="00FF2E83">
        <w:t>XXXXX</w:t>
      </w:r>
      <w:r>
        <w:t xml:space="preserve">,- Kč. Platby pojistného jsou sjednány jako čtvrtletní a budou hrazeny ve výši čtvrtiny celkového ročního pojistného na účet pojistitele: č. ú.: </w:t>
      </w:r>
      <w:r w:rsidR="00FF2E83">
        <w:t>XXXXXXY</w:t>
      </w:r>
      <w:r>
        <w:t xml:space="preserve">, VS </w:t>
      </w:r>
      <w:r w:rsidR="00FF2E83">
        <w:t>XXXXXXYX</w:t>
      </w:r>
      <w:r>
        <w:t xml:space="preserve"> Splatnost pojistného: 1.1., 1.4., 1.7., 1.10. (den a m</w:t>
      </w:r>
      <w:r>
        <w:t>ěsíc běžného roku)</w:t>
      </w:r>
    </w:p>
    <w:p w:rsidR="00FA60AD" w:rsidRDefault="005C7D70">
      <w:pPr>
        <w:pStyle w:val="Style2"/>
        <w:shd w:val="clear" w:color="auto" w:fill="auto"/>
        <w:spacing w:after="200"/>
        <w:ind w:firstLine="320"/>
      </w:pPr>
      <w:r>
        <w:t xml:space="preserve">Splátka pojistného: </w:t>
      </w:r>
      <w:r w:rsidR="00FF2E83">
        <w:t>XXXXXXX</w:t>
      </w:r>
      <w:r>
        <w:t>,- Kč</w:t>
      </w:r>
    </w:p>
    <w:p w:rsidR="00FA60AD" w:rsidRDefault="005C7D70">
      <w:pPr>
        <w:pStyle w:val="Style2"/>
        <w:shd w:val="clear" w:color="auto" w:fill="auto"/>
        <w:spacing w:after="80" w:line="276" w:lineRule="auto"/>
        <w:ind w:left="320" w:firstLine="20"/>
        <w:jc w:val="both"/>
        <w:sectPr w:rsidR="00FA60AD">
          <w:headerReference w:type="default" r:id="rId12"/>
          <w:footerReference w:type="default" r:id="rId13"/>
          <w:pgSz w:w="11928" w:h="16853"/>
          <w:pgMar w:top="1998" w:right="1359" w:bottom="2941" w:left="1574" w:header="0" w:footer="3" w:gutter="0"/>
          <w:cols w:space="720"/>
          <w:noEndnote/>
          <w:docGrid w:linePitch="360"/>
        </w:sectPr>
      </w:pPr>
      <w:r>
        <w:t xml:space="preserve">Takto stanovené pojistné je úplatou za poskytnutou pojistnou ochranu pojištěných věcí za dobu trvání </w:t>
      </w:r>
      <w:r>
        <w:t>pojištění</w:t>
      </w:r>
    </w:p>
    <w:p w:rsidR="00FA60AD" w:rsidRDefault="005C7D70">
      <w:pPr>
        <w:pStyle w:val="Style19"/>
        <w:keepNext/>
        <w:keepLines/>
        <w:shd w:val="clear" w:color="auto" w:fill="auto"/>
        <w:spacing w:line="240" w:lineRule="auto"/>
        <w:ind w:firstLine="240"/>
      </w:pPr>
      <w:bookmarkStart w:id="34" w:name="bookmark34"/>
      <w:bookmarkStart w:id="35" w:name="bookmark35"/>
      <w:bookmarkStart w:id="36" w:name="bookmark36"/>
      <w:r>
        <w:rPr>
          <w:u w:val="none"/>
        </w:rPr>
        <w:t>Sleva za příznivý škodní průběh;</w:t>
      </w:r>
      <w:bookmarkEnd w:id="34"/>
      <w:bookmarkEnd w:id="35"/>
      <w:bookmarkEnd w:id="36"/>
    </w:p>
    <w:p w:rsidR="00FA60AD" w:rsidRDefault="005C7D70">
      <w:pPr>
        <w:pStyle w:val="Style2"/>
        <w:shd w:val="clear" w:color="auto" w:fill="auto"/>
        <w:spacing w:after="80" w:line="240" w:lineRule="auto"/>
        <w:ind w:firstLine="240"/>
      </w:pPr>
      <w:r>
        <w:t>V závislosti na škodním průběhu pojištění poskytne pojistitel pojistníkovi bonifikaci, a to takto;</w:t>
      </w:r>
    </w:p>
    <w:tbl>
      <w:tblPr>
        <w:tblOverlap w:val="never"/>
        <w:tblW w:w="0" w:type="auto"/>
        <w:jc w:val="center"/>
        <w:tblLayout w:type="fixed"/>
        <w:tblCellMar>
          <w:left w:w="10" w:type="dxa"/>
          <w:right w:w="10" w:type="dxa"/>
        </w:tblCellMar>
        <w:tblLook w:val="04A0" w:firstRow="1" w:lastRow="0" w:firstColumn="1" w:lastColumn="0" w:noHBand="0" w:noVBand="1"/>
      </w:tblPr>
      <w:tblGrid>
        <w:gridCol w:w="4085"/>
        <w:gridCol w:w="4258"/>
      </w:tblGrid>
      <w:tr w:rsidR="00FA60AD">
        <w:tblPrEx>
          <w:tblCellMar>
            <w:top w:w="0" w:type="dxa"/>
            <w:bottom w:w="0" w:type="dxa"/>
          </w:tblCellMar>
        </w:tblPrEx>
        <w:trPr>
          <w:trHeight w:hRule="exact" w:val="250"/>
          <w:jc w:val="center"/>
        </w:trPr>
        <w:tc>
          <w:tcPr>
            <w:tcW w:w="4085" w:type="dxa"/>
            <w:tcBorders>
              <w:top w:val="single" w:sz="4" w:space="0" w:color="auto"/>
              <w:left w:val="single" w:sz="4" w:space="0" w:color="auto"/>
            </w:tcBorders>
            <w:shd w:val="clear" w:color="auto" w:fill="FFFFFF"/>
            <w:vAlign w:val="bottom"/>
          </w:tcPr>
          <w:p w:rsidR="00FA60AD" w:rsidRDefault="005C7D70">
            <w:pPr>
              <w:pStyle w:val="Style13"/>
              <w:shd w:val="clear" w:color="auto" w:fill="auto"/>
              <w:spacing w:line="240" w:lineRule="auto"/>
            </w:pPr>
            <w:r>
              <w:t>Reálný škodní průběh</w:t>
            </w:r>
          </w:p>
        </w:tc>
        <w:tc>
          <w:tcPr>
            <w:tcW w:w="4258" w:type="dxa"/>
            <w:tcBorders>
              <w:top w:val="single" w:sz="4" w:space="0" w:color="auto"/>
              <w:left w:val="single" w:sz="4" w:space="0" w:color="auto"/>
              <w:right w:val="single" w:sz="4" w:space="0" w:color="auto"/>
            </w:tcBorders>
            <w:shd w:val="clear" w:color="auto" w:fill="FFFFFF"/>
            <w:vAlign w:val="bottom"/>
          </w:tcPr>
          <w:p w:rsidR="00FA60AD" w:rsidRDefault="005C7D70">
            <w:pPr>
              <w:pStyle w:val="Style13"/>
              <w:shd w:val="clear" w:color="auto" w:fill="auto"/>
              <w:spacing w:line="240" w:lineRule="auto"/>
            </w:pPr>
            <w:r>
              <w:t>Sleva</w:t>
            </w:r>
          </w:p>
        </w:tc>
      </w:tr>
      <w:tr w:rsidR="00FA60AD">
        <w:tblPrEx>
          <w:tblCellMar>
            <w:top w:w="0" w:type="dxa"/>
            <w:bottom w:w="0" w:type="dxa"/>
          </w:tblCellMar>
        </w:tblPrEx>
        <w:trPr>
          <w:trHeight w:hRule="exact" w:val="240"/>
          <w:jc w:val="center"/>
        </w:trPr>
        <w:tc>
          <w:tcPr>
            <w:tcW w:w="4085" w:type="dxa"/>
            <w:tcBorders>
              <w:top w:val="single" w:sz="4" w:space="0" w:color="auto"/>
              <w:left w:val="single" w:sz="4" w:space="0" w:color="auto"/>
            </w:tcBorders>
            <w:shd w:val="clear" w:color="auto" w:fill="FFFFFF"/>
            <w:vAlign w:val="bottom"/>
          </w:tcPr>
          <w:p w:rsidR="00FA60AD" w:rsidRDefault="005C7D70">
            <w:pPr>
              <w:pStyle w:val="Style13"/>
              <w:shd w:val="clear" w:color="auto" w:fill="auto"/>
              <w:spacing w:line="240" w:lineRule="auto"/>
            </w:pPr>
            <w:r>
              <w:t>do 0 %</w:t>
            </w:r>
          </w:p>
        </w:tc>
        <w:tc>
          <w:tcPr>
            <w:tcW w:w="4258" w:type="dxa"/>
            <w:tcBorders>
              <w:top w:val="single" w:sz="4" w:space="0" w:color="auto"/>
              <w:left w:val="single" w:sz="4" w:space="0" w:color="auto"/>
              <w:right w:val="single" w:sz="4" w:space="0" w:color="auto"/>
            </w:tcBorders>
            <w:shd w:val="clear" w:color="auto" w:fill="FFFFFF"/>
            <w:vAlign w:val="bottom"/>
          </w:tcPr>
          <w:p w:rsidR="00FA60AD" w:rsidRDefault="005C7D70">
            <w:pPr>
              <w:pStyle w:val="Style13"/>
              <w:shd w:val="clear" w:color="auto" w:fill="auto"/>
              <w:spacing w:line="240" w:lineRule="auto"/>
            </w:pPr>
            <w:r>
              <w:t>15%</w:t>
            </w:r>
          </w:p>
        </w:tc>
      </w:tr>
      <w:tr w:rsidR="00FA60AD">
        <w:tblPrEx>
          <w:tblCellMar>
            <w:top w:w="0" w:type="dxa"/>
            <w:bottom w:w="0" w:type="dxa"/>
          </w:tblCellMar>
        </w:tblPrEx>
        <w:trPr>
          <w:trHeight w:hRule="exact" w:val="250"/>
          <w:jc w:val="center"/>
        </w:trPr>
        <w:tc>
          <w:tcPr>
            <w:tcW w:w="4085" w:type="dxa"/>
            <w:tcBorders>
              <w:top w:val="single" w:sz="4" w:space="0" w:color="auto"/>
              <w:left w:val="single" w:sz="4" w:space="0" w:color="auto"/>
              <w:bottom w:val="single" w:sz="4" w:space="0" w:color="auto"/>
            </w:tcBorders>
            <w:shd w:val="clear" w:color="auto" w:fill="FFFFFF"/>
          </w:tcPr>
          <w:p w:rsidR="00FA60AD" w:rsidRDefault="005C7D70">
            <w:pPr>
              <w:pStyle w:val="Style13"/>
              <w:shd w:val="clear" w:color="auto" w:fill="auto"/>
              <w:spacing w:line="240" w:lineRule="auto"/>
            </w:pPr>
            <w:r>
              <w:t>do 10%</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rsidR="00FA60AD" w:rsidRDefault="005C7D70">
            <w:pPr>
              <w:pStyle w:val="Style13"/>
              <w:shd w:val="clear" w:color="auto" w:fill="auto"/>
              <w:spacing w:line="240" w:lineRule="auto"/>
            </w:pPr>
            <w:r>
              <w:t>5%</w:t>
            </w:r>
          </w:p>
        </w:tc>
      </w:tr>
    </w:tbl>
    <w:p w:rsidR="00FA60AD" w:rsidRDefault="00FA60AD">
      <w:pPr>
        <w:spacing w:after="159" w:line="1" w:lineRule="exact"/>
      </w:pPr>
    </w:p>
    <w:p w:rsidR="00FA60AD" w:rsidRDefault="005C7D70">
      <w:pPr>
        <w:pStyle w:val="Style2"/>
        <w:shd w:val="clear" w:color="auto" w:fill="auto"/>
        <w:spacing w:line="269" w:lineRule="auto"/>
        <w:ind w:left="320" w:firstLine="20"/>
      </w:pPr>
      <w:r>
        <w:t xml:space="preserve">Reálným škodním průběhem za hodnocenou dobu pojištění (za </w:t>
      </w:r>
      <w:r>
        <w:t>pojistný neboli upisovací rok) se rozumí poměr výše zaplacených a výše nahlášených (dosud nezaplacených) pojistných událostí vždy od počátku pojištění až do konce hodnoceného období k výši spotřebovaného pojistného (t.j. poměrný díl pojistného odpovídající</w:t>
      </w:r>
      <w:r>
        <w:t xml:space="preserve"> počtu uplynulých dnů) od počátku do konce hodnoceného období.</w:t>
      </w:r>
    </w:p>
    <w:p w:rsidR="00FA60AD" w:rsidRDefault="005C7D70">
      <w:pPr>
        <w:pStyle w:val="Style2"/>
        <w:shd w:val="clear" w:color="auto" w:fill="auto"/>
        <w:spacing w:after="160" w:line="269" w:lineRule="auto"/>
        <w:ind w:left="320" w:firstLine="20"/>
      </w:pPr>
      <w:r>
        <w:t>Podmínkou pro vyplacení bonifikace je uhrazení předepsaného pojistného v daném pojistném roce, resp. za vyhodnocované období. Nárok nevznikne při ukončení platnosti pojistné smlouvy před uplynu</w:t>
      </w:r>
      <w:r>
        <w:t>tím celého pojistného roku, resp. doby dané platnou pojistnou smlouvou.</w:t>
      </w:r>
    </w:p>
    <w:p w:rsidR="00FA60AD" w:rsidRDefault="005C7D70">
      <w:pPr>
        <w:pStyle w:val="Style2"/>
        <w:shd w:val="clear" w:color="auto" w:fill="auto"/>
        <w:spacing w:line="240" w:lineRule="auto"/>
      </w:pPr>
      <w:r>
        <w:rPr>
          <w:b/>
          <w:bCs/>
        </w:rPr>
        <w:t>Článek IV</w:t>
      </w:r>
    </w:p>
    <w:p w:rsidR="00FA60AD" w:rsidRDefault="005C7D70">
      <w:pPr>
        <w:pStyle w:val="Style2"/>
        <w:shd w:val="clear" w:color="auto" w:fill="auto"/>
        <w:spacing w:after="80" w:line="240" w:lineRule="auto"/>
      </w:pPr>
      <w:r>
        <w:rPr>
          <w:b/>
          <w:bCs/>
          <w:u w:val="single"/>
        </w:rPr>
        <w:t>Doba trvání pojištění</w:t>
      </w:r>
    </w:p>
    <w:tbl>
      <w:tblPr>
        <w:tblOverlap w:val="never"/>
        <w:tblW w:w="0" w:type="auto"/>
        <w:tblLayout w:type="fixed"/>
        <w:tblCellMar>
          <w:left w:w="10" w:type="dxa"/>
          <w:right w:w="10" w:type="dxa"/>
        </w:tblCellMar>
        <w:tblLook w:val="04A0" w:firstRow="1" w:lastRow="0" w:firstColumn="1" w:lastColumn="0" w:noHBand="0" w:noVBand="1"/>
      </w:tblPr>
      <w:tblGrid>
        <w:gridCol w:w="1814"/>
        <w:gridCol w:w="5026"/>
      </w:tblGrid>
      <w:tr w:rsidR="00FA60AD">
        <w:tblPrEx>
          <w:tblCellMar>
            <w:top w:w="0" w:type="dxa"/>
            <w:bottom w:w="0" w:type="dxa"/>
          </w:tblCellMar>
        </w:tblPrEx>
        <w:trPr>
          <w:trHeight w:hRule="exact" w:val="230"/>
        </w:trPr>
        <w:tc>
          <w:tcPr>
            <w:tcW w:w="1814" w:type="dxa"/>
            <w:shd w:val="clear" w:color="auto" w:fill="FFFFFF"/>
            <w:vAlign w:val="bottom"/>
          </w:tcPr>
          <w:p w:rsidR="00FA60AD" w:rsidRDefault="005C7D70">
            <w:pPr>
              <w:pStyle w:val="Style13"/>
              <w:shd w:val="clear" w:color="auto" w:fill="auto"/>
              <w:spacing w:line="240" w:lineRule="auto"/>
            </w:pPr>
            <w:r>
              <w:t>Počátek pojištění:</w:t>
            </w:r>
          </w:p>
        </w:tc>
        <w:tc>
          <w:tcPr>
            <w:tcW w:w="5026" w:type="dxa"/>
            <w:shd w:val="clear" w:color="auto" w:fill="FFFFFF"/>
            <w:vAlign w:val="bottom"/>
          </w:tcPr>
          <w:p w:rsidR="00FA60AD" w:rsidRDefault="005C7D70">
            <w:pPr>
              <w:pStyle w:val="Style13"/>
              <w:shd w:val="clear" w:color="auto" w:fill="auto"/>
              <w:spacing w:line="240" w:lineRule="auto"/>
              <w:ind w:firstLine="220"/>
            </w:pPr>
            <w:r>
              <w:t>1.1.2021 (00:00 hod)</w:t>
            </w:r>
          </w:p>
        </w:tc>
      </w:tr>
      <w:tr w:rsidR="00FA60AD">
        <w:tblPrEx>
          <w:tblCellMar>
            <w:top w:w="0" w:type="dxa"/>
            <w:bottom w:w="0" w:type="dxa"/>
          </w:tblCellMar>
        </w:tblPrEx>
        <w:trPr>
          <w:trHeight w:hRule="exact" w:val="230"/>
        </w:trPr>
        <w:tc>
          <w:tcPr>
            <w:tcW w:w="1814" w:type="dxa"/>
            <w:shd w:val="clear" w:color="auto" w:fill="FFFFFF"/>
            <w:vAlign w:val="bottom"/>
          </w:tcPr>
          <w:p w:rsidR="00FA60AD" w:rsidRDefault="005C7D70">
            <w:pPr>
              <w:pStyle w:val="Style13"/>
              <w:shd w:val="clear" w:color="auto" w:fill="auto"/>
              <w:spacing w:line="240" w:lineRule="auto"/>
            </w:pPr>
            <w:r>
              <w:t>Konec pojištění:</w:t>
            </w:r>
          </w:p>
        </w:tc>
        <w:tc>
          <w:tcPr>
            <w:tcW w:w="5026" w:type="dxa"/>
            <w:shd w:val="clear" w:color="auto" w:fill="FFFFFF"/>
            <w:vAlign w:val="bottom"/>
          </w:tcPr>
          <w:p w:rsidR="00FA60AD" w:rsidRDefault="005C7D70">
            <w:pPr>
              <w:pStyle w:val="Style13"/>
              <w:shd w:val="clear" w:color="auto" w:fill="auto"/>
              <w:spacing w:line="240" w:lineRule="auto"/>
              <w:ind w:firstLine="220"/>
            </w:pPr>
            <w:r>
              <w:t>1.1.2025 (00:00 hod) bez automatického prodlužování</w:t>
            </w:r>
          </w:p>
        </w:tc>
      </w:tr>
      <w:tr w:rsidR="00FA60AD">
        <w:tblPrEx>
          <w:tblCellMar>
            <w:top w:w="0" w:type="dxa"/>
            <w:bottom w:w="0" w:type="dxa"/>
          </w:tblCellMar>
        </w:tblPrEx>
        <w:trPr>
          <w:trHeight w:hRule="exact" w:val="245"/>
        </w:trPr>
        <w:tc>
          <w:tcPr>
            <w:tcW w:w="1814" w:type="dxa"/>
            <w:shd w:val="clear" w:color="auto" w:fill="FFFFFF"/>
          </w:tcPr>
          <w:p w:rsidR="00FA60AD" w:rsidRDefault="005C7D70">
            <w:pPr>
              <w:pStyle w:val="Style13"/>
              <w:shd w:val="clear" w:color="auto" w:fill="auto"/>
              <w:spacing w:line="240" w:lineRule="auto"/>
            </w:pPr>
            <w:r>
              <w:t>Pojistné období:</w:t>
            </w:r>
          </w:p>
        </w:tc>
        <w:tc>
          <w:tcPr>
            <w:tcW w:w="5026" w:type="dxa"/>
            <w:shd w:val="clear" w:color="auto" w:fill="FFFFFF"/>
          </w:tcPr>
          <w:p w:rsidR="00FA60AD" w:rsidRDefault="005C7D70">
            <w:pPr>
              <w:pStyle w:val="Style13"/>
              <w:shd w:val="clear" w:color="auto" w:fill="auto"/>
              <w:spacing w:line="240" w:lineRule="auto"/>
              <w:ind w:firstLine="220"/>
            </w:pPr>
            <w:r>
              <w:t>12 měsíců</w:t>
            </w:r>
          </w:p>
        </w:tc>
      </w:tr>
    </w:tbl>
    <w:p w:rsidR="00FA60AD" w:rsidRDefault="00FA60AD">
      <w:pPr>
        <w:spacing w:after="159" w:line="1" w:lineRule="exact"/>
      </w:pPr>
    </w:p>
    <w:p w:rsidR="00FA60AD" w:rsidRDefault="005C7D70">
      <w:pPr>
        <w:pStyle w:val="Style19"/>
        <w:keepNext/>
        <w:keepLines/>
        <w:shd w:val="clear" w:color="auto" w:fill="auto"/>
        <w:spacing w:line="240" w:lineRule="auto"/>
      </w:pPr>
      <w:bookmarkStart w:id="37" w:name="bookmark39"/>
      <w:r>
        <w:rPr>
          <w:u w:val="none"/>
        </w:rPr>
        <w:t>Článek V</w:t>
      </w:r>
      <w:bookmarkEnd w:id="37"/>
    </w:p>
    <w:p w:rsidR="00FA60AD" w:rsidRDefault="005C7D70">
      <w:pPr>
        <w:pStyle w:val="Style19"/>
        <w:keepNext/>
        <w:keepLines/>
        <w:shd w:val="clear" w:color="auto" w:fill="auto"/>
        <w:spacing w:after="80" w:line="240" w:lineRule="auto"/>
      </w:pPr>
      <w:bookmarkStart w:id="38" w:name="bookmark37"/>
      <w:bookmarkStart w:id="39" w:name="bookmark38"/>
      <w:bookmarkStart w:id="40" w:name="bookmark40"/>
      <w:r>
        <w:t>Ujednání pro případ vzniku škodné události</w:t>
      </w:r>
      <w:bookmarkEnd w:id="38"/>
      <w:bookmarkEnd w:id="39"/>
      <w:bookmarkEnd w:id="40"/>
    </w:p>
    <w:p w:rsidR="00FA60AD" w:rsidRDefault="005C7D70">
      <w:pPr>
        <w:pStyle w:val="Style2"/>
        <w:numPr>
          <w:ilvl w:val="0"/>
          <w:numId w:val="9"/>
        </w:numPr>
        <w:shd w:val="clear" w:color="auto" w:fill="auto"/>
        <w:tabs>
          <w:tab w:val="left" w:pos="419"/>
        </w:tabs>
        <w:spacing w:after="80"/>
        <w:ind w:left="320" w:hanging="320"/>
      </w:pPr>
      <w:r>
        <w:t xml:space="preserve">Pojištěný, případně zplnomocněný zástupce, telefonicky nahlásí na </w:t>
      </w:r>
      <w:r>
        <w:rPr>
          <w:lang w:val="en-US" w:eastAsia="en-US" w:bidi="en-US"/>
        </w:rPr>
        <w:t xml:space="preserve">Call </w:t>
      </w:r>
      <w:r>
        <w:t xml:space="preserve">centrum UNIQA pojišťovny a.s. (tel.č. </w:t>
      </w:r>
      <w:r w:rsidR="00FF2E83">
        <w:t>XXXXXXXXXX</w:t>
      </w:r>
      <w:r>
        <w:t>) vznik škodné události, kde bude tato registrována a sděleno registrační číslo události). Př</w:t>
      </w:r>
      <w:r>
        <w:t xml:space="preserve">ípadně tak lze učinit písemně emailem: </w:t>
      </w:r>
      <w:hyperlink r:id="rId14" w:history="1">
        <w:r w:rsidR="00FF2E83">
          <w:rPr>
            <w:lang w:val="en-US" w:eastAsia="en-US" w:bidi="en-US"/>
          </w:rPr>
          <w:t>XXXXXXXXXXXXX</w:t>
        </w:r>
      </w:hyperlink>
    </w:p>
    <w:p w:rsidR="00FA60AD" w:rsidRDefault="005C7D70">
      <w:pPr>
        <w:pStyle w:val="Style2"/>
        <w:numPr>
          <w:ilvl w:val="0"/>
          <w:numId w:val="9"/>
        </w:numPr>
        <w:shd w:val="clear" w:color="auto" w:fill="auto"/>
        <w:tabs>
          <w:tab w:val="left" w:pos="419"/>
        </w:tabs>
        <w:spacing w:line="269" w:lineRule="auto"/>
      </w:pPr>
      <w:r>
        <w:t>Příslušnému pracovníkovi linky je třeba sdělit následující;</w:t>
      </w:r>
    </w:p>
    <w:p w:rsidR="00FA60AD" w:rsidRDefault="005C7D70">
      <w:pPr>
        <w:pStyle w:val="Style2"/>
        <w:shd w:val="clear" w:color="auto" w:fill="auto"/>
        <w:spacing w:line="269" w:lineRule="auto"/>
        <w:ind w:left="620" w:firstLine="20"/>
      </w:pPr>
      <w:r>
        <w:t xml:space="preserve">jméno, adresu, číslo pojistné smlouvy, kontaktní spojení vč. emailové adresy, stručně jak a </w:t>
      </w:r>
      <w:r>
        <w:t>kdy k PU došlo,</w:t>
      </w:r>
    </w:p>
    <w:p w:rsidR="00FA60AD" w:rsidRDefault="005C7D70">
      <w:pPr>
        <w:pStyle w:val="Style2"/>
        <w:shd w:val="clear" w:color="auto" w:fill="auto"/>
        <w:spacing w:line="269" w:lineRule="auto"/>
        <w:ind w:firstLine="620"/>
      </w:pPr>
      <w:r>
        <w:t>pravděpodobnou výši škody,</w:t>
      </w:r>
    </w:p>
    <w:p w:rsidR="00FA60AD" w:rsidRDefault="005C7D70">
      <w:pPr>
        <w:pStyle w:val="Style2"/>
        <w:shd w:val="clear" w:color="auto" w:fill="auto"/>
        <w:spacing w:line="269" w:lineRule="auto"/>
        <w:ind w:left="620" w:firstLine="20"/>
      </w:pPr>
      <w:r>
        <w:t>adresu, místo, kde se poškozené předměty pojištění nacházejí, kontaktní osobu pro zajištění prohlídky a posouzení rozsahu takto vzniklé škody (nutné k přizvání technika, případně soudního znalce).</w:t>
      </w:r>
    </w:p>
    <w:p w:rsidR="00FA60AD" w:rsidRDefault="005C7D70">
      <w:pPr>
        <w:pStyle w:val="Style17"/>
        <w:keepNext/>
        <w:keepLines/>
        <w:shd w:val="clear" w:color="auto" w:fill="auto"/>
      </w:pPr>
      <w:bookmarkStart w:id="41" w:name="bookmark41"/>
      <w:bookmarkStart w:id="42" w:name="bookmark42"/>
      <w:bookmarkStart w:id="43" w:name="bookmark43"/>
      <w:r>
        <w:t>ČÁSTC</w:t>
      </w:r>
      <w:bookmarkEnd w:id="41"/>
      <w:bookmarkEnd w:id="42"/>
      <w:bookmarkEnd w:id="43"/>
    </w:p>
    <w:p w:rsidR="00FA60AD" w:rsidRDefault="005C7D70">
      <w:pPr>
        <w:pStyle w:val="Style2"/>
        <w:shd w:val="clear" w:color="auto" w:fill="auto"/>
        <w:spacing w:line="257" w:lineRule="auto"/>
      </w:pPr>
      <w:r>
        <w:rPr>
          <w:b/>
          <w:bCs/>
        </w:rPr>
        <w:t>Článek I</w:t>
      </w:r>
    </w:p>
    <w:p w:rsidR="00FA60AD" w:rsidRDefault="005C7D70">
      <w:pPr>
        <w:pStyle w:val="Style2"/>
        <w:shd w:val="clear" w:color="auto" w:fill="auto"/>
        <w:spacing w:after="80" w:line="257" w:lineRule="auto"/>
      </w:pPr>
      <w:r>
        <w:rPr>
          <w:b/>
          <w:bCs/>
          <w:u w:val="single"/>
        </w:rPr>
        <w:t>Předmět pojištění</w:t>
      </w:r>
    </w:p>
    <w:p w:rsidR="00FA60AD" w:rsidRDefault="005C7D70">
      <w:pPr>
        <w:pStyle w:val="Style2"/>
        <w:shd w:val="clear" w:color="auto" w:fill="auto"/>
        <w:spacing w:after="80" w:line="257" w:lineRule="auto"/>
      </w:pPr>
      <w:r>
        <w:rPr>
          <w:b/>
          <w:bCs/>
        </w:rPr>
        <w:t>Přeprava souboru vlastních a cizích věcí movitých a zásob</w:t>
      </w:r>
    </w:p>
    <w:p w:rsidR="00FA60AD" w:rsidRDefault="005C7D70">
      <w:pPr>
        <w:pStyle w:val="Style2"/>
        <w:shd w:val="clear" w:color="auto" w:fill="auto"/>
        <w:spacing w:line="257" w:lineRule="auto"/>
      </w:pPr>
      <w:r>
        <w:t>Předmětem tohoto pojištění je soubor vlastních a cizích věcí movitých a zásob, s výjimkou věcí zvláštní kulturní, historické a umělecké hodnoty a státní sbírky hudebních nástrojů.</w:t>
      </w:r>
    </w:p>
    <w:p w:rsidR="00FA60AD" w:rsidRDefault="005C7D70">
      <w:pPr>
        <w:pStyle w:val="Style2"/>
        <w:shd w:val="clear" w:color="auto" w:fill="auto"/>
        <w:spacing w:after="160" w:line="257" w:lineRule="auto"/>
      </w:pPr>
      <w:r>
        <w:t>Předmětem pojištění nejsou cizí věci převzaté za účelem provedení dopravy (smlouva o přepravě věci) nebo za účelem obstarání přepravy (zasilatelská smlouva)</w:t>
      </w:r>
    </w:p>
    <w:p w:rsidR="00FA60AD" w:rsidRDefault="005C7D70">
      <w:pPr>
        <w:pStyle w:val="Style19"/>
        <w:keepNext/>
        <w:keepLines/>
        <w:shd w:val="clear" w:color="auto" w:fill="auto"/>
        <w:spacing w:line="257" w:lineRule="auto"/>
      </w:pPr>
      <w:bookmarkStart w:id="44" w:name="bookmark46"/>
      <w:r>
        <w:rPr>
          <w:u w:val="none"/>
        </w:rPr>
        <w:t>Článek II</w:t>
      </w:r>
      <w:bookmarkEnd w:id="44"/>
    </w:p>
    <w:p w:rsidR="00FA60AD" w:rsidRDefault="005C7D70">
      <w:pPr>
        <w:pStyle w:val="Style19"/>
        <w:keepNext/>
        <w:keepLines/>
        <w:shd w:val="clear" w:color="auto" w:fill="auto"/>
        <w:spacing w:line="257" w:lineRule="auto"/>
      </w:pPr>
      <w:bookmarkStart w:id="45" w:name="bookmark44"/>
      <w:bookmarkStart w:id="46" w:name="bookmark45"/>
      <w:bookmarkStart w:id="47" w:name="bookmark47"/>
      <w:r>
        <w:t>Rozsah pojištění</w:t>
      </w:r>
      <w:bookmarkEnd w:id="45"/>
      <w:bookmarkEnd w:id="46"/>
      <w:bookmarkEnd w:id="47"/>
    </w:p>
    <w:p w:rsidR="00FA60AD" w:rsidRDefault="005C7D70">
      <w:pPr>
        <w:pStyle w:val="Style2"/>
        <w:shd w:val="clear" w:color="auto" w:fill="auto"/>
        <w:spacing w:line="257" w:lineRule="auto"/>
      </w:pPr>
      <w:r>
        <w:t>dle -VPPUCZ/14,</w:t>
      </w:r>
    </w:p>
    <w:p w:rsidR="00FA60AD" w:rsidRDefault="005C7D70">
      <w:pPr>
        <w:pStyle w:val="Style2"/>
        <w:numPr>
          <w:ilvl w:val="0"/>
          <w:numId w:val="5"/>
        </w:numPr>
        <w:shd w:val="clear" w:color="auto" w:fill="auto"/>
        <w:tabs>
          <w:tab w:val="left" w:pos="638"/>
        </w:tabs>
        <w:spacing w:line="257" w:lineRule="auto"/>
        <w:ind w:firstLine="380"/>
      </w:pPr>
      <w:r>
        <w:t>UCZ/T/14, čl. 4, odst.4.2.1 - pojištění proti všem nebez</w:t>
      </w:r>
      <w:r>
        <w:t xml:space="preserve">pečím </w:t>
      </w:r>
      <w:r>
        <w:rPr>
          <w:lang w:val="en-US" w:eastAsia="en-US" w:bidi="en-US"/>
        </w:rPr>
        <w:t>(All risks),</w:t>
      </w:r>
    </w:p>
    <w:p w:rsidR="00FA60AD" w:rsidRDefault="005C7D70">
      <w:pPr>
        <w:pStyle w:val="Style2"/>
        <w:numPr>
          <w:ilvl w:val="0"/>
          <w:numId w:val="5"/>
        </w:numPr>
        <w:shd w:val="clear" w:color="auto" w:fill="auto"/>
        <w:tabs>
          <w:tab w:val="left" w:pos="638"/>
        </w:tabs>
        <w:spacing w:after="80" w:line="257" w:lineRule="auto"/>
        <w:ind w:firstLine="380"/>
        <w:sectPr w:rsidR="00FA60AD">
          <w:headerReference w:type="default" r:id="rId15"/>
          <w:footerReference w:type="default" r:id="rId16"/>
          <w:type w:val="continuous"/>
          <w:pgSz w:w="11928" w:h="16853"/>
          <w:pgMar w:top="1998" w:right="1359" w:bottom="2941" w:left="1574" w:header="0" w:footer="3" w:gutter="0"/>
          <w:cols w:space="720"/>
          <w:noEndnote/>
          <w:docGrid w:linePitch="360"/>
        </w:sectPr>
      </w:pPr>
      <w:r>
        <w:t>DPP/F/Zás/14</w:t>
      </w:r>
    </w:p>
    <w:p w:rsidR="00FA60AD" w:rsidRDefault="005C7D70">
      <w:pPr>
        <w:pStyle w:val="Style4"/>
        <w:keepNext/>
        <w:keepLines/>
        <w:pBdr>
          <w:top w:val="single" w:sz="0" w:space="0" w:color="000000"/>
          <w:left w:val="single" w:sz="0" w:space="0" w:color="000000"/>
          <w:bottom w:val="single" w:sz="0" w:space="0" w:color="000000"/>
          <w:right w:val="single" w:sz="0" w:space="0" w:color="000000"/>
        </w:pBdr>
        <w:shd w:val="clear" w:color="auto" w:fill="000000"/>
        <w:spacing w:after="0"/>
        <w:ind w:firstLine="640"/>
        <w:jc w:val="left"/>
      </w:pPr>
      <w:bookmarkStart w:id="48" w:name="bookmark48"/>
      <w:bookmarkStart w:id="49" w:name="bookmark49"/>
      <w:bookmarkStart w:id="50" w:name="bookmark50"/>
      <w:r>
        <w:rPr>
          <w:color w:val="FFFFFF"/>
        </w:rPr>
        <w:t>.Q.</w:t>
      </w:r>
      <w:bookmarkEnd w:id="48"/>
      <w:bookmarkEnd w:id="49"/>
      <w:bookmarkEnd w:id="50"/>
    </w:p>
    <w:p w:rsidR="00FA60AD" w:rsidRDefault="005C7D70">
      <w:pPr>
        <w:pStyle w:val="Style19"/>
        <w:keepNext/>
        <w:keepLines/>
        <w:pBdr>
          <w:top w:val="single" w:sz="0" w:space="0" w:color="000000"/>
          <w:left w:val="single" w:sz="0" w:space="0" w:color="000000"/>
          <w:bottom w:val="single" w:sz="0" w:space="0" w:color="000000"/>
          <w:right w:val="single" w:sz="0" w:space="0" w:color="000000"/>
        </w:pBdr>
        <w:shd w:val="clear" w:color="auto" w:fill="000000"/>
        <w:spacing w:after="480" w:line="228" w:lineRule="auto"/>
        <w:ind w:firstLine="580"/>
      </w:pPr>
      <w:bookmarkStart w:id="51" w:name="bookmark51"/>
      <w:bookmarkStart w:id="52" w:name="bookmark52"/>
      <w:bookmarkStart w:id="53" w:name="bookmark53"/>
      <w:r>
        <w:rPr>
          <w:color w:val="FFFFFF"/>
          <w:u w:val="none"/>
        </w:rPr>
        <w:t>UNIQA</w:t>
      </w:r>
      <w:bookmarkEnd w:id="51"/>
      <w:bookmarkEnd w:id="52"/>
      <w:bookmarkEnd w:id="53"/>
    </w:p>
    <w:p w:rsidR="00FA60AD" w:rsidRDefault="005C7D70">
      <w:pPr>
        <w:pStyle w:val="Style2"/>
        <w:shd w:val="clear" w:color="auto" w:fill="auto"/>
        <w:spacing w:line="240" w:lineRule="auto"/>
      </w:pPr>
      <w:r>
        <w:t xml:space="preserve">Pojištění terorismu během přepravy se řídí dle INSTITUTE </w:t>
      </w:r>
      <w:r>
        <w:rPr>
          <w:lang w:val="en-US" w:eastAsia="en-US" w:bidi="en-US"/>
        </w:rPr>
        <w:t>STRIKES CLAUSES (CARGO)</w:t>
      </w:r>
    </w:p>
    <w:p w:rsidR="00FA60AD" w:rsidRDefault="005C7D70">
      <w:pPr>
        <w:pStyle w:val="Style2"/>
        <w:shd w:val="clear" w:color="auto" w:fill="auto"/>
        <w:spacing w:line="240" w:lineRule="auto"/>
      </w:pPr>
      <w:r>
        <w:rPr>
          <w:i/>
          <w:iCs/>
          <w:lang w:val="en-US" w:eastAsia="en-US" w:bidi="en-US"/>
        </w:rPr>
        <w:t xml:space="preserve">Pro </w:t>
      </w:r>
      <w:r>
        <w:rPr>
          <w:i/>
          <w:iCs/>
        </w:rPr>
        <w:t xml:space="preserve">účely tohoto pojištění </w:t>
      </w:r>
      <w:r>
        <w:rPr>
          <w:i/>
          <w:iCs/>
        </w:rPr>
        <w:t xml:space="preserve">teroristický čin znamená čin nebo řadu činů, spočívající v použití síly nebo násilí, jakékoliv osoby či skupiny nebo skupin osob, ať už jednajících samostatně, nebo jménem jakékoliv organizace či organizací či ve spojení s nimi, k jejichž spáchání došlo z </w:t>
      </w:r>
      <w:r>
        <w:rPr>
          <w:i/>
          <w:iCs/>
        </w:rPr>
        <w:t>politických, náboženských nebo ideologických důvodů, a to včetně záměru ovlivnit z těchto důvodů jakoukoliv viádu nebo uvést veřejnost ve strach.</w:t>
      </w:r>
    </w:p>
    <w:p w:rsidR="00FA60AD" w:rsidRDefault="005C7D70">
      <w:pPr>
        <w:pStyle w:val="Style2"/>
        <w:shd w:val="clear" w:color="auto" w:fill="auto"/>
        <w:spacing w:after="120" w:line="240" w:lineRule="auto"/>
      </w:pPr>
      <w:r>
        <w:rPr>
          <w:i/>
          <w:iCs/>
        </w:rPr>
        <w:t>Pokud pojistitel označí jakoukoliv škodu, následnou škodu, náklady nebo výdaje za událost, na kterou se pojišt</w:t>
      </w:r>
      <w:r>
        <w:rPr>
          <w:i/>
          <w:iCs/>
        </w:rPr>
        <w:t>ění nevztahuje, nese důkazní břemeno k prokázání opaku pojištěný.</w:t>
      </w:r>
    </w:p>
    <w:p w:rsidR="00FA60AD" w:rsidRDefault="005C7D70">
      <w:pPr>
        <w:pStyle w:val="Style2"/>
        <w:shd w:val="clear" w:color="auto" w:fill="auto"/>
        <w:spacing w:after="120"/>
      </w:pPr>
      <w:r>
        <w:t>Přeprava bude uskutečňována bez jednotlivých přihlášek pojistiteli, pouze pro vlastní potřebu, a to poslem, vlastními anebo po právu užívanými vozidly. Pojistně je stanoveno paušálně pro cel</w:t>
      </w:r>
      <w:r>
        <w:t>ou dobu pojištění viz Článek IV této části. Maximální limit pojistného plnění pro každou jednotlivou přepravu je stanoven stupněm požadovaného zabezpečení dle následujícího bodu 1.4 níže.</w:t>
      </w:r>
    </w:p>
    <w:p w:rsidR="00FA60AD" w:rsidRDefault="005C7D70">
      <w:pPr>
        <w:pStyle w:val="Style2"/>
        <w:shd w:val="clear" w:color="auto" w:fill="auto"/>
      </w:pPr>
      <w:r>
        <w:t>Odchylná ujednání</w:t>
      </w:r>
    </w:p>
    <w:p w:rsidR="00FA60AD" w:rsidRDefault="005C7D70">
      <w:pPr>
        <w:pStyle w:val="Style2"/>
        <w:numPr>
          <w:ilvl w:val="0"/>
          <w:numId w:val="10"/>
        </w:numPr>
        <w:shd w:val="clear" w:color="auto" w:fill="auto"/>
        <w:tabs>
          <w:tab w:val="left" w:pos="642"/>
        </w:tabs>
      </w:pPr>
      <w:r>
        <w:t>V souladu s článkem 2, odst. 2.4 DPP/F/Zás/14 se u</w:t>
      </w:r>
      <w:r>
        <w:t>jednává, že se pojištění vztahuje i na přepravu věcí, které nemají povahu obchodovatelného zboží, jsou ve vlastnictví pojištěného a pojištěny je převáží za účelem provádění své podnikatelské činnosti.</w:t>
      </w:r>
    </w:p>
    <w:p w:rsidR="00FA60AD" w:rsidRDefault="005C7D70">
      <w:pPr>
        <w:pStyle w:val="Style2"/>
        <w:numPr>
          <w:ilvl w:val="0"/>
          <w:numId w:val="10"/>
        </w:numPr>
        <w:shd w:val="clear" w:color="auto" w:fill="auto"/>
        <w:tabs>
          <w:tab w:val="left" w:pos="642"/>
        </w:tabs>
      </w:pPr>
      <w:r>
        <w:t>V souladu s článkem 2, odst. 2.5 DPP/F/Zás/14 se ujedná</w:t>
      </w:r>
      <w:r>
        <w:t>vá, že se pojištění vztahuje i na přepravu věcí, které nejsou ve vlastnictví pojištěného, ale pojištěný je převáží v rámci své podnikatelské činnosti, případně pro své klienty v rámci poskytování komplexních služeb.</w:t>
      </w:r>
    </w:p>
    <w:p w:rsidR="00FA60AD" w:rsidRDefault="005C7D70">
      <w:pPr>
        <w:pStyle w:val="Style2"/>
        <w:numPr>
          <w:ilvl w:val="0"/>
          <w:numId w:val="10"/>
        </w:numPr>
        <w:shd w:val="clear" w:color="auto" w:fill="auto"/>
        <w:tabs>
          <w:tab w:val="left" w:pos="642"/>
        </w:tabs>
      </w:pPr>
      <w:r>
        <w:t>Odchylně od článku 2 DPP/F/Zás/14 se uje</w:t>
      </w:r>
      <w:r>
        <w:t>dnává, že se pojištění vztahuje i na zásilky, které jsou přepravovány poslem. Pojistitel poskytne pojistné plnění z každé takto vzniklé pojistné události maximálně do částky 100.000,- Kč.</w:t>
      </w:r>
    </w:p>
    <w:p w:rsidR="00FA60AD" w:rsidRDefault="005C7D70">
      <w:pPr>
        <w:pStyle w:val="Style2"/>
        <w:numPr>
          <w:ilvl w:val="0"/>
          <w:numId w:val="10"/>
        </w:numPr>
        <w:shd w:val="clear" w:color="auto" w:fill="auto"/>
        <w:tabs>
          <w:tab w:val="left" w:pos="642"/>
        </w:tabs>
      </w:pPr>
      <w:r>
        <w:t>Odchylně od DPP/Zás/F/14 a LIM/14 se ujednává, že zabezpečení pro př</w:t>
      </w:r>
      <w:r>
        <w:t>ípad loupežného přepadení se stanoví do stanovené pojistné hodnoty přepravované zásilky takto:</w:t>
      </w:r>
    </w:p>
    <w:p w:rsidR="00FA60AD" w:rsidRDefault="005C7D70">
      <w:pPr>
        <w:pStyle w:val="Style2"/>
        <w:numPr>
          <w:ilvl w:val="0"/>
          <w:numId w:val="5"/>
        </w:numPr>
        <w:shd w:val="clear" w:color="auto" w:fill="auto"/>
        <w:tabs>
          <w:tab w:val="left" w:pos="233"/>
        </w:tabs>
      </w:pPr>
      <w:r>
        <w:t>do 100.000,- Kč - přeprava poslem - přepravu provádí 1 osoba vybavená obranným prostředkem</w:t>
      </w:r>
    </w:p>
    <w:p w:rsidR="00FA60AD" w:rsidRDefault="005C7D70">
      <w:pPr>
        <w:pStyle w:val="Style2"/>
        <w:numPr>
          <w:ilvl w:val="0"/>
          <w:numId w:val="5"/>
        </w:numPr>
        <w:shd w:val="clear" w:color="auto" w:fill="auto"/>
        <w:tabs>
          <w:tab w:val="left" w:pos="233"/>
        </w:tabs>
      </w:pPr>
      <w:r>
        <w:t>do 2.000.000,- Kč - přeprava zevnitř zabezpečeným automobilem ve vlast</w:t>
      </w:r>
      <w:r>
        <w:t>nictví pojištěného / dlouhodobém pronájmu, pouze s řidičem, vybaveným ochranným prostředkem a funkčním spojovacím prostředkem</w:t>
      </w:r>
    </w:p>
    <w:p w:rsidR="00FA60AD" w:rsidRDefault="005C7D70">
      <w:pPr>
        <w:pStyle w:val="Style2"/>
        <w:numPr>
          <w:ilvl w:val="0"/>
          <w:numId w:val="5"/>
        </w:numPr>
        <w:shd w:val="clear" w:color="auto" w:fill="auto"/>
        <w:tabs>
          <w:tab w:val="left" w:pos="233"/>
        </w:tabs>
      </w:pPr>
      <w:r>
        <w:t>do 10.000.000,- Kč - přeprava zevnitř zabezpečeným automobilem ve vlastnictví pojištěného / dlouhodobém pronájmu, s řidičem + dalš</w:t>
      </w:r>
      <w:r>
        <w:t>í osobou, vybavenou ochranným prostředkem</w:t>
      </w:r>
    </w:p>
    <w:p w:rsidR="00FA60AD" w:rsidRDefault="005C7D70">
      <w:pPr>
        <w:pStyle w:val="Style2"/>
        <w:shd w:val="clear" w:color="auto" w:fill="auto"/>
      </w:pPr>
      <w:r>
        <w:t>a funkčním spojovacím prostředkem</w:t>
      </w:r>
    </w:p>
    <w:p w:rsidR="00FA60AD" w:rsidRDefault="005C7D70">
      <w:pPr>
        <w:pStyle w:val="Style2"/>
        <w:numPr>
          <w:ilvl w:val="0"/>
          <w:numId w:val="5"/>
        </w:numPr>
        <w:shd w:val="clear" w:color="auto" w:fill="auto"/>
        <w:tabs>
          <w:tab w:val="left" w:pos="233"/>
        </w:tabs>
      </w:pPr>
      <w:r>
        <w:t>do 50.000.000,- Kč - přeprava zevnitř zabezpečeným automobilem ve vlastnictví pojištěného / dlouhodobém pronájmu, s řidičem + dalšími dvěma osobami, které jsou vybaveny ochranným p</w:t>
      </w:r>
      <w:r>
        <w:t>rostředkem a funkčním spojovacím prostředkem</w:t>
      </w:r>
    </w:p>
    <w:p w:rsidR="00FA60AD" w:rsidRDefault="005C7D70">
      <w:pPr>
        <w:pStyle w:val="Style2"/>
        <w:numPr>
          <w:ilvl w:val="0"/>
          <w:numId w:val="10"/>
        </w:numPr>
        <w:shd w:val="clear" w:color="auto" w:fill="auto"/>
        <w:tabs>
          <w:tab w:val="left" w:pos="642"/>
        </w:tabs>
        <w:spacing w:after="180"/>
      </w:pPr>
      <w:r>
        <w:t>Ujednává se, že článek 9 a 12 DPP/F/Zás/14 se na pojištění nevztahuje. Dále se odchylně od Článku 7 DPP/F/Zás/14 ujednává, že vozidla nemusí být vybavena zabezpečovacím zařízením.</w:t>
      </w:r>
    </w:p>
    <w:p w:rsidR="00FA60AD" w:rsidRDefault="005C7D70">
      <w:pPr>
        <w:pStyle w:val="Style19"/>
        <w:keepNext/>
        <w:keepLines/>
        <w:shd w:val="clear" w:color="auto" w:fill="auto"/>
        <w:spacing w:line="266" w:lineRule="auto"/>
      </w:pPr>
      <w:bookmarkStart w:id="54" w:name="bookmark56"/>
      <w:r>
        <w:rPr>
          <w:u w:val="none"/>
        </w:rPr>
        <w:t xml:space="preserve">Článek </w:t>
      </w:r>
      <w:r>
        <w:rPr>
          <w:u w:val="none"/>
          <w:lang w:val="en-US" w:eastAsia="en-US" w:bidi="en-US"/>
        </w:rPr>
        <w:t>III</w:t>
      </w:r>
      <w:bookmarkEnd w:id="54"/>
    </w:p>
    <w:p w:rsidR="00FA60AD" w:rsidRDefault="005C7D70">
      <w:pPr>
        <w:pStyle w:val="Style19"/>
        <w:keepNext/>
        <w:keepLines/>
        <w:shd w:val="clear" w:color="auto" w:fill="auto"/>
        <w:spacing w:after="80" w:line="266" w:lineRule="auto"/>
      </w:pPr>
      <w:bookmarkStart w:id="55" w:name="bookmark54"/>
      <w:bookmarkStart w:id="56" w:name="bookmark55"/>
      <w:bookmarkStart w:id="57" w:name="bookmark57"/>
      <w:r>
        <w:t xml:space="preserve">Územní rozsah </w:t>
      </w:r>
      <w:r>
        <w:t>pojistně ochrany</w:t>
      </w:r>
      <w:bookmarkEnd w:id="55"/>
      <w:bookmarkEnd w:id="56"/>
      <w:bookmarkEnd w:id="57"/>
    </w:p>
    <w:p w:rsidR="00FA60AD" w:rsidRDefault="005C7D70">
      <w:pPr>
        <w:pStyle w:val="Style2"/>
        <w:shd w:val="clear" w:color="auto" w:fill="auto"/>
        <w:spacing w:after="180"/>
      </w:pPr>
      <w:r>
        <w:t>Pojištění přepravy předmětů pojištění se sjednává s územním rozsahem Evropa</w:t>
      </w:r>
    </w:p>
    <w:p w:rsidR="00FA60AD" w:rsidRDefault="005C7D70">
      <w:pPr>
        <w:pStyle w:val="Style19"/>
        <w:keepNext/>
        <w:keepLines/>
        <w:shd w:val="clear" w:color="auto" w:fill="auto"/>
        <w:spacing w:line="240" w:lineRule="auto"/>
      </w:pPr>
      <w:bookmarkStart w:id="58" w:name="bookmark60"/>
      <w:r>
        <w:rPr>
          <w:u w:val="none"/>
        </w:rPr>
        <w:t>Článek IV</w:t>
      </w:r>
      <w:bookmarkEnd w:id="58"/>
    </w:p>
    <w:p w:rsidR="00FA60AD" w:rsidRDefault="005C7D70">
      <w:pPr>
        <w:pStyle w:val="Style19"/>
        <w:keepNext/>
        <w:keepLines/>
        <w:shd w:val="clear" w:color="auto" w:fill="auto"/>
        <w:spacing w:line="266" w:lineRule="auto"/>
      </w:pPr>
      <w:bookmarkStart w:id="59" w:name="bookmark58"/>
      <w:bookmarkStart w:id="60" w:name="bookmark59"/>
      <w:bookmarkStart w:id="61" w:name="bookmark61"/>
      <w:r>
        <w:t>Pojistná hodnota, pojistná částka, spoluúčast, pojistné</w:t>
      </w:r>
      <w:bookmarkEnd w:id="59"/>
      <w:bookmarkEnd w:id="60"/>
      <w:bookmarkEnd w:id="61"/>
    </w:p>
    <w:p w:rsidR="00FA60AD" w:rsidRDefault="005C7D70">
      <w:pPr>
        <w:pStyle w:val="Style2"/>
        <w:shd w:val="clear" w:color="auto" w:fill="auto"/>
      </w:pPr>
      <w:r>
        <w:t>1. Přeprava věcí vlastních a cizích, vlastních zásob na území Evropy</w:t>
      </w:r>
    </w:p>
    <w:p w:rsidR="00FA60AD" w:rsidRDefault="005C7D70">
      <w:pPr>
        <w:pStyle w:val="Style2"/>
        <w:shd w:val="clear" w:color="auto" w:fill="auto"/>
      </w:pPr>
      <w:r>
        <w:t xml:space="preserve">Paušální systém </w:t>
      </w:r>
      <w:r>
        <w:t>pojistné ochrany - Pojistná částka je maximálním limitem pojistného plnění pro jednu a všechny pojistné události, nastalé v pojistném období 12 měsíců</w:t>
      </w:r>
    </w:p>
    <w:p w:rsidR="00FA60AD" w:rsidRDefault="005C7D70">
      <w:pPr>
        <w:pStyle w:val="Style2"/>
        <w:shd w:val="clear" w:color="auto" w:fill="auto"/>
        <w:tabs>
          <w:tab w:val="left" w:pos="2954"/>
          <w:tab w:val="left" w:pos="5940"/>
        </w:tabs>
      </w:pPr>
      <w:r>
        <w:t>pojistná částka v Kč</w:t>
      </w:r>
      <w:r>
        <w:tab/>
        <w:t>pojistná hodnota</w:t>
      </w:r>
      <w:r>
        <w:tab/>
        <w:t>spoluúčast v Kč</w:t>
      </w:r>
    </w:p>
    <w:p w:rsidR="00FA60AD" w:rsidRDefault="00FF2E83">
      <w:pPr>
        <w:pStyle w:val="Style2"/>
        <w:shd w:val="clear" w:color="auto" w:fill="auto"/>
        <w:tabs>
          <w:tab w:val="left" w:pos="2954"/>
          <w:tab w:val="left" w:pos="5940"/>
        </w:tabs>
      </w:pPr>
      <w:r>
        <w:t>XXXXXXXXX</w:t>
      </w:r>
      <w:r w:rsidR="005C7D70">
        <w:tab/>
        <w:t>pojistná částka</w:t>
      </w:r>
      <w:r w:rsidR="005C7D70">
        <w:tab/>
      </w:r>
      <w:r>
        <w:t>XXXXX</w:t>
      </w:r>
    </w:p>
    <w:p w:rsidR="00FA60AD" w:rsidRDefault="005C7D70">
      <w:pPr>
        <w:pStyle w:val="Style2"/>
        <w:shd w:val="clear" w:color="auto" w:fill="auto"/>
        <w:spacing w:after="120"/>
        <w:sectPr w:rsidR="00FA60AD">
          <w:headerReference w:type="default" r:id="rId17"/>
          <w:footerReference w:type="default" r:id="rId18"/>
          <w:pgSz w:w="11909" w:h="16834"/>
          <w:pgMar w:top="1008" w:right="1399" w:bottom="2074" w:left="1543" w:header="0" w:footer="3" w:gutter="0"/>
          <w:cols w:space="720"/>
          <w:noEndnote/>
          <w:docGrid w:linePitch="360"/>
        </w:sectPr>
      </w:pPr>
      <w:r>
        <w:t>Tato sjednaná pojistná částka se vztahuje i na pojištění přepravy souboru sbírek a na tyto předměty (soubor sbírek) se vztahují podmínky krytí dle ČÁSTI A.</w:t>
      </w:r>
    </w:p>
    <w:p w:rsidR="00FA60AD" w:rsidRDefault="005C7D70">
      <w:pPr>
        <w:pStyle w:val="Style2"/>
        <w:shd w:val="clear" w:color="auto" w:fill="auto"/>
        <w:spacing w:after="80"/>
      </w:pPr>
      <w:r>
        <w:rPr>
          <w:b/>
          <w:bCs/>
        </w:rPr>
        <w:t xml:space="preserve">Pojistné za dobu trvání </w:t>
      </w:r>
      <w:r>
        <w:rPr>
          <w:b/>
          <w:bCs/>
        </w:rPr>
        <w:t>pojištění dle ČÁSTI C:</w:t>
      </w:r>
    </w:p>
    <w:p w:rsidR="00FA60AD" w:rsidRDefault="005C7D70">
      <w:pPr>
        <w:pStyle w:val="Style2"/>
        <w:shd w:val="clear" w:color="auto" w:fill="auto"/>
        <w:spacing w:after="80"/>
      </w:pPr>
      <w:r>
        <w:rPr>
          <w:b/>
          <w:bCs/>
        </w:rPr>
        <w:t xml:space="preserve">Roční pojistné činí </w:t>
      </w:r>
      <w:r w:rsidR="00FF2E83">
        <w:rPr>
          <w:b/>
          <w:bCs/>
        </w:rPr>
        <w:t>XXXXXX</w:t>
      </w:r>
      <w:r>
        <w:rPr>
          <w:b/>
          <w:bCs/>
        </w:rPr>
        <w:t xml:space="preserve">,- Kč, pojistné za sjednanou dobu pojištění (1.1.2021 -1.1.2025) činí </w:t>
      </w:r>
      <w:r w:rsidR="00FF2E83">
        <w:rPr>
          <w:b/>
          <w:bCs/>
        </w:rPr>
        <w:t>XXXXXX</w:t>
      </w:r>
      <w:r>
        <w:rPr>
          <w:b/>
          <w:bCs/>
        </w:rPr>
        <w:t>,-Kč, toto pojistné zahrnuje i úplatu za pojistnou ochranu přepravy věcí zvláštní hodnoty dle ČÁSTI A.</w:t>
      </w:r>
    </w:p>
    <w:p w:rsidR="00FA60AD" w:rsidRDefault="005C7D70">
      <w:pPr>
        <w:pStyle w:val="Style2"/>
        <w:shd w:val="clear" w:color="auto" w:fill="auto"/>
      </w:pPr>
      <w:r>
        <w:t xml:space="preserve">Pojistné za celou dobu pojištění dle ČÁSTI C činí </w:t>
      </w:r>
      <w:r w:rsidR="00FF2E83">
        <w:rPr>
          <w:b/>
          <w:bCs/>
        </w:rPr>
        <w:t>XXXXXX</w:t>
      </w:r>
      <w:r>
        <w:rPr>
          <w:b/>
          <w:bCs/>
        </w:rPr>
        <w:t xml:space="preserve">,- Kč, </w:t>
      </w:r>
      <w:r>
        <w:t xml:space="preserve">roční pojistné činí </w:t>
      </w:r>
      <w:r w:rsidR="00FF2E83">
        <w:t>XXXXXX</w:t>
      </w:r>
      <w:r>
        <w:t>,- Kč.</w:t>
      </w:r>
    </w:p>
    <w:p w:rsidR="00FA60AD" w:rsidRDefault="005C7D70">
      <w:pPr>
        <w:pStyle w:val="Style2"/>
        <w:shd w:val="clear" w:color="auto" w:fill="auto"/>
      </w:pPr>
      <w:r>
        <w:t xml:space="preserve">Platby pojistného jsou sjednány jako čtvrtletní a budou hrazeny ve výši čtvrtiny celkového ročního pojistného na účet pojistitele: č. ú.: </w:t>
      </w:r>
      <w:r w:rsidR="00FF2E83">
        <w:t>XXXXXXXXX</w:t>
      </w:r>
      <w:r>
        <w:t xml:space="preserve">, VS </w:t>
      </w:r>
      <w:r>
        <w:t>2</w:t>
      </w:r>
      <w:r w:rsidR="00FF2E83">
        <w:t>XXXXXXXXX</w:t>
      </w:r>
    </w:p>
    <w:p w:rsidR="00FA60AD" w:rsidRDefault="005C7D70">
      <w:pPr>
        <w:pStyle w:val="Style2"/>
        <w:shd w:val="clear" w:color="auto" w:fill="auto"/>
      </w:pPr>
      <w:r>
        <w:t>Splatnost pojistného: 1.1., 1.4., 1.7., 1.10. (den a měsíc běžného roku)</w:t>
      </w:r>
    </w:p>
    <w:p w:rsidR="00FA60AD" w:rsidRDefault="005C7D70">
      <w:pPr>
        <w:pStyle w:val="Style2"/>
        <w:shd w:val="clear" w:color="auto" w:fill="auto"/>
        <w:spacing w:after="80"/>
      </w:pPr>
      <w:r>
        <w:t xml:space="preserve">Splátka pojistného: </w:t>
      </w:r>
      <w:r w:rsidR="00FF2E83">
        <w:t>XXXXXXX</w:t>
      </w:r>
      <w:r>
        <w:t>,- Kč</w:t>
      </w:r>
    </w:p>
    <w:p w:rsidR="00FA60AD" w:rsidRDefault="005C7D70">
      <w:pPr>
        <w:pStyle w:val="Style2"/>
        <w:shd w:val="clear" w:color="auto" w:fill="auto"/>
        <w:spacing w:after="180"/>
      </w:pPr>
      <w:r>
        <w:t>Takto stanovené pojistné je úplatou za poskytnutou pojistnou ochranu pojištěných věcí za dobu trvání pojištění</w:t>
      </w:r>
    </w:p>
    <w:p w:rsidR="00FA60AD" w:rsidRDefault="005C7D70">
      <w:pPr>
        <w:pStyle w:val="Style28"/>
        <w:shd w:val="clear" w:color="auto" w:fill="auto"/>
      </w:pPr>
      <w:r>
        <w:rPr>
          <w:b/>
          <w:bCs/>
        </w:rPr>
        <w:t>Sleva za příznivý škodní průb</w:t>
      </w:r>
      <w:r>
        <w:rPr>
          <w:b/>
          <w:bCs/>
        </w:rPr>
        <w:t>ěh:</w:t>
      </w:r>
    </w:p>
    <w:p w:rsidR="00FA60AD" w:rsidRDefault="005C7D70">
      <w:pPr>
        <w:pStyle w:val="Style28"/>
        <w:shd w:val="clear" w:color="auto" w:fill="auto"/>
      </w:pPr>
      <w:r>
        <w:t>V závislosti na škodním průběhu pojištění poskytne pojistitel pojistníkovi bonifikaci, a to takto:</w:t>
      </w:r>
    </w:p>
    <w:tbl>
      <w:tblPr>
        <w:tblOverlap w:val="never"/>
        <w:tblW w:w="0" w:type="auto"/>
        <w:jc w:val="center"/>
        <w:tblLayout w:type="fixed"/>
        <w:tblCellMar>
          <w:left w:w="10" w:type="dxa"/>
          <w:right w:w="10" w:type="dxa"/>
        </w:tblCellMar>
        <w:tblLook w:val="04A0" w:firstRow="1" w:lastRow="0" w:firstColumn="1" w:lastColumn="0" w:noHBand="0" w:noVBand="1"/>
      </w:tblPr>
      <w:tblGrid>
        <w:gridCol w:w="4099"/>
        <w:gridCol w:w="4258"/>
      </w:tblGrid>
      <w:tr w:rsidR="00FA60AD">
        <w:tblPrEx>
          <w:tblCellMar>
            <w:top w:w="0" w:type="dxa"/>
            <w:bottom w:w="0" w:type="dxa"/>
          </w:tblCellMar>
        </w:tblPrEx>
        <w:trPr>
          <w:trHeight w:hRule="exact" w:val="245"/>
          <w:jc w:val="center"/>
        </w:trPr>
        <w:tc>
          <w:tcPr>
            <w:tcW w:w="4099" w:type="dxa"/>
            <w:tcBorders>
              <w:top w:val="single" w:sz="4" w:space="0" w:color="auto"/>
              <w:left w:val="single" w:sz="4" w:space="0" w:color="auto"/>
            </w:tcBorders>
            <w:shd w:val="clear" w:color="auto" w:fill="FFFFFF"/>
            <w:vAlign w:val="bottom"/>
          </w:tcPr>
          <w:p w:rsidR="00FA60AD" w:rsidRDefault="005C7D70">
            <w:pPr>
              <w:pStyle w:val="Style13"/>
              <w:shd w:val="clear" w:color="auto" w:fill="auto"/>
              <w:spacing w:line="240" w:lineRule="auto"/>
            </w:pPr>
            <w:r>
              <w:t>Reálný škodní průběh</w:t>
            </w:r>
          </w:p>
        </w:tc>
        <w:tc>
          <w:tcPr>
            <w:tcW w:w="4258" w:type="dxa"/>
            <w:tcBorders>
              <w:top w:val="single" w:sz="4" w:space="0" w:color="auto"/>
              <w:left w:val="single" w:sz="4" w:space="0" w:color="auto"/>
              <w:right w:val="single" w:sz="4" w:space="0" w:color="auto"/>
            </w:tcBorders>
            <w:shd w:val="clear" w:color="auto" w:fill="FFFFFF"/>
            <w:vAlign w:val="bottom"/>
          </w:tcPr>
          <w:p w:rsidR="00FA60AD" w:rsidRDefault="005C7D70">
            <w:pPr>
              <w:pStyle w:val="Style13"/>
              <w:shd w:val="clear" w:color="auto" w:fill="auto"/>
              <w:spacing w:line="240" w:lineRule="auto"/>
            </w:pPr>
            <w:r>
              <w:t>Sleva</w:t>
            </w:r>
          </w:p>
        </w:tc>
      </w:tr>
      <w:tr w:rsidR="00FA60AD">
        <w:tblPrEx>
          <w:tblCellMar>
            <w:top w:w="0" w:type="dxa"/>
            <w:bottom w:w="0" w:type="dxa"/>
          </w:tblCellMar>
        </w:tblPrEx>
        <w:trPr>
          <w:trHeight w:hRule="exact" w:val="245"/>
          <w:jc w:val="center"/>
        </w:trPr>
        <w:tc>
          <w:tcPr>
            <w:tcW w:w="4099" w:type="dxa"/>
            <w:tcBorders>
              <w:top w:val="single" w:sz="4" w:space="0" w:color="auto"/>
              <w:left w:val="single" w:sz="4" w:space="0" w:color="auto"/>
            </w:tcBorders>
            <w:shd w:val="clear" w:color="auto" w:fill="FFFFFF"/>
            <w:vAlign w:val="bottom"/>
          </w:tcPr>
          <w:p w:rsidR="00FA60AD" w:rsidRDefault="005C7D70">
            <w:pPr>
              <w:pStyle w:val="Style13"/>
              <w:shd w:val="clear" w:color="auto" w:fill="auto"/>
              <w:spacing w:line="240" w:lineRule="auto"/>
            </w:pPr>
            <w:r>
              <w:t>do 0 %</w:t>
            </w:r>
          </w:p>
        </w:tc>
        <w:tc>
          <w:tcPr>
            <w:tcW w:w="4258" w:type="dxa"/>
            <w:tcBorders>
              <w:top w:val="single" w:sz="4" w:space="0" w:color="auto"/>
              <w:left w:val="single" w:sz="4" w:space="0" w:color="auto"/>
              <w:right w:val="single" w:sz="4" w:space="0" w:color="auto"/>
            </w:tcBorders>
            <w:shd w:val="clear" w:color="auto" w:fill="FFFFFF"/>
            <w:vAlign w:val="bottom"/>
          </w:tcPr>
          <w:p w:rsidR="00FA60AD" w:rsidRDefault="005C7D70">
            <w:pPr>
              <w:pStyle w:val="Style13"/>
              <w:shd w:val="clear" w:color="auto" w:fill="auto"/>
              <w:spacing w:line="240" w:lineRule="auto"/>
            </w:pPr>
            <w:r>
              <w:t>15%</w:t>
            </w:r>
          </w:p>
        </w:tc>
      </w:tr>
      <w:tr w:rsidR="00FA60AD">
        <w:tblPrEx>
          <w:tblCellMar>
            <w:top w:w="0" w:type="dxa"/>
            <w:bottom w:w="0" w:type="dxa"/>
          </w:tblCellMar>
        </w:tblPrEx>
        <w:trPr>
          <w:trHeight w:hRule="exact" w:val="250"/>
          <w:jc w:val="center"/>
        </w:trPr>
        <w:tc>
          <w:tcPr>
            <w:tcW w:w="4099" w:type="dxa"/>
            <w:tcBorders>
              <w:top w:val="single" w:sz="4" w:space="0" w:color="auto"/>
              <w:left w:val="single" w:sz="4" w:space="0" w:color="auto"/>
              <w:bottom w:val="single" w:sz="4" w:space="0" w:color="auto"/>
            </w:tcBorders>
            <w:shd w:val="clear" w:color="auto" w:fill="FFFFFF"/>
          </w:tcPr>
          <w:p w:rsidR="00FA60AD" w:rsidRDefault="005C7D70">
            <w:pPr>
              <w:pStyle w:val="Style13"/>
              <w:shd w:val="clear" w:color="auto" w:fill="auto"/>
              <w:spacing w:line="240" w:lineRule="auto"/>
            </w:pPr>
            <w:r>
              <w:t>do 10%</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rsidR="00FA60AD" w:rsidRDefault="005C7D70">
            <w:pPr>
              <w:pStyle w:val="Style13"/>
              <w:shd w:val="clear" w:color="auto" w:fill="auto"/>
              <w:spacing w:line="240" w:lineRule="auto"/>
            </w:pPr>
            <w:r>
              <w:t>5%</w:t>
            </w:r>
          </w:p>
        </w:tc>
      </w:tr>
    </w:tbl>
    <w:p w:rsidR="00FA60AD" w:rsidRDefault="005C7D70">
      <w:pPr>
        <w:pStyle w:val="Style2"/>
        <w:shd w:val="clear" w:color="auto" w:fill="auto"/>
      </w:pPr>
      <w:r>
        <w:t xml:space="preserve">Reálným škodním průběhem za hodnocenou dobu pojištění (za pojistný neboli upisovací rok) se </w:t>
      </w:r>
      <w:r>
        <w:t xml:space="preserve">rozumí poměr výše zaplacených a výše nahlášených (dosud nezaplacených) pojistných událostí vždy od počátku pojištění až do konce hodnoceného období k výši spotřebovaného pojistného (t.j. poměrný díl pojistného odpovídající počtu uplynulých dnů) od počátku </w:t>
      </w:r>
      <w:r>
        <w:t>do konce hodnoceného období.</w:t>
      </w:r>
    </w:p>
    <w:p w:rsidR="00FA60AD" w:rsidRDefault="005C7D70">
      <w:pPr>
        <w:pStyle w:val="Style2"/>
        <w:shd w:val="clear" w:color="auto" w:fill="auto"/>
        <w:spacing w:after="180"/>
      </w:pPr>
      <w:r>
        <w:t xml:space="preserve">Podmínkou pro vyplacení bonifikace je uhrazení předepsaného pojistného v daném pojistném roce, resp. za vyhodnocované období. Nárok nevznikne při ukončení platnosti pojistné smlouvy před uplynutím celého pojistného roku, resp. </w:t>
      </w:r>
      <w:r>
        <w:t>doby dané platnou pojistnou smlouvou.</w:t>
      </w:r>
    </w:p>
    <w:p w:rsidR="00FA60AD" w:rsidRDefault="005C7D70">
      <w:pPr>
        <w:pStyle w:val="Style2"/>
        <w:shd w:val="clear" w:color="auto" w:fill="auto"/>
        <w:spacing w:line="240" w:lineRule="auto"/>
      </w:pPr>
      <w:r>
        <w:rPr>
          <w:b/>
          <w:bCs/>
        </w:rPr>
        <w:t>Článek V</w:t>
      </w:r>
    </w:p>
    <w:p w:rsidR="00FA60AD" w:rsidRDefault="005C7D70">
      <w:pPr>
        <w:pStyle w:val="Style2"/>
        <w:shd w:val="clear" w:color="auto" w:fill="auto"/>
        <w:spacing w:after="80" w:line="240" w:lineRule="auto"/>
      </w:pPr>
      <w:r>
        <w:rPr>
          <w:b/>
          <w:bCs/>
          <w:u w:val="single"/>
        </w:rPr>
        <w:t>Doba trvání pojištění</w:t>
      </w:r>
    </w:p>
    <w:tbl>
      <w:tblPr>
        <w:tblOverlap w:val="never"/>
        <w:tblW w:w="0" w:type="auto"/>
        <w:tblLayout w:type="fixed"/>
        <w:tblCellMar>
          <w:left w:w="10" w:type="dxa"/>
          <w:right w:w="10" w:type="dxa"/>
        </w:tblCellMar>
        <w:tblLook w:val="04A0" w:firstRow="1" w:lastRow="0" w:firstColumn="1" w:lastColumn="0" w:noHBand="0" w:noVBand="1"/>
      </w:tblPr>
      <w:tblGrid>
        <w:gridCol w:w="1810"/>
        <w:gridCol w:w="5030"/>
      </w:tblGrid>
      <w:tr w:rsidR="00FA60AD">
        <w:tblPrEx>
          <w:tblCellMar>
            <w:top w:w="0" w:type="dxa"/>
            <w:bottom w:w="0" w:type="dxa"/>
          </w:tblCellMar>
        </w:tblPrEx>
        <w:trPr>
          <w:trHeight w:hRule="exact" w:val="235"/>
        </w:trPr>
        <w:tc>
          <w:tcPr>
            <w:tcW w:w="1810" w:type="dxa"/>
            <w:shd w:val="clear" w:color="auto" w:fill="FFFFFF"/>
            <w:vAlign w:val="bottom"/>
          </w:tcPr>
          <w:p w:rsidR="00FA60AD" w:rsidRDefault="005C7D70">
            <w:pPr>
              <w:pStyle w:val="Style13"/>
              <w:shd w:val="clear" w:color="auto" w:fill="auto"/>
              <w:spacing w:line="240" w:lineRule="auto"/>
            </w:pPr>
            <w:r>
              <w:t>Počátek pojištění:</w:t>
            </w:r>
          </w:p>
        </w:tc>
        <w:tc>
          <w:tcPr>
            <w:tcW w:w="5030" w:type="dxa"/>
            <w:shd w:val="clear" w:color="auto" w:fill="FFFFFF"/>
            <w:vAlign w:val="bottom"/>
          </w:tcPr>
          <w:p w:rsidR="00FA60AD" w:rsidRDefault="005C7D70">
            <w:pPr>
              <w:pStyle w:val="Style13"/>
              <w:shd w:val="clear" w:color="auto" w:fill="auto"/>
              <w:spacing w:line="240" w:lineRule="auto"/>
              <w:ind w:firstLine="220"/>
            </w:pPr>
            <w:r>
              <w:t>1.1.2021 (00:00 hod)</w:t>
            </w:r>
          </w:p>
        </w:tc>
      </w:tr>
      <w:tr w:rsidR="00FA60AD">
        <w:tblPrEx>
          <w:tblCellMar>
            <w:top w:w="0" w:type="dxa"/>
            <w:bottom w:w="0" w:type="dxa"/>
          </w:tblCellMar>
        </w:tblPrEx>
        <w:trPr>
          <w:trHeight w:hRule="exact" w:val="230"/>
        </w:trPr>
        <w:tc>
          <w:tcPr>
            <w:tcW w:w="1810" w:type="dxa"/>
            <w:shd w:val="clear" w:color="auto" w:fill="FFFFFF"/>
            <w:vAlign w:val="bottom"/>
          </w:tcPr>
          <w:p w:rsidR="00FA60AD" w:rsidRDefault="005C7D70">
            <w:pPr>
              <w:pStyle w:val="Style13"/>
              <w:shd w:val="clear" w:color="auto" w:fill="auto"/>
              <w:spacing w:line="240" w:lineRule="auto"/>
            </w:pPr>
            <w:r>
              <w:t>Konec pojištění:</w:t>
            </w:r>
          </w:p>
        </w:tc>
        <w:tc>
          <w:tcPr>
            <w:tcW w:w="5030" w:type="dxa"/>
            <w:shd w:val="clear" w:color="auto" w:fill="FFFFFF"/>
            <w:vAlign w:val="bottom"/>
          </w:tcPr>
          <w:p w:rsidR="00FA60AD" w:rsidRDefault="005C7D70">
            <w:pPr>
              <w:pStyle w:val="Style13"/>
              <w:shd w:val="clear" w:color="auto" w:fill="auto"/>
              <w:spacing w:line="240" w:lineRule="auto"/>
              <w:ind w:firstLine="220"/>
            </w:pPr>
            <w:r>
              <w:t>1.1.2025 (00:00 hod) bez automatického prodlužování</w:t>
            </w:r>
          </w:p>
        </w:tc>
      </w:tr>
      <w:tr w:rsidR="00FA60AD">
        <w:tblPrEx>
          <w:tblCellMar>
            <w:top w:w="0" w:type="dxa"/>
            <w:bottom w:w="0" w:type="dxa"/>
          </w:tblCellMar>
        </w:tblPrEx>
        <w:trPr>
          <w:trHeight w:hRule="exact" w:val="240"/>
        </w:trPr>
        <w:tc>
          <w:tcPr>
            <w:tcW w:w="1810" w:type="dxa"/>
            <w:shd w:val="clear" w:color="auto" w:fill="FFFFFF"/>
          </w:tcPr>
          <w:p w:rsidR="00FA60AD" w:rsidRDefault="005C7D70">
            <w:pPr>
              <w:pStyle w:val="Style13"/>
              <w:shd w:val="clear" w:color="auto" w:fill="auto"/>
              <w:spacing w:line="240" w:lineRule="auto"/>
            </w:pPr>
            <w:r>
              <w:t>Pojistné období:</w:t>
            </w:r>
          </w:p>
        </w:tc>
        <w:tc>
          <w:tcPr>
            <w:tcW w:w="5030" w:type="dxa"/>
            <w:shd w:val="clear" w:color="auto" w:fill="FFFFFF"/>
          </w:tcPr>
          <w:p w:rsidR="00FA60AD" w:rsidRDefault="005C7D70">
            <w:pPr>
              <w:pStyle w:val="Style13"/>
              <w:shd w:val="clear" w:color="auto" w:fill="auto"/>
              <w:spacing w:line="240" w:lineRule="auto"/>
              <w:ind w:firstLine="220"/>
            </w:pPr>
            <w:r>
              <w:t>12 měsíců</w:t>
            </w:r>
          </w:p>
        </w:tc>
      </w:tr>
    </w:tbl>
    <w:p w:rsidR="00FA60AD" w:rsidRDefault="00FA60AD">
      <w:pPr>
        <w:spacing w:after="179" w:line="1" w:lineRule="exact"/>
      </w:pPr>
    </w:p>
    <w:p w:rsidR="00FA60AD" w:rsidRDefault="005C7D70">
      <w:pPr>
        <w:pStyle w:val="Style19"/>
        <w:keepNext/>
        <w:keepLines/>
        <w:shd w:val="clear" w:color="auto" w:fill="auto"/>
        <w:spacing w:line="240" w:lineRule="auto"/>
      </w:pPr>
      <w:bookmarkStart w:id="62" w:name="bookmark64"/>
      <w:r>
        <w:rPr>
          <w:u w:val="none"/>
        </w:rPr>
        <w:t>Článek VI</w:t>
      </w:r>
      <w:bookmarkEnd w:id="62"/>
    </w:p>
    <w:p w:rsidR="00FA60AD" w:rsidRDefault="005C7D70">
      <w:pPr>
        <w:pStyle w:val="Style19"/>
        <w:keepNext/>
        <w:keepLines/>
        <w:shd w:val="clear" w:color="auto" w:fill="auto"/>
        <w:spacing w:after="80" w:line="240" w:lineRule="auto"/>
      </w:pPr>
      <w:bookmarkStart w:id="63" w:name="bookmark62"/>
      <w:bookmarkStart w:id="64" w:name="bookmark63"/>
      <w:bookmarkStart w:id="65" w:name="bookmark65"/>
      <w:r>
        <w:t xml:space="preserve">Ujednání pro případ vzniku </w:t>
      </w:r>
      <w:r>
        <w:t>škodné události</w:t>
      </w:r>
      <w:bookmarkEnd w:id="63"/>
      <w:bookmarkEnd w:id="64"/>
      <w:bookmarkEnd w:id="65"/>
    </w:p>
    <w:p w:rsidR="00FA60AD" w:rsidRDefault="005C7D70">
      <w:pPr>
        <w:pStyle w:val="Style2"/>
        <w:numPr>
          <w:ilvl w:val="0"/>
          <w:numId w:val="11"/>
        </w:numPr>
        <w:shd w:val="clear" w:color="auto" w:fill="auto"/>
        <w:tabs>
          <w:tab w:val="left" w:pos="329"/>
        </w:tabs>
        <w:spacing w:after="80"/>
        <w:ind w:left="340" w:hanging="340"/>
      </w:pPr>
      <w:r>
        <w:t xml:space="preserve">Pojištěný, případně zplnomocněný zástupce, telefonicky nahlásí na </w:t>
      </w:r>
      <w:r>
        <w:rPr>
          <w:lang w:val="en-US" w:eastAsia="en-US" w:bidi="en-US"/>
        </w:rPr>
        <w:t xml:space="preserve">Call </w:t>
      </w:r>
      <w:r>
        <w:t xml:space="preserve">centrum UNIQA pojišťovny a.s. (tel.č. </w:t>
      </w:r>
      <w:r w:rsidR="00FF2E83">
        <w:t>XXXXXXX</w:t>
      </w:r>
      <w:r>
        <w:t xml:space="preserve">) vznik škodné události, kde bude tato registrována a sděleno registrační číslo události). Případně tak lze učinit písemně emailem: </w:t>
      </w:r>
      <w:hyperlink r:id="rId19" w:history="1">
        <w:r w:rsidR="00FF2E83">
          <w:rPr>
            <w:lang w:val="en-US" w:eastAsia="en-US" w:bidi="en-US"/>
          </w:rPr>
          <w:t>XXXXXXXXXXX</w:t>
        </w:r>
      </w:hyperlink>
    </w:p>
    <w:p w:rsidR="00FA60AD" w:rsidRDefault="005C7D70">
      <w:pPr>
        <w:pStyle w:val="Style2"/>
        <w:numPr>
          <w:ilvl w:val="0"/>
          <w:numId w:val="11"/>
        </w:numPr>
        <w:shd w:val="clear" w:color="auto" w:fill="auto"/>
        <w:tabs>
          <w:tab w:val="left" w:pos="329"/>
        </w:tabs>
        <w:spacing w:line="269" w:lineRule="auto"/>
      </w:pPr>
      <w:r>
        <w:t>Příslušnému pr</w:t>
      </w:r>
      <w:r>
        <w:t>acovníkovi linky je třeba sdělit následující:</w:t>
      </w:r>
    </w:p>
    <w:p w:rsidR="00FA60AD" w:rsidRDefault="005C7D70">
      <w:pPr>
        <w:pStyle w:val="Style2"/>
        <w:shd w:val="clear" w:color="auto" w:fill="auto"/>
        <w:spacing w:after="80" w:line="269" w:lineRule="auto"/>
        <w:ind w:left="620" w:firstLine="20"/>
      </w:pPr>
      <w:r>
        <w:t>jméno, adresu, číslo pojistné smlouvy, kontaktní spojení vč. emailové adresy, stručně jak a kdy k PU došlo, pravděpodobnou výši škody, adresu, místo, kde se poškozené předměty pojištění nacházejí, kontaktní oso</w:t>
      </w:r>
      <w:r>
        <w:t>bu pro zajištění prohlídky a posouzení rozsahu takto vzniklé škody (nutné k přizvání technika, případně soudního znalce).</w:t>
      </w:r>
    </w:p>
    <w:p w:rsidR="00FA60AD" w:rsidRDefault="005C7D70">
      <w:pPr>
        <w:pStyle w:val="Style19"/>
        <w:keepNext/>
        <w:keepLines/>
        <w:shd w:val="clear" w:color="auto" w:fill="auto"/>
        <w:spacing w:after="140" w:line="266" w:lineRule="auto"/>
      </w:pPr>
      <w:bookmarkStart w:id="66" w:name="bookmark66"/>
      <w:bookmarkStart w:id="67" w:name="bookmark67"/>
      <w:bookmarkStart w:id="68" w:name="bookmark68"/>
      <w:r>
        <w:t xml:space="preserve">ZÁVĚREČNÁ USTANOVENÍ </w:t>
      </w:r>
      <w:r>
        <w:rPr>
          <w:lang w:val="en-US" w:eastAsia="en-US" w:bidi="en-US"/>
        </w:rPr>
        <w:t xml:space="preserve">A </w:t>
      </w:r>
      <w:r>
        <w:t xml:space="preserve">UJEDNÁNÍ </w:t>
      </w:r>
      <w:r>
        <w:rPr>
          <w:lang w:val="en-US" w:eastAsia="en-US" w:bidi="en-US"/>
        </w:rPr>
        <w:t xml:space="preserve">PRO </w:t>
      </w:r>
      <w:r>
        <w:t xml:space="preserve">ČÁST </w:t>
      </w:r>
      <w:r>
        <w:rPr>
          <w:lang w:val="en-US" w:eastAsia="en-US" w:bidi="en-US"/>
        </w:rPr>
        <w:t xml:space="preserve">A, </w:t>
      </w:r>
      <w:r>
        <w:t>ČÁST B, ČÁST C</w:t>
      </w:r>
      <w:bookmarkEnd w:id="66"/>
      <w:bookmarkEnd w:id="67"/>
      <w:bookmarkEnd w:id="68"/>
    </w:p>
    <w:p w:rsidR="00FA60AD" w:rsidRDefault="005C7D70">
      <w:pPr>
        <w:pStyle w:val="Style2"/>
        <w:numPr>
          <w:ilvl w:val="0"/>
          <w:numId w:val="12"/>
        </w:numPr>
        <w:shd w:val="clear" w:color="auto" w:fill="auto"/>
        <w:tabs>
          <w:tab w:val="left" w:pos="335"/>
        </w:tabs>
        <w:spacing w:after="140" w:line="240" w:lineRule="auto"/>
        <w:ind w:left="340" w:hanging="340"/>
      </w:pPr>
      <w:r>
        <w:t xml:space="preserve">Pojištění se automaticky vztahuje i na nově pořízený majetek (včetně </w:t>
      </w:r>
      <w:r>
        <w:t>státní sbírky hudebních nástrojů a to za podmínky, že jeho hodnota nepřesáhne 10% pojistně částky) za takovýto přírůstek pojištění nebude pojistitel požadovat pojistně.</w:t>
      </w:r>
    </w:p>
    <w:p w:rsidR="00FA60AD" w:rsidRDefault="005C7D70">
      <w:pPr>
        <w:pStyle w:val="Style2"/>
        <w:numPr>
          <w:ilvl w:val="0"/>
          <w:numId w:val="12"/>
        </w:numPr>
        <w:shd w:val="clear" w:color="auto" w:fill="auto"/>
        <w:tabs>
          <w:tab w:val="left" w:pos="335"/>
        </w:tabs>
        <w:spacing w:after="140" w:line="269" w:lineRule="auto"/>
        <w:ind w:left="340" w:hanging="340"/>
      </w:pPr>
      <w:r>
        <w:t>Pojistná smlouva obsahuje 11 listů, Přílohy č. 1 - 5 a je na základě dohody smluvních s</w:t>
      </w:r>
      <w:r>
        <w:t xml:space="preserve">tran vyhotovena v elektronickě podobě ve formátu PDF, přičemž původ a integrita elektronickěho vyhotovení těto smlouvy, jakož i totožnost jednajících osob, jsou zaručeny elektronickými podpisy smluvních stran, resp. osob oprávněných za smluvní stranu tuto </w:t>
      </w:r>
      <w:r>
        <w:t>smlouvu uzavřít. Každá ze smluvních stran obdrží originál pojistně smlouvy v elektronické podobě. Veškeré změny a doplňky pojistné smlouvy lze činit pouze formou písemných číslovaných dodatků, a to v elektronické podobě ve formátu PDF, který bude opatřen e</w:t>
      </w:r>
      <w:r>
        <w:t>lektronickými podpisy smluvních stran, resp. osob oprávněných za smluvní stranu dodatek uzavřít.</w:t>
      </w:r>
    </w:p>
    <w:p w:rsidR="00FA60AD" w:rsidRDefault="005C7D70">
      <w:pPr>
        <w:pStyle w:val="Style2"/>
        <w:numPr>
          <w:ilvl w:val="0"/>
          <w:numId w:val="12"/>
        </w:numPr>
        <w:shd w:val="clear" w:color="auto" w:fill="auto"/>
        <w:tabs>
          <w:tab w:val="left" w:pos="335"/>
        </w:tabs>
        <w:spacing w:after="140" w:line="240" w:lineRule="auto"/>
        <w:ind w:left="340" w:hanging="340"/>
      </w:pPr>
      <w:r>
        <w:t xml:space="preserve">Správu pojištění y průběhu pojistného období bude provádět zplnomocněná pojišťovací makléřská společnost </w:t>
      </w:r>
      <w:r w:rsidR="00FF2E83">
        <w:t>XXXXXXXXXXXXXXXXXXXXXXXXXXXXXXXXXXXXX</w:t>
      </w:r>
      <w:r>
        <w:t xml:space="preserve">, se sídlem </w:t>
      </w:r>
      <w:r w:rsidR="00FF2E83">
        <w:t>XXXXXXXXXXXXXXXXXXXX.</w:t>
      </w:r>
    </w:p>
    <w:p w:rsidR="00FA60AD" w:rsidRDefault="005C7D70">
      <w:pPr>
        <w:pStyle w:val="Style2"/>
        <w:numPr>
          <w:ilvl w:val="0"/>
          <w:numId w:val="12"/>
        </w:numPr>
        <w:shd w:val="clear" w:color="auto" w:fill="auto"/>
        <w:tabs>
          <w:tab w:val="left" w:pos="335"/>
        </w:tabs>
        <w:spacing w:after="140" w:line="240" w:lineRule="auto"/>
        <w:ind w:left="340" w:hanging="340"/>
      </w:pPr>
      <w:r>
        <w:t xml:space="preserve">Na základě výše uvedeného činí celkové </w:t>
      </w:r>
      <w:r>
        <w:rPr>
          <w:b/>
          <w:bCs/>
        </w:rPr>
        <w:t xml:space="preserve">roční pojistné </w:t>
      </w:r>
      <w:r>
        <w:t xml:space="preserve">za ČÁST A, ČÁST B, ČÁST C </w:t>
      </w:r>
      <w:r w:rsidR="00FF2E83">
        <w:rPr>
          <w:b/>
          <w:bCs/>
        </w:rPr>
        <w:t>XXXXXXXXXXXX</w:t>
      </w:r>
      <w:r>
        <w:rPr>
          <w:b/>
          <w:bCs/>
        </w:rPr>
        <w:t xml:space="preserve">,- Kč, pojistné za sjednanou dobu pojištění </w:t>
      </w:r>
      <w:r>
        <w:t xml:space="preserve">(1.1.2021 - 1.1.2025) za ČÁST A, ČÁST B, ČÁST C činí </w:t>
      </w:r>
      <w:r w:rsidR="00FF2E83">
        <w:rPr>
          <w:b/>
          <w:bCs/>
        </w:rPr>
        <w:t>XXXXXXX</w:t>
      </w:r>
      <w:r>
        <w:rPr>
          <w:b/>
          <w:bCs/>
        </w:rPr>
        <w:t xml:space="preserve">,-Kč. </w:t>
      </w:r>
      <w:r>
        <w:t>Je</w:t>
      </w:r>
      <w:r>
        <w:t>dnotlivá čtvrtletní splátka za ČÁST A, ČÁST B, ČÁST C činí 574.747,- Kč.</w:t>
      </w:r>
    </w:p>
    <w:p w:rsidR="00FA60AD" w:rsidRDefault="005C7D70">
      <w:pPr>
        <w:pStyle w:val="Style2"/>
        <w:numPr>
          <w:ilvl w:val="0"/>
          <w:numId w:val="12"/>
        </w:numPr>
        <w:shd w:val="clear" w:color="auto" w:fill="auto"/>
        <w:tabs>
          <w:tab w:val="left" w:pos="335"/>
        </w:tabs>
        <w:spacing w:after="60"/>
      </w:pPr>
      <w:r>
        <w:t>Přílohy pojistné smlouvy:</w:t>
      </w:r>
    </w:p>
    <w:p w:rsidR="00FA60AD" w:rsidRDefault="005C7D70">
      <w:pPr>
        <w:pStyle w:val="Style2"/>
        <w:shd w:val="clear" w:color="auto" w:fill="auto"/>
        <w:spacing w:after="60"/>
      </w:pPr>
      <w:r>
        <w:t>Příloha č. 1 - „Orientační seznam míst pojištění na území ČR"</w:t>
      </w:r>
    </w:p>
    <w:p w:rsidR="00FA60AD" w:rsidRDefault="005C7D70">
      <w:pPr>
        <w:pStyle w:val="Style2"/>
        <w:shd w:val="clear" w:color="auto" w:fill="auto"/>
        <w:spacing w:after="60"/>
      </w:pPr>
      <w:r>
        <w:t>Příloha č. 2 - Orientační seznam nástrojů "Státní sbírky hudebních nástrojů“</w:t>
      </w:r>
    </w:p>
    <w:p w:rsidR="00FA60AD" w:rsidRDefault="005C7D70">
      <w:pPr>
        <w:pStyle w:val="Style2"/>
        <w:shd w:val="clear" w:color="auto" w:fill="auto"/>
        <w:spacing w:after="60"/>
      </w:pPr>
      <w:r>
        <w:t>Příloha č. 3 - Dal</w:t>
      </w:r>
      <w:r>
        <w:t>ší podmínky pro poskytnutí pojistné ochrany</w:t>
      </w:r>
    </w:p>
    <w:p w:rsidR="00FA60AD" w:rsidRDefault="005C7D70">
      <w:pPr>
        <w:pStyle w:val="Style2"/>
        <w:shd w:val="clear" w:color="auto" w:fill="auto"/>
      </w:pPr>
      <w:r>
        <w:t>Příloha č. 4 - Pojistné podmínky</w:t>
      </w:r>
    </w:p>
    <w:p w:rsidR="00FA60AD" w:rsidRDefault="005C7D70">
      <w:pPr>
        <w:pStyle w:val="Style2"/>
        <w:shd w:val="clear" w:color="auto" w:fill="auto"/>
        <w:ind w:left="1320"/>
      </w:pPr>
      <w:r>
        <w:t>Všeobecné pojistné podmínky - obecná část („UCZ/14“)</w:t>
      </w:r>
    </w:p>
    <w:p w:rsidR="00FA60AD" w:rsidRDefault="005C7D70">
      <w:pPr>
        <w:pStyle w:val="Style2"/>
        <w:shd w:val="clear" w:color="auto" w:fill="auto"/>
        <w:ind w:left="1320" w:hanging="320"/>
      </w:pPr>
      <w:r>
        <w:t>v Všeobecné podmínky pro pojištění předmětů umělecké a/nebo sběratelské hodnoty („UCZ/Um/14")</w:t>
      </w:r>
    </w:p>
    <w:p w:rsidR="00FA60AD" w:rsidRDefault="005C7D70">
      <w:pPr>
        <w:pStyle w:val="Style2"/>
        <w:shd w:val="clear" w:color="auto" w:fill="auto"/>
        <w:ind w:left="1320"/>
      </w:pPr>
      <w:r>
        <w:t xml:space="preserve">Všeobecné pojistné </w:t>
      </w:r>
      <w:r>
        <w:t>podmínky pojištění majetku pro případ poškození nebo zničení živelní událostí - zvláštní část („UCZ/Živ/14“)</w:t>
      </w:r>
    </w:p>
    <w:p w:rsidR="00FA60AD" w:rsidRDefault="005C7D70">
      <w:pPr>
        <w:pStyle w:val="Style2"/>
        <w:shd w:val="clear" w:color="auto" w:fill="auto"/>
        <w:ind w:left="1320" w:hanging="320"/>
      </w:pPr>
      <w:r>
        <w:t>v' Všeobecné podmínky pro pojištění přepravy zásilek („UCZ/T/14“) Doplňkové pojistné podmínky k pojištění majetku pro případ odcizení LIM/14 Všeobe</w:t>
      </w:r>
      <w:r>
        <w:t>cné pojistné podmínky pojištění majetku pro případ odcizení - zvláštní část („UCZ/Odc/14") - výklad pojmů</w:t>
      </w:r>
    </w:p>
    <w:p w:rsidR="00FA60AD" w:rsidRDefault="005C7D70">
      <w:pPr>
        <w:pStyle w:val="Style2"/>
        <w:numPr>
          <w:ilvl w:val="0"/>
          <w:numId w:val="13"/>
        </w:numPr>
        <w:shd w:val="clear" w:color="auto" w:fill="auto"/>
        <w:tabs>
          <w:tab w:val="left" w:pos="1322"/>
        </w:tabs>
        <w:ind w:left="1320" w:hanging="320"/>
      </w:pPr>
      <w:r>
        <w:t>Doplňkové pojistné podmínky pro pojištění přepravy zásilek. Pojištění firemní přepravy („DPP/F/Zás/14“)</w:t>
      </w:r>
    </w:p>
    <w:p w:rsidR="00FA60AD" w:rsidRDefault="005C7D70">
      <w:pPr>
        <w:pStyle w:val="Style2"/>
        <w:numPr>
          <w:ilvl w:val="0"/>
          <w:numId w:val="13"/>
        </w:numPr>
        <w:shd w:val="clear" w:color="auto" w:fill="auto"/>
        <w:tabs>
          <w:tab w:val="left" w:pos="1322"/>
        </w:tabs>
        <w:ind w:left="1320" w:hanging="320"/>
      </w:pPr>
      <w:r>
        <w:t>Smluvní ujednání pro pojištění hudebních nástr</w:t>
      </w:r>
      <w:r>
        <w:t>ojů, elektrických nebo elektronických nástrojů</w:t>
      </w:r>
    </w:p>
    <w:p w:rsidR="00FA60AD" w:rsidRDefault="005C7D70">
      <w:pPr>
        <w:pStyle w:val="Style2"/>
        <w:shd w:val="clear" w:color="auto" w:fill="auto"/>
        <w:spacing w:after="60"/>
        <w:ind w:left="1320"/>
      </w:pPr>
      <w:r>
        <w:t xml:space="preserve">Smluvní ujednání pro pojištění terorismu / INSTITUTE </w:t>
      </w:r>
      <w:r>
        <w:rPr>
          <w:lang w:val="en-US" w:eastAsia="en-US" w:bidi="en-US"/>
        </w:rPr>
        <w:t>STRIKES CLAUSES (CARGO)</w:t>
      </w:r>
    </w:p>
    <w:p w:rsidR="00FA60AD" w:rsidRDefault="005C7D70">
      <w:pPr>
        <w:pStyle w:val="Style2"/>
        <w:shd w:val="clear" w:color="auto" w:fill="auto"/>
        <w:spacing w:after="140"/>
      </w:pPr>
      <w:r>
        <w:t>Příloha č. 5 - Informace o zpracování osobních údajů</w:t>
      </w:r>
    </w:p>
    <w:p w:rsidR="00FA60AD" w:rsidRDefault="005C7D70">
      <w:pPr>
        <w:pStyle w:val="Style2"/>
        <w:shd w:val="clear" w:color="auto" w:fill="auto"/>
        <w:spacing w:after="140" w:line="240" w:lineRule="auto"/>
      </w:pPr>
      <w:r>
        <w:rPr>
          <w:b/>
          <w:bCs/>
        </w:rPr>
        <w:t>Dále se ujednává, že se na pojištění vztahuje sankční doložka, jejíž znění Je u</w:t>
      </w:r>
      <w:r>
        <w:rPr>
          <w:b/>
          <w:bCs/>
        </w:rPr>
        <w:t>vedeno níže.</w:t>
      </w:r>
    </w:p>
    <w:p w:rsidR="00FA60AD" w:rsidRDefault="005C7D70">
      <w:pPr>
        <w:pStyle w:val="Style2"/>
        <w:shd w:val="clear" w:color="auto" w:fill="auto"/>
        <w:spacing w:line="240" w:lineRule="auto"/>
      </w:pPr>
      <w:r>
        <w:t>SANKČNÍ DOLOŽKA</w:t>
      </w:r>
    </w:p>
    <w:p w:rsidR="00FA60AD" w:rsidRDefault="005C7D70">
      <w:pPr>
        <w:pStyle w:val="Style2"/>
        <w:shd w:val="clear" w:color="auto" w:fill="auto"/>
        <w:spacing w:after="100" w:line="240" w:lineRule="auto"/>
        <w:jc w:val="both"/>
      </w:pPr>
      <w:r>
        <w:t>Bez ohledu na všechna ostatní ustanovení této smlouvy pojistitel neposkytne pojistné plnění či jakékoliv jiné plnění z pojištění, pokud by takový postup byl v rozporu s ekonomickými, obchodními nebo finančními sankcemi a/nebo e</w:t>
      </w:r>
      <w:r>
        <w:t>mbargy Rady bezpečnosti OSN, Evropské unie nebo jakýmikoliv vnitrostátními právními předpisy či právními předpisy Evropské unie, které se vztahují na účastníky tohoto pojištění. To platí také pro hospodářské, obchodní nebo finanční sankce a/nebo embarga vy</w:t>
      </w:r>
      <w:r>
        <w:t>daná Spojenými státy americkými nebo jinými zeměmi, není-li to v rozporu s právními předpisy Evropské unie nebo vnitrostátními právními předpisy.</w:t>
      </w:r>
    </w:p>
    <w:p w:rsidR="00FA60AD" w:rsidRDefault="005C7D70">
      <w:pPr>
        <w:pStyle w:val="Style2"/>
        <w:shd w:val="clear" w:color="auto" w:fill="auto"/>
        <w:tabs>
          <w:tab w:val="left" w:pos="1440"/>
        </w:tabs>
        <w:spacing w:after="220" w:line="240" w:lineRule="auto"/>
        <w:rPr>
          <w:sz w:val="17"/>
          <w:szCs w:val="17"/>
        </w:rPr>
      </w:pPr>
      <w:r>
        <w:rPr>
          <w:sz w:val="17"/>
          <w:szCs w:val="17"/>
        </w:rPr>
        <w:t>Zpracovala:</w:t>
      </w:r>
      <w:r>
        <w:rPr>
          <w:sz w:val="17"/>
          <w:szCs w:val="17"/>
        </w:rPr>
        <w:tab/>
      </w:r>
      <w:r w:rsidR="00FF2E83">
        <w:rPr>
          <w:sz w:val="17"/>
          <w:szCs w:val="17"/>
        </w:rPr>
        <w:t>XXXXXXXXXXXXXXXXXXXXXXXX</w:t>
      </w:r>
    </w:p>
    <w:p w:rsidR="00FA60AD" w:rsidRDefault="005C7D70">
      <w:pPr>
        <w:pStyle w:val="Style2"/>
        <w:shd w:val="clear" w:color="auto" w:fill="auto"/>
        <w:spacing w:after="220" w:line="240" w:lineRule="auto"/>
      </w:pPr>
      <w:r>
        <w:t>Za UNIQA pojišťovnu, a.s.</w:t>
      </w:r>
    </w:p>
    <w:p w:rsidR="00FA60AD" w:rsidRDefault="005C7D70">
      <w:pPr>
        <w:pStyle w:val="Style2"/>
        <w:shd w:val="clear" w:color="auto" w:fill="auto"/>
        <w:spacing w:after="220" w:line="240" w:lineRule="auto"/>
      </w:pPr>
      <w:r>
        <w:t>V Praze, dne (viz elektronický podpis)</w:t>
      </w:r>
    </w:p>
    <w:p w:rsidR="00FA60AD" w:rsidRDefault="005C7D70">
      <w:pPr>
        <w:pStyle w:val="Style2"/>
        <w:shd w:val="clear" w:color="auto" w:fill="auto"/>
        <w:tabs>
          <w:tab w:val="left" w:pos="5690"/>
        </w:tabs>
        <w:spacing w:line="240" w:lineRule="auto"/>
        <w:ind w:left="2560"/>
        <w:rPr>
          <w:sz w:val="17"/>
          <w:szCs w:val="17"/>
        </w:rPr>
      </w:pPr>
      <w:r>
        <w:rPr>
          <w:sz w:val="17"/>
          <w:szCs w:val="17"/>
        </w:rPr>
        <w:t>Ing. Vladimír John</w:t>
      </w:r>
      <w:r>
        <w:rPr>
          <w:sz w:val="17"/>
          <w:szCs w:val="17"/>
        </w:rPr>
        <w:tab/>
        <w:t>Michal Dachovský</w:t>
      </w:r>
    </w:p>
    <w:p w:rsidR="00FA60AD" w:rsidRDefault="005C7D70">
      <w:pPr>
        <w:pStyle w:val="Style2"/>
        <w:shd w:val="clear" w:color="auto" w:fill="auto"/>
        <w:tabs>
          <w:tab w:val="left" w:pos="5690"/>
        </w:tabs>
        <w:spacing w:after="300" w:line="240" w:lineRule="auto"/>
        <w:ind w:left="2560"/>
        <w:rPr>
          <w:sz w:val="17"/>
          <w:szCs w:val="17"/>
        </w:rPr>
      </w:pPr>
      <w:r>
        <w:rPr>
          <w:sz w:val="17"/>
          <w:szCs w:val="17"/>
        </w:rPr>
        <w:t>společná prokura</w:t>
      </w:r>
      <w:r>
        <w:rPr>
          <w:sz w:val="17"/>
          <w:szCs w:val="17"/>
        </w:rPr>
        <w:tab/>
        <w:t>společná prokura</w:t>
      </w:r>
    </w:p>
    <w:p w:rsidR="00FA60AD" w:rsidRDefault="005C7D70">
      <w:pPr>
        <w:pStyle w:val="Style2"/>
        <w:shd w:val="clear" w:color="auto" w:fill="auto"/>
        <w:spacing w:line="240" w:lineRule="auto"/>
        <w:rPr>
          <w:sz w:val="17"/>
          <w:szCs w:val="17"/>
        </w:rPr>
      </w:pPr>
      <w:r>
        <w:rPr>
          <w:sz w:val="17"/>
          <w:szCs w:val="17"/>
        </w:rPr>
        <w:t xml:space="preserve">Potvrzuji, že jsem převzal a </w:t>
      </w:r>
      <w:r>
        <w:rPr>
          <w:sz w:val="17"/>
          <w:szCs w:val="17"/>
        </w:rPr>
        <w:t>souhlasím s níže uvedenými všeobecnými pojistnými podmínkami a doplňkovými pojistnými podmínkami, která tvoří nedílnou součást této pojistné smlouvy:</w:t>
      </w:r>
    </w:p>
    <w:p w:rsidR="00FA60AD" w:rsidRDefault="005C7D70">
      <w:pPr>
        <w:pStyle w:val="Style2"/>
        <w:shd w:val="clear" w:color="auto" w:fill="auto"/>
        <w:spacing w:line="240" w:lineRule="auto"/>
        <w:jc w:val="both"/>
        <w:rPr>
          <w:sz w:val="17"/>
          <w:szCs w:val="17"/>
        </w:rPr>
      </w:pPr>
      <w:r>
        <w:rPr>
          <w:sz w:val="17"/>
          <w:szCs w:val="17"/>
        </w:rPr>
        <w:t>UCZ/14 UCZ/Um/14 UCZ/Živ/14 UCZ/T/14 LIM/14 UCZ/Odc/14 DPP/F/Zás/14 Další podmínky pro poskytnutí pojistné ochrany Smluvní ujednání pro pojištění hudebních nástrojů, elektrických nebo elektronických nástrojů Smluvní ujednání pro pojištění terorismu INSTITU</w:t>
      </w:r>
      <w:r>
        <w:rPr>
          <w:sz w:val="17"/>
          <w:szCs w:val="17"/>
        </w:rPr>
        <w:t xml:space="preserve">TE </w:t>
      </w:r>
      <w:r>
        <w:rPr>
          <w:sz w:val="17"/>
          <w:szCs w:val="17"/>
          <w:lang w:val="en-US" w:eastAsia="en-US" w:bidi="en-US"/>
        </w:rPr>
        <w:t>STRIKES CLAUSES (CARGO)</w:t>
      </w:r>
    </w:p>
    <w:p w:rsidR="00FA60AD" w:rsidRDefault="005C7D70">
      <w:pPr>
        <w:pStyle w:val="Style2"/>
        <w:shd w:val="clear" w:color="auto" w:fill="auto"/>
        <w:spacing w:line="240" w:lineRule="auto"/>
        <w:ind w:firstLine="260"/>
        <w:rPr>
          <w:sz w:val="17"/>
          <w:szCs w:val="17"/>
        </w:rPr>
      </w:pPr>
      <w:r>
        <w:rPr>
          <w:sz w:val="17"/>
          <w:szCs w:val="17"/>
        </w:rPr>
        <w:t xml:space="preserve">Prohlašuji, že mi byly poskytnuty v dostatečném předstihu před uzavřením pojistné smlouvy přesným, jasným a srozumitelným způsobem, písemně a v českém jazyce informace o pojistném vztahu a o zpracování osobních údajů pro </w:t>
      </w:r>
      <w:r>
        <w:rPr>
          <w:sz w:val="17"/>
          <w:szCs w:val="17"/>
        </w:rPr>
        <w:t>účely tohoto pojistného vztahu, že jsem byl seznámen s obsahem všech souvisejících pojistných podmínek (viz výše), které jsem převzal. Prohlašuji, že pojistná smlouva na uzavření pojištění odpovídá mému pojistnému zájmu, mým pojistným potřebám a požadavkům</w:t>
      </w:r>
      <w:r>
        <w:rPr>
          <w:sz w:val="17"/>
          <w:szCs w:val="17"/>
        </w:rPr>
        <w:t>, že všechny mé dotazy, které jsem položil pojistiteli nebo jím pověřenému zástupci, byly náležitě zodpovězeny a že s rozsahem a podmínkami pojištění jsem srozuměn/a.</w:t>
      </w:r>
    </w:p>
    <w:p w:rsidR="00FA60AD" w:rsidRDefault="005C7D70">
      <w:pPr>
        <w:pStyle w:val="Style2"/>
        <w:shd w:val="clear" w:color="auto" w:fill="auto"/>
        <w:spacing w:line="240" w:lineRule="auto"/>
        <w:ind w:firstLine="260"/>
        <w:rPr>
          <w:sz w:val="17"/>
          <w:szCs w:val="17"/>
        </w:rPr>
      </w:pPr>
      <w:r>
        <w:rPr>
          <w:sz w:val="17"/>
          <w:szCs w:val="17"/>
        </w:rPr>
        <w:t>Ochrana osobních údajů získaných v souvislosti s uzavřením a plněním této smlouvy se řídí</w:t>
      </w:r>
      <w:r>
        <w:rPr>
          <w:sz w:val="17"/>
          <w:szCs w:val="17"/>
        </w:rPr>
        <w:t xml:space="preserve"> nařízením Evropského parlamentu a Rady (EU) 2016/679 ze dne 27. dubna 2016, o ochraně fyzických osob v souvislosti se zpracováním osobních údajů a o volném pohybu těchto údajů a o zrušení směrnice 95/46/ES (obecné nařízení o ochraně osobních údajů). Pojis</w:t>
      </w:r>
      <w:r>
        <w:rPr>
          <w:sz w:val="17"/>
          <w:szCs w:val="17"/>
        </w:rPr>
        <w:t>tník je povinen pojištěného, resp. pojištěné, jakož i všechny další oprávněné třetí osoby, řádně a včas informovat o zpracování jejich osobních údajů v souvislosti s uzavřením a plněním této smlouvy, o jejich souvisejících právech a dalších relevantních sk</w:t>
      </w:r>
      <w:r>
        <w:rPr>
          <w:sz w:val="17"/>
          <w:szCs w:val="17"/>
        </w:rPr>
        <w:t>utečnostech vymezených v článku 13, resp. v článku 14 obecného nařízení o ochraně osobních údajů, a sice poskytnutím samostatné listiny obsahující informace o zpracování osobních údajů dle článku 13, resp. článku 14 obecného nařízení o ochraně osobních úda</w:t>
      </w:r>
      <w:r>
        <w:rPr>
          <w:sz w:val="17"/>
          <w:szCs w:val="17"/>
        </w:rPr>
        <w:t>jů, a to poskytnutím stejnopisu listiny označené jako „Informace o zpracování osobních údajů" anebo jiným vhodným způsobem.</w:t>
      </w:r>
    </w:p>
    <w:p w:rsidR="00FA60AD" w:rsidRDefault="005C7D70">
      <w:pPr>
        <w:pStyle w:val="Style2"/>
        <w:shd w:val="clear" w:color="auto" w:fill="auto"/>
        <w:spacing w:line="240" w:lineRule="auto"/>
        <w:ind w:firstLine="260"/>
        <w:rPr>
          <w:sz w:val="17"/>
          <w:szCs w:val="17"/>
        </w:rPr>
      </w:pPr>
      <w:r>
        <w:rPr>
          <w:sz w:val="17"/>
          <w:szCs w:val="17"/>
        </w:rPr>
        <w:t>Souhlasím s tím, aby pojistitel uvedl mé jméno/název v seznamu významných klientů, se kterými uzavřel příslušná pojištění (bez uvede</w:t>
      </w:r>
      <w:r>
        <w:rPr>
          <w:sz w:val="17"/>
          <w:szCs w:val="17"/>
        </w:rPr>
        <w:t>ní další specifikace pojištění). Toto prohlášení je činěno pro účely § 128 zákona č. 277/2009 Sb. v platném znění.</w:t>
      </w:r>
    </w:p>
    <w:p w:rsidR="00FA60AD" w:rsidRDefault="005C7D70">
      <w:pPr>
        <w:pStyle w:val="Style2"/>
        <w:shd w:val="clear" w:color="auto" w:fill="auto"/>
        <w:spacing w:line="240" w:lineRule="auto"/>
        <w:ind w:firstLine="260"/>
        <w:jc w:val="both"/>
        <w:rPr>
          <w:sz w:val="17"/>
          <w:szCs w:val="17"/>
        </w:rPr>
      </w:pPr>
      <w:r>
        <w:rPr>
          <w:sz w:val="17"/>
          <w:szCs w:val="17"/>
        </w:rPr>
        <w:t>Pojistník prohlašuje, že je povinným subjektem ve smyslu zákona č. 340/2015 Sb., o registru smluv (dále jen „povinný subjekt"), a tedy že rám</w:t>
      </w:r>
      <w:r>
        <w:rPr>
          <w:sz w:val="17"/>
          <w:szCs w:val="17"/>
        </w:rPr>
        <w:t>cová pojistná smlouva č. 2039600608 (dále jen „smlouva") podléhá povinnosti uveřejnění v registru smluv ve smyslu zákona č. 340/2015 Sb., o registru smluv (dále jen „registr smluv").</w:t>
      </w:r>
    </w:p>
    <w:p w:rsidR="00FA60AD" w:rsidRDefault="005C7D70">
      <w:pPr>
        <w:pStyle w:val="Style2"/>
        <w:shd w:val="clear" w:color="auto" w:fill="auto"/>
        <w:spacing w:line="240" w:lineRule="auto"/>
        <w:ind w:firstLine="260"/>
        <w:jc w:val="both"/>
        <w:rPr>
          <w:sz w:val="17"/>
          <w:szCs w:val="17"/>
        </w:rPr>
      </w:pPr>
      <w:r>
        <w:rPr>
          <w:sz w:val="17"/>
          <w:szCs w:val="17"/>
        </w:rPr>
        <w:t>Pojistník bere na vědomí, že pokud se výše uvedené prohlášení nezakládá n</w:t>
      </w:r>
      <w:r>
        <w:rPr>
          <w:sz w:val="17"/>
          <w:szCs w:val="17"/>
        </w:rPr>
        <w:t>a pravdě, odpovídá společností UNIQA pojišťovna, a. s. (dále jen „UNIQA") za škodu, která UNIQA v důsledku tohoto nepravdivého prohlášení vznikne.</w:t>
      </w:r>
    </w:p>
    <w:p w:rsidR="00FA60AD" w:rsidRDefault="005C7D70">
      <w:pPr>
        <w:pStyle w:val="Style2"/>
        <w:shd w:val="clear" w:color="auto" w:fill="auto"/>
        <w:spacing w:line="240" w:lineRule="auto"/>
        <w:ind w:firstLine="260"/>
        <w:jc w:val="both"/>
        <w:rPr>
          <w:sz w:val="17"/>
          <w:szCs w:val="17"/>
        </w:rPr>
      </w:pPr>
      <w:r>
        <w:rPr>
          <w:sz w:val="17"/>
          <w:szCs w:val="17"/>
        </w:rPr>
        <w:t xml:space="preserve">Pojistník se jako povinný subjekt tímto zavazuje k uveřejnění smlouvy v registru smluv, a to ve lhůtě 30 dní </w:t>
      </w:r>
      <w:r>
        <w:rPr>
          <w:sz w:val="17"/>
          <w:szCs w:val="17"/>
        </w:rPr>
        <w:t>od data uzavření smlouvy. Pojistník je povinen bezodkladně informovat pojistitele o zaslání smlouvy správci registru smluv zprávou do datové schránky ID: andcícx. Pojistník se dále zavazuje, že před zasláním smlouvy k uveřejnění zajistí znečitelnění neuveř</w:t>
      </w:r>
      <w:r>
        <w:rPr>
          <w:sz w:val="17"/>
          <w:szCs w:val="17"/>
        </w:rPr>
        <w:t>ejnitelných informací (např. osobních údajů o fyzických osobách).</w:t>
      </w:r>
    </w:p>
    <w:p w:rsidR="00FA60AD" w:rsidRDefault="005C7D70">
      <w:pPr>
        <w:pStyle w:val="Style2"/>
        <w:shd w:val="clear" w:color="auto" w:fill="auto"/>
        <w:spacing w:line="240" w:lineRule="auto"/>
        <w:ind w:firstLine="260"/>
        <w:jc w:val="both"/>
        <w:rPr>
          <w:sz w:val="17"/>
          <w:szCs w:val="17"/>
        </w:rPr>
      </w:pPr>
      <w:r>
        <w:rPr>
          <w:sz w:val="17"/>
          <w:szCs w:val="17"/>
        </w:rPr>
        <w:t>Pojistník bere na vědomí, že UNIQA je oprávněna smlouvu rovněž zveřejnit (aniž by tímto byla dotčena sjednaná povinnost pojistníka ke zveřejnění smlouvy). V případě, že smlouva bude uveřejně</w:t>
      </w:r>
      <w:r>
        <w:rPr>
          <w:sz w:val="17"/>
          <w:szCs w:val="17"/>
        </w:rPr>
        <w:t>na v registru smluv přímo UNIQA, pojistník výslovně prohlašuje, že nepovažuje toto uveřejnění za porušení povinnosti mlčenlivosti dle § 127 zákona č. 277/2009 Sb., o pojišťovnictví.</w:t>
      </w:r>
    </w:p>
    <w:p w:rsidR="00FA60AD" w:rsidRDefault="005C7D70">
      <w:pPr>
        <w:pStyle w:val="Style2"/>
        <w:shd w:val="clear" w:color="auto" w:fill="auto"/>
        <w:spacing w:line="240" w:lineRule="auto"/>
        <w:ind w:firstLine="260"/>
        <w:jc w:val="both"/>
        <w:rPr>
          <w:sz w:val="17"/>
          <w:szCs w:val="17"/>
        </w:rPr>
      </w:pPr>
      <w:r>
        <w:rPr>
          <w:sz w:val="17"/>
          <w:szCs w:val="17"/>
        </w:rPr>
        <w:t>Smluvní strany ujednávají, že veškeré vztahy upravené smlouvou a vzniklé m</w:t>
      </w:r>
      <w:r>
        <w:rPr>
          <w:sz w:val="17"/>
          <w:szCs w:val="17"/>
        </w:rPr>
        <w:t>ezi stranami od data vzniku pojištění, které bylo sjednáno touto smlouvou, do doby nabytí účinnosti této smlouvy, se této smlouvě podřizují s výjimkou případů, kdy pojistník v době nabytí účinnosti smlouvy věděl nebo vědět měl a mohl, že pojistná událost j</w:t>
      </w:r>
      <w:r>
        <w:rPr>
          <w:sz w:val="17"/>
          <w:szCs w:val="17"/>
        </w:rPr>
        <w:t>iž nastala.</w:t>
      </w:r>
    </w:p>
    <w:p w:rsidR="00FA60AD" w:rsidRDefault="005C7D70">
      <w:pPr>
        <w:pStyle w:val="Style2"/>
        <w:shd w:val="clear" w:color="auto" w:fill="auto"/>
        <w:spacing w:after="80" w:line="240" w:lineRule="auto"/>
        <w:ind w:firstLine="260"/>
        <w:jc w:val="both"/>
        <w:rPr>
          <w:sz w:val="17"/>
          <w:szCs w:val="17"/>
        </w:rPr>
        <w:sectPr w:rsidR="00FA60AD">
          <w:headerReference w:type="default" r:id="rId20"/>
          <w:footerReference w:type="default" r:id="rId21"/>
          <w:pgSz w:w="11909" w:h="16834"/>
          <w:pgMar w:top="1959" w:right="1232" w:bottom="2943" w:left="1556" w:header="0" w:footer="3" w:gutter="0"/>
          <w:cols w:space="720"/>
          <w:noEndnote/>
          <w:docGrid w:linePitch="360"/>
        </w:sectPr>
      </w:pPr>
      <w:r>
        <w:rPr>
          <w:sz w:val="17"/>
          <w:szCs w:val="17"/>
        </w:rPr>
        <w:t xml:space="preserve">Pojistník prohlašuje, že jeho pojistný zájem na pojištění majetku pojištěného/oprávněné osoby je dán uzavřenou Smlouvou o výpůjčce mezi pojistníkem a </w:t>
      </w:r>
      <w:r>
        <w:rPr>
          <w:sz w:val="17"/>
          <w:szCs w:val="17"/>
        </w:rPr>
        <w:t>pojištěným/oprávněnou osobou.</w:t>
      </w:r>
    </w:p>
    <w:p w:rsidR="00FA60AD" w:rsidRDefault="00FA60AD">
      <w:pPr>
        <w:spacing w:before="69" w:after="69" w:line="240" w:lineRule="exact"/>
        <w:rPr>
          <w:sz w:val="19"/>
          <w:szCs w:val="19"/>
        </w:rPr>
      </w:pPr>
    </w:p>
    <w:p w:rsidR="00FA60AD" w:rsidRDefault="00FA60AD">
      <w:pPr>
        <w:spacing w:line="1" w:lineRule="exact"/>
        <w:sectPr w:rsidR="00FA60AD">
          <w:pgSz w:w="11909" w:h="16834"/>
          <w:pgMar w:top="1775" w:right="1423" w:bottom="2193" w:left="1610" w:header="0" w:footer="3" w:gutter="0"/>
          <w:cols w:space="720"/>
          <w:noEndnote/>
          <w:docGrid w:linePitch="360"/>
        </w:sectPr>
      </w:pPr>
    </w:p>
    <w:p w:rsidR="00FA60AD" w:rsidRDefault="005C7D70">
      <w:pPr>
        <w:pStyle w:val="Style2"/>
        <w:framePr w:w="1219" w:h="250" w:wrap="none" w:vAnchor="text" w:hAnchor="page" w:x="1611" w:y="21"/>
        <w:shd w:val="clear" w:color="auto" w:fill="auto"/>
        <w:spacing w:line="240" w:lineRule="auto"/>
      </w:pPr>
      <w:r>
        <w:t>Za pojistníka:</w:t>
      </w:r>
    </w:p>
    <w:p w:rsidR="00FA60AD" w:rsidRDefault="00FA60AD">
      <w:pPr>
        <w:spacing w:after="249" w:line="1" w:lineRule="exact"/>
      </w:pPr>
    </w:p>
    <w:p w:rsidR="00FA60AD" w:rsidRDefault="00FA60AD">
      <w:pPr>
        <w:spacing w:line="1" w:lineRule="exact"/>
        <w:sectPr w:rsidR="00FA60AD">
          <w:type w:val="continuous"/>
          <w:pgSz w:w="11909" w:h="16834"/>
          <w:pgMar w:top="1775" w:right="1423" w:bottom="2193" w:left="1610" w:header="0" w:footer="3" w:gutter="0"/>
          <w:cols w:space="720"/>
          <w:noEndnote/>
          <w:docGrid w:linePitch="360"/>
        </w:sectPr>
      </w:pPr>
    </w:p>
    <w:p w:rsidR="00FA60AD" w:rsidRDefault="00FA60AD">
      <w:pPr>
        <w:spacing w:line="95" w:lineRule="exact"/>
        <w:rPr>
          <w:sz w:val="8"/>
          <w:szCs w:val="8"/>
        </w:rPr>
      </w:pPr>
    </w:p>
    <w:p w:rsidR="00FA60AD" w:rsidRDefault="00FA60AD">
      <w:pPr>
        <w:spacing w:line="1" w:lineRule="exact"/>
        <w:sectPr w:rsidR="00FA60AD">
          <w:type w:val="continuous"/>
          <w:pgSz w:w="11909" w:h="16834"/>
          <w:pgMar w:top="2199" w:right="0" w:bottom="2199" w:left="0" w:header="0" w:footer="3" w:gutter="0"/>
          <w:cols w:space="720"/>
          <w:noEndnote/>
          <w:docGrid w:linePitch="360"/>
        </w:sectPr>
      </w:pPr>
    </w:p>
    <w:p w:rsidR="00FA60AD" w:rsidRDefault="005C7D70">
      <w:pPr>
        <w:spacing w:line="1" w:lineRule="exact"/>
      </w:pPr>
      <w:r>
        <w:rPr>
          <w:noProof/>
        </w:rPr>
        <mc:AlternateContent>
          <mc:Choice Requires="wps">
            <w:drawing>
              <wp:anchor distT="0" distB="0" distL="114300" distR="114300" simplePos="0" relativeHeight="125829380" behindDoc="0" locked="0" layoutInCell="1" allowOverlap="1">
                <wp:simplePos x="0" y="0"/>
                <wp:positionH relativeFrom="page">
                  <wp:posOffset>1022350</wp:posOffset>
                </wp:positionH>
                <wp:positionV relativeFrom="paragraph">
                  <wp:posOffset>12700</wp:posOffset>
                </wp:positionV>
                <wp:extent cx="2172970" cy="158750"/>
                <wp:effectExtent l="0" t="0" r="0" b="0"/>
                <wp:wrapSquare wrapText="bothSides"/>
                <wp:docPr id="37" name="Shape 37"/>
                <wp:cNvGraphicFramePr/>
                <a:graphic xmlns:a="http://schemas.openxmlformats.org/drawingml/2006/main">
                  <a:graphicData uri="http://schemas.microsoft.com/office/word/2010/wordprocessingShape">
                    <wps:wsp>
                      <wps:cNvSpPr txBox="1"/>
                      <wps:spPr>
                        <a:xfrm>
                          <a:off x="0" y="0"/>
                          <a:ext cx="2172970" cy="158750"/>
                        </a:xfrm>
                        <a:prstGeom prst="rect">
                          <a:avLst/>
                        </a:prstGeom>
                        <a:noFill/>
                      </wps:spPr>
                      <wps:txbx>
                        <w:txbxContent>
                          <w:p w:rsidR="00FA60AD" w:rsidRDefault="005C7D70">
                            <w:pPr>
                              <w:pStyle w:val="Style2"/>
                              <w:shd w:val="clear" w:color="auto" w:fill="auto"/>
                              <w:spacing w:line="240" w:lineRule="auto"/>
                            </w:pPr>
                            <w:r>
                              <w:t>V Praze, dne ( viz elektronický podpis)</w:t>
                            </w:r>
                          </w:p>
                        </w:txbxContent>
                      </wps:txbx>
                      <wps:bodyPr lIns="0" tIns="0" rIns="0" bIns="0"/>
                    </wps:wsp>
                  </a:graphicData>
                </a:graphic>
              </wp:anchor>
            </w:drawing>
          </mc:Choice>
          <mc:Fallback>
            <w:pict>
              <v:shape id="_x0000_s1063" type="#_x0000_t202" style="position:absolute;margin-left:80.5pt;margin-top:1.pt;width:171.09999999999999pt;height:12.5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Praze, dne ( viz elektronický podpis)</w:t>
                      </w:r>
                    </w:p>
                  </w:txbxContent>
                </v:textbox>
                <w10:wrap type="square" anchorx="page"/>
              </v:shape>
            </w:pict>
          </mc:Fallback>
        </mc:AlternateContent>
      </w:r>
    </w:p>
    <w:p w:rsidR="00FF2E83" w:rsidRDefault="005C7D70" w:rsidP="00FF2E83">
      <w:pPr>
        <w:pStyle w:val="Style2"/>
        <w:shd w:val="clear" w:color="auto" w:fill="auto"/>
        <w:spacing w:after="100" w:line="240" w:lineRule="auto"/>
        <w:ind w:left="2124" w:firstLine="708"/>
      </w:pPr>
      <w:bookmarkStart w:id="69" w:name="_GoBack"/>
      <w:bookmarkEnd w:id="69"/>
      <w:r>
        <w:t>Pojistník</w:t>
      </w:r>
    </w:p>
    <w:p w:rsidR="00FA60AD" w:rsidRDefault="005C7D70">
      <w:pPr>
        <w:pStyle w:val="Style41"/>
        <w:shd w:val="clear" w:color="auto" w:fill="auto"/>
      </w:pPr>
      <w:r>
        <w:t>.</w:t>
      </w:r>
    </w:p>
    <w:p w:rsidR="00FA60AD" w:rsidRDefault="00FA60AD">
      <w:pPr>
        <w:pStyle w:val="Style41"/>
        <w:shd w:val="clear" w:color="auto" w:fill="auto"/>
      </w:pPr>
    </w:p>
    <w:sectPr w:rsidR="00FA60AD">
      <w:type w:val="continuous"/>
      <w:pgSz w:w="11909" w:h="16834"/>
      <w:pgMar w:top="2199" w:right="2344" w:bottom="2199" w:left="6751" w:header="0" w:footer="3" w:gutter="0"/>
      <w:cols w:num="2" w:space="10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7D70" w:rsidRDefault="005C7D70">
      <w:r>
        <w:separator/>
      </w:r>
    </w:p>
  </w:endnote>
  <w:endnote w:type="continuationSeparator" w:id="0">
    <w:p w:rsidR="005C7D70" w:rsidRDefault="005C7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60AD" w:rsidRDefault="005C7D70">
    <w:pPr>
      <w:spacing w:line="1" w:lineRule="exact"/>
    </w:pPr>
    <w:r>
      <w:rPr>
        <w:noProof/>
      </w:rPr>
      <mc:AlternateContent>
        <mc:Choice Requires="wps">
          <w:drawing>
            <wp:anchor distT="0" distB="0" distL="0" distR="0" simplePos="0" relativeHeight="62914694" behindDoc="1" locked="0" layoutInCell="1" allowOverlap="1">
              <wp:simplePos x="0" y="0"/>
              <wp:positionH relativeFrom="page">
                <wp:posOffset>6538595</wp:posOffset>
              </wp:positionH>
              <wp:positionV relativeFrom="page">
                <wp:posOffset>9384665</wp:posOffset>
              </wp:positionV>
              <wp:extent cx="121920" cy="91440"/>
              <wp:effectExtent l="0" t="0" r="0" b="0"/>
              <wp:wrapNone/>
              <wp:docPr id="5" name="Shape 5"/>
              <wp:cNvGraphicFramePr/>
              <a:graphic xmlns:a="http://schemas.openxmlformats.org/drawingml/2006/main">
                <a:graphicData uri="http://schemas.microsoft.com/office/word/2010/wordprocessingShape">
                  <wps:wsp>
                    <wps:cNvSpPr txBox="1"/>
                    <wps:spPr>
                      <a:xfrm>
                        <a:off x="0" y="0"/>
                        <a:ext cx="121920" cy="91440"/>
                      </a:xfrm>
                      <a:prstGeom prst="rect">
                        <a:avLst/>
                      </a:prstGeom>
                      <a:noFill/>
                    </wps:spPr>
                    <wps:txbx>
                      <w:txbxContent>
                        <w:p w:rsidR="00FA60AD" w:rsidRDefault="005C7D70">
                          <w:pPr>
                            <w:pStyle w:val="Style6"/>
                            <w:shd w:val="clear" w:color="auto" w:fill="auto"/>
                          </w:pPr>
                          <w:r>
                            <w:fldChar w:fldCharType="begin"/>
                          </w:r>
                          <w:r>
                            <w:instrText xml:space="preserve"> PAGE \* MERGEFORMAT </w:instrText>
                          </w:r>
                          <w:r>
                            <w:fldChar w:fldCharType="separate"/>
                          </w:r>
                          <w:r>
                            <w:t>#</w:t>
                          </w:r>
                          <w:r>
                            <w:fldChar w:fldCharType="end"/>
                          </w:r>
                        </w:p>
                      </w:txbxContent>
                    </wps:txbx>
                    <wps:bodyPr wrap="none" lIns="0" tIns="0" rIns="0" bIns="0">
                      <a:spAutoFit/>
                    </wps:bodyPr>
                  </wps:wsp>
                </a:graphicData>
              </a:graphic>
            </wp:anchor>
          </w:drawing>
        </mc:Choice>
        <mc:Fallback>
          <w:pict>
            <v:shape id="_x0000_s1031" type="#_x0000_t202" style="position:absolute;margin-left:514.85000000000002pt;margin-top:738.95000000000005pt;width:9.5999999999999996pt;height:7.2000000000000002pt;z-index:-188744059;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pPr>
                    <w:fldSimple w:instr=" PAGE \* MERGEFORMAT ">
                      <w:r>
                        <w:rPr>
                          <w:rFonts w:ascii="Times New Roman" w:eastAsia="Times New Roman" w:hAnsi="Times New Roman" w:cs="Times New Roman"/>
                          <w:color w:val="000000"/>
                          <w:spacing w:val="0"/>
                          <w:w w:val="100"/>
                          <w:position w:val="0"/>
                          <w:shd w:val="clear" w:color="auto" w:fill="auto"/>
                          <w:lang w:val="cs-CZ" w:eastAsia="cs-CZ" w:bidi="cs-CZ"/>
                        </w:rPr>
                        <w:t>#</w:t>
                      </w:r>
                    </w:fldSimple>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60AD" w:rsidRDefault="005C7D70">
    <w:pPr>
      <w:spacing w:line="1" w:lineRule="exact"/>
    </w:pPr>
    <w:r>
      <w:rPr>
        <w:noProof/>
      </w:rPr>
      <mc:AlternateContent>
        <mc:Choice Requires="wps">
          <w:drawing>
            <wp:anchor distT="0" distB="0" distL="0" distR="0" simplePos="0" relativeHeight="62914700" behindDoc="1" locked="0" layoutInCell="1" allowOverlap="1">
              <wp:simplePos x="0" y="0"/>
              <wp:positionH relativeFrom="page">
                <wp:posOffset>6627495</wp:posOffset>
              </wp:positionH>
              <wp:positionV relativeFrom="page">
                <wp:posOffset>9378950</wp:posOffset>
              </wp:positionV>
              <wp:extent cx="36830" cy="91440"/>
              <wp:effectExtent l="0" t="0" r="0" b="0"/>
              <wp:wrapNone/>
              <wp:docPr id="11" name="Shape 11"/>
              <wp:cNvGraphicFramePr/>
              <a:graphic xmlns:a="http://schemas.openxmlformats.org/drawingml/2006/main">
                <a:graphicData uri="http://schemas.microsoft.com/office/word/2010/wordprocessingShape">
                  <wps:wsp>
                    <wps:cNvSpPr txBox="1"/>
                    <wps:spPr>
                      <a:xfrm>
                        <a:off x="0" y="0"/>
                        <a:ext cx="36830" cy="91440"/>
                      </a:xfrm>
                      <a:prstGeom prst="rect">
                        <a:avLst/>
                      </a:prstGeom>
                      <a:noFill/>
                    </wps:spPr>
                    <wps:txbx>
                      <w:txbxContent>
                        <w:p w:rsidR="00FA60AD" w:rsidRDefault="005C7D70">
                          <w:pPr>
                            <w:pStyle w:val="Style6"/>
                            <w:shd w:val="clear" w:color="auto" w:fill="auto"/>
                            <w:rPr>
                              <w:sz w:val="18"/>
                              <w:szCs w:val="18"/>
                            </w:rPr>
                          </w:pPr>
                          <w:r>
                            <w:fldChar w:fldCharType="begin"/>
                          </w:r>
                          <w:r>
                            <w:instrText xml:space="preserve"> PAGE \* MERGEFORMAT </w:instrText>
                          </w:r>
                          <w:r>
                            <w:fldChar w:fldCharType="separate"/>
                          </w:r>
                          <w:r>
                            <w:rPr>
                              <w:rFonts w:ascii="Arial" w:eastAsia="Arial" w:hAnsi="Arial" w:cs="Arial"/>
                              <w:sz w:val="18"/>
                              <w:szCs w:val="18"/>
                            </w:rPr>
                            <w:t>#</w:t>
                          </w:r>
                          <w:r>
                            <w:rPr>
                              <w:rFonts w:ascii="Arial" w:eastAsia="Arial" w:hAnsi="Arial" w:cs="Arial"/>
                              <w:sz w:val="18"/>
                              <w:szCs w:val="18"/>
                            </w:rPr>
                            <w:fldChar w:fldCharType="end"/>
                          </w:r>
                        </w:p>
                      </w:txbxContent>
                    </wps:txbx>
                    <wps:bodyPr wrap="none" lIns="0" tIns="0" rIns="0" bIns="0">
                      <a:spAutoFit/>
                    </wps:bodyPr>
                  </wps:wsp>
                </a:graphicData>
              </a:graphic>
            </wp:anchor>
          </w:drawing>
        </mc:Choice>
        <mc:Fallback>
          <w:pict>
            <v:shape id="_x0000_s1037" type="#_x0000_t202" style="position:absolute;margin-left:521.85000000000002pt;margin-top:738.5pt;width:2.8999999999999999pt;height:7.2000000000000002pt;z-index:-18874405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60AD" w:rsidRDefault="005C7D70">
    <w:pPr>
      <w:spacing w:line="1" w:lineRule="exact"/>
    </w:pPr>
    <w:r>
      <w:rPr>
        <w:noProof/>
      </w:rPr>
      <mc:AlternateContent>
        <mc:Choice Requires="wps">
          <w:drawing>
            <wp:anchor distT="0" distB="0" distL="0" distR="0" simplePos="0" relativeHeight="62914706" behindDoc="1" locked="0" layoutInCell="1" allowOverlap="1">
              <wp:simplePos x="0" y="0"/>
              <wp:positionH relativeFrom="page">
                <wp:posOffset>6616700</wp:posOffset>
              </wp:positionH>
              <wp:positionV relativeFrom="page">
                <wp:posOffset>9391650</wp:posOffset>
              </wp:positionV>
              <wp:extent cx="64135" cy="91440"/>
              <wp:effectExtent l="0" t="0" r="0" b="0"/>
              <wp:wrapNone/>
              <wp:docPr id="19" name="Shape 19"/>
              <wp:cNvGraphicFramePr/>
              <a:graphic xmlns:a="http://schemas.openxmlformats.org/drawingml/2006/main">
                <a:graphicData uri="http://schemas.microsoft.com/office/word/2010/wordprocessingShape">
                  <wps:wsp>
                    <wps:cNvSpPr txBox="1"/>
                    <wps:spPr>
                      <a:xfrm>
                        <a:off x="0" y="0"/>
                        <a:ext cx="64135" cy="91440"/>
                      </a:xfrm>
                      <a:prstGeom prst="rect">
                        <a:avLst/>
                      </a:prstGeom>
                      <a:noFill/>
                    </wps:spPr>
                    <wps:txbx>
                      <w:txbxContent>
                        <w:p w:rsidR="00FA60AD" w:rsidRDefault="005C7D70">
                          <w:pPr>
                            <w:pStyle w:val="Style6"/>
                            <w:shd w:val="clear" w:color="auto" w:fill="auto"/>
                            <w:rPr>
                              <w:sz w:val="18"/>
                              <w:szCs w:val="18"/>
                            </w:rPr>
                          </w:pPr>
                          <w:r>
                            <w:fldChar w:fldCharType="begin"/>
                          </w:r>
                          <w:r>
                            <w:instrText xml:space="preserve"> PAGE \* MERGEFORMAT </w:instrText>
                          </w:r>
                          <w:r>
                            <w:fldChar w:fldCharType="separate"/>
                          </w:r>
                          <w:r>
                            <w:rPr>
                              <w:rFonts w:ascii="Arial" w:eastAsia="Arial" w:hAnsi="Arial" w:cs="Arial"/>
                              <w:sz w:val="18"/>
                              <w:szCs w:val="18"/>
                            </w:rPr>
                            <w:t>#</w:t>
                          </w:r>
                          <w:r>
                            <w:rPr>
                              <w:rFonts w:ascii="Arial" w:eastAsia="Arial" w:hAnsi="Arial" w:cs="Arial"/>
                              <w:sz w:val="18"/>
                              <w:szCs w:val="18"/>
                            </w:rPr>
                            <w:fldChar w:fldCharType="end"/>
                          </w:r>
                        </w:p>
                      </w:txbxContent>
                    </wps:txbx>
                    <wps:bodyPr wrap="none" lIns="0" tIns="0" rIns="0" bIns="0">
                      <a:spAutoFit/>
                    </wps:bodyPr>
                  </wps:wsp>
                </a:graphicData>
              </a:graphic>
            </wp:anchor>
          </w:drawing>
        </mc:Choice>
        <mc:Fallback>
          <w:pict>
            <v:shape id="_x0000_s1045" type="#_x0000_t202" style="position:absolute;margin-left:521.pt;margin-top:739.5pt;width:5.0499999999999998pt;height:7.2000000000000002pt;z-index:-188744047;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60AD" w:rsidRDefault="005C7D70">
    <w:pPr>
      <w:spacing w:line="1" w:lineRule="exact"/>
    </w:pPr>
    <w:r>
      <w:rPr>
        <w:noProof/>
      </w:rPr>
      <mc:AlternateContent>
        <mc:Choice Requires="wps">
          <w:drawing>
            <wp:anchor distT="0" distB="0" distL="0" distR="0" simplePos="0" relativeHeight="62914712" behindDoc="1" locked="0" layoutInCell="1" allowOverlap="1">
              <wp:simplePos x="0" y="0"/>
              <wp:positionH relativeFrom="page">
                <wp:posOffset>6538595</wp:posOffset>
              </wp:positionH>
              <wp:positionV relativeFrom="page">
                <wp:posOffset>9384665</wp:posOffset>
              </wp:positionV>
              <wp:extent cx="121920" cy="91440"/>
              <wp:effectExtent l="0" t="0" r="0" b="0"/>
              <wp:wrapNone/>
              <wp:docPr id="25" name="Shape 25"/>
              <wp:cNvGraphicFramePr/>
              <a:graphic xmlns:a="http://schemas.openxmlformats.org/drawingml/2006/main">
                <a:graphicData uri="http://schemas.microsoft.com/office/word/2010/wordprocessingShape">
                  <wps:wsp>
                    <wps:cNvSpPr txBox="1"/>
                    <wps:spPr>
                      <a:xfrm>
                        <a:off x="0" y="0"/>
                        <a:ext cx="121920" cy="91440"/>
                      </a:xfrm>
                      <a:prstGeom prst="rect">
                        <a:avLst/>
                      </a:prstGeom>
                      <a:noFill/>
                    </wps:spPr>
                    <wps:txbx>
                      <w:txbxContent>
                        <w:p w:rsidR="00FA60AD" w:rsidRDefault="005C7D70">
                          <w:pPr>
                            <w:pStyle w:val="Style6"/>
                            <w:shd w:val="clear" w:color="auto" w:fill="auto"/>
                          </w:pPr>
                          <w:r>
                            <w:fldChar w:fldCharType="begin"/>
                          </w:r>
                          <w:r>
                            <w:instrText xml:space="preserve"> PAGE \* MERGEFORMAT </w:instrText>
                          </w:r>
                          <w:r>
                            <w:fldChar w:fldCharType="separate"/>
                          </w:r>
                          <w:r>
                            <w:t>#</w:t>
                          </w:r>
                          <w:r>
                            <w:fldChar w:fldCharType="end"/>
                          </w:r>
                        </w:p>
                      </w:txbxContent>
                    </wps:txbx>
                    <wps:bodyPr wrap="none" lIns="0" tIns="0" rIns="0" bIns="0">
                      <a:spAutoFit/>
                    </wps:bodyPr>
                  </wps:wsp>
                </a:graphicData>
              </a:graphic>
            </wp:anchor>
          </w:drawing>
        </mc:Choice>
        <mc:Fallback>
          <w:pict>
            <v:shape id="_x0000_s1051" type="#_x0000_t202" style="position:absolute;margin-left:514.85000000000002pt;margin-top:738.95000000000005pt;width:9.5999999999999996pt;height:7.2000000000000002pt;z-index:-188744041;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pPr>
                    <w:fldSimple w:instr=" PAGE \* MERGEFORMAT ">
                      <w:r>
                        <w:rPr>
                          <w:rFonts w:ascii="Times New Roman" w:eastAsia="Times New Roman" w:hAnsi="Times New Roman" w:cs="Times New Roman"/>
                          <w:color w:val="000000"/>
                          <w:spacing w:val="0"/>
                          <w:w w:val="100"/>
                          <w:position w:val="0"/>
                          <w:shd w:val="clear" w:color="auto" w:fill="auto"/>
                          <w:lang w:val="cs-CZ" w:eastAsia="cs-CZ" w:bidi="cs-CZ"/>
                        </w:rPr>
                        <w:t>#</w:t>
                      </w:r>
                    </w:fldSimple>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60AD" w:rsidRDefault="005C7D70">
    <w:pPr>
      <w:spacing w:line="1" w:lineRule="exact"/>
    </w:pPr>
    <w:r>
      <w:rPr>
        <w:noProof/>
      </w:rPr>
      <mc:AlternateContent>
        <mc:Choice Requires="wps">
          <w:drawing>
            <wp:anchor distT="0" distB="0" distL="0" distR="0" simplePos="0" relativeHeight="62914716" behindDoc="1" locked="0" layoutInCell="1" allowOverlap="1">
              <wp:simplePos x="0" y="0"/>
              <wp:positionH relativeFrom="page">
                <wp:posOffset>6612255</wp:posOffset>
              </wp:positionH>
              <wp:positionV relativeFrom="page">
                <wp:posOffset>9372600</wp:posOffset>
              </wp:positionV>
              <wp:extent cx="57785" cy="91440"/>
              <wp:effectExtent l="0" t="0" r="0" b="0"/>
              <wp:wrapNone/>
              <wp:docPr id="29" name="Shape 29"/>
              <wp:cNvGraphicFramePr/>
              <a:graphic xmlns:a="http://schemas.openxmlformats.org/drawingml/2006/main">
                <a:graphicData uri="http://schemas.microsoft.com/office/word/2010/wordprocessingShape">
                  <wps:wsp>
                    <wps:cNvSpPr txBox="1"/>
                    <wps:spPr>
                      <a:xfrm>
                        <a:off x="0" y="0"/>
                        <a:ext cx="57785" cy="91440"/>
                      </a:xfrm>
                      <a:prstGeom prst="rect">
                        <a:avLst/>
                      </a:prstGeom>
                      <a:noFill/>
                    </wps:spPr>
                    <wps:txbx>
                      <w:txbxContent>
                        <w:p w:rsidR="00FA60AD" w:rsidRDefault="005C7D70">
                          <w:pPr>
                            <w:pStyle w:val="Style6"/>
                            <w:shd w:val="clear" w:color="auto" w:fill="auto"/>
                            <w:rPr>
                              <w:sz w:val="18"/>
                              <w:szCs w:val="18"/>
                            </w:rPr>
                          </w:pPr>
                          <w:r>
                            <w:fldChar w:fldCharType="begin"/>
                          </w:r>
                          <w:r>
                            <w:instrText xml:space="preserve"> PAGE \* MERGEFORMAT </w:instrText>
                          </w:r>
                          <w:r>
                            <w:fldChar w:fldCharType="separate"/>
                          </w:r>
                          <w:r>
                            <w:rPr>
                              <w:rFonts w:ascii="Arial" w:eastAsia="Arial" w:hAnsi="Arial" w:cs="Arial"/>
                              <w:sz w:val="18"/>
                              <w:szCs w:val="18"/>
                            </w:rPr>
                            <w:t>#</w:t>
                          </w:r>
                          <w:r>
                            <w:rPr>
                              <w:rFonts w:ascii="Arial" w:eastAsia="Arial" w:hAnsi="Arial" w:cs="Arial"/>
                              <w:sz w:val="18"/>
                              <w:szCs w:val="18"/>
                            </w:rPr>
                            <w:fldChar w:fldCharType="end"/>
                          </w:r>
                        </w:p>
                      </w:txbxContent>
                    </wps:txbx>
                    <wps:bodyPr wrap="none" lIns="0" tIns="0" rIns="0" bIns="0">
                      <a:spAutoFit/>
                    </wps:bodyPr>
                  </wps:wsp>
                </a:graphicData>
              </a:graphic>
            </wp:anchor>
          </w:drawing>
        </mc:Choice>
        <mc:Fallback>
          <w:pict>
            <v:shape id="_x0000_s1055" type="#_x0000_t202" style="position:absolute;margin-left:520.64999999999998pt;margin-top:738.pt;width:4.5499999999999998pt;height:7.2000000000000002pt;z-index:-188744037;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60AD" w:rsidRDefault="005C7D70">
    <w:pPr>
      <w:spacing w:line="1" w:lineRule="exact"/>
    </w:pPr>
    <w:r>
      <w:rPr>
        <w:noProof/>
      </w:rPr>
      <mc:AlternateContent>
        <mc:Choice Requires="wps">
          <w:drawing>
            <wp:anchor distT="0" distB="0" distL="0" distR="0" simplePos="0" relativeHeight="62914722" behindDoc="1" locked="0" layoutInCell="1" allowOverlap="1">
              <wp:simplePos x="0" y="0"/>
              <wp:positionH relativeFrom="page">
                <wp:posOffset>6538595</wp:posOffset>
              </wp:positionH>
              <wp:positionV relativeFrom="page">
                <wp:posOffset>9384665</wp:posOffset>
              </wp:positionV>
              <wp:extent cx="121920" cy="91440"/>
              <wp:effectExtent l="0" t="0" r="0" b="0"/>
              <wp:wrapNone/>
              <wp:docPr id="35" name="Shape 35"/>
              <wp:cNvGraphicFramePr/>
              <a:graphic xmlns:a="http://schemas.openxmlformats.org/drawingml/2006/main">
                <a:graphicData uri="http://schemas.microsoft.com/office/word/2010/wordprocessingShape">
                  <wps:wsp>
                    <wps:cNvSpPr txBox="1"/>
                    <wps:spPr>
                      <a:xfrm>
                        <a:off x="0" y="0"/>
                        <a:ext cx="121920" cy="91440"/>
                      </a:xfrm>
                      <a:prstGeom prst="rect">
                        <a:avLst/>
                      </a:prstGeom>
                      <a:noFill/>
                    </wps:spPr>
                    <wps:txbx>
                      <w:txbxContent>
                        <w:p w:rsidR="00FA60AD" w:rsidRDefault="005C7D70">
                          <w:pPr>
                            <w:pStyle w:val="Style6"/>
                            <w:shd w:val="clear" w:color="auto" w:fill="auto"/>
                          </w:pPr>
                          <w:r>
                            <w:fldChar w:fldCharType="begin"/>
                          </w:r>
                          <w:r>
                            <w:instrText xml:space="preserve"> PAGE \* MERGEFORMAT </w:instrText>
                          </w:r>
                          <w:r>
                            <w:fldChar w:fldCharType="separate"/>
                          </w:r>
                          <w:r>
                            <w:t>#</w:t>
                          </w:r>
                          <w:r>
                            <w:fldChar w:fldCharType="end"/>
                          </w:r>
                        </w:p>
                      </w:txbxContent>
                    </wps:txbx>
                    <wps:bodyPr wrap="none" lIns="0" tIns="0" rIns="0" bIns="0">
                      <a:spAutoFit/>
                    </wps:bodyPr>
                  </wps:wsp>
                </a:graphicData>
              </a:graphic>
            </wp:anchor>
          </w:drawing>
        </mc:Choice>
        <mc:Fallback>
          <w:pict>
            <v:shape id="_x0000_s1061" type="#_x0000_t202" style="position:absolute;margin-left:514.85000000000002pt;margin-top:738.95000000000005pt;width:9.5999999999999996pt;height:7.2000000000000002pt;z-index:-188744031;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pPr>
                    <w:fldSimple w:instr=" PAGE \* MERGEFORMAT ">
                      <w:r>
                        <w:rPr>
                          <w:rFonts w:ascii="Times New Roman" w:eastAsia="Times New Roman" w:hAnsi="Times New Roman" w:cs="Times New Roman"/>
                          <w:color w:val="000000"/>
                          <w:spacing w:val="0"/>
                          <w:w w:val="100"/>
                          <w:position w:val="0"/>
                          <w:shd w:val="clear" w:color="auto" w:fill="auto"/>
                          <w:lang w:val="cs-CZ" w:eastAsia="cs-CZ" w:bidi="cs-CZ"/>
                        </w:rPr>
                        <w:t>#</w:t>
                      </w:r>
                    </w:fldSimple>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7D70" w:rsidRDefault="005C7D70"/>
  </w:footnote>
  <w:footnote w:type="continuationSeparator" w:id="0">
    <w:p w:rsidR="005C7D70" w:rsidRDefault="005C7D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60AD" w:rsidRDefault="005C7D70">
    <w:pPr>
      <w:spacing w:line="1" w:lineRule="exact"/>
    </w:pPr>
    <w:r>
      <w:rPr>
        <w:noProof/>
      </w:rPr>
      <mc:AlternateContent>
        <mc:Choice Requires="wps">
          <w:drawing>
            <wp:anchor distT="0" distB="0" distL="0" distR="0" simplePos="0" relativeHeight="62914690" behindDoc="1" locked="0" layoutInCell="1" allowOverlap="1">
              <wp:simplePos x="0" y="0"/>
              <wp:positionH relativeFrom="page">
                <wp:posOffset>1374140</wp:posOffset>
              </wp:positionH>
              <wp:positionV relativeFrom="page">
                <wp:posOffset>855980</wp:posOffset>
              </wp:positionV>
              <wp:extent cx="374650" cy="91440"/>
              <wp:effectExtent l="0" t="0" r="0" b="0"/>
              <wp:wrapNone/>
              <wp:docPr id="1" name="Shape 1"/>
              <wp:cNvGraphicFramePr/>
              <a:graphic xmlns:a="http://schemas.openxmlformats.org/drawingml/2006/main">
                <a:graphicData uri="http://schemas.microsoft.com/office/word/2010/wordprocessingShape">
                  <wps:wsp>
                    <wps:cNvSpPr txBox="1"/>
                    <wps:spPr>
                      <a:xfrm>
                        <a:off x="0" y="0"/>
                        <a:ext cx="374650" cy="91440"/>
                      </a:xfrm>
                      <a:prstGeom prst="rect">
                        <a:avLst/>
                      </a:prstGeom>
                      <a:noFill/>
                    </wps:spPr>
                    <wps:txbx>
                      <w:txbxContent>
                        <w:p w:rsidR="00FA60AD" w:rsidRDefault="005C7D70">
                          <w:pPr>
                            <w:pStyle w:val="Style6"/>
                            <w:pBdr>
                              <w:top w:val="single" w:sz="0" w:space="0" w:color="000000"/>
                              <w:left w:val="single" w:sz="0" w:space="0" w:color="000000"/>
                              <w:bottom w:val="single" w:sz="0" w:space="0" w:color="000000"/>
                              <w:right w:val="single" w:sz="0" w:space="0" w:color="000000"/>
                            </w:pBdr>
                            <w:shd w:val="clear" w:color="auto" w:fill="000000"/>
                            <w:rPr>
                              <w:sz w:val="18"/>
                              <w:szCs w:val="18"/>
                            </w:rPr>
                          </w:pPr>
                          <w:r>
                            <w:rPr>
                              <w:rFonts w:ascii="Arial" w:eastAsia="Arial" w:hAnsi="Arial" w:cs="Arial"/>
                              <w:b/>
                              <w:bCs/>
                              <w:color w:val="FFFFFF"/>
                              <w:sz w:val="18"/>
                              <w:szCs w:val="18"/>
                              <w:lang w:val="en-US" w:eastAsia="en-US" w:bidi="en-US"/>
                            </w:rPr>
                            <w:t>UNIQA</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108.2pt;margin-top:67.400000000000006pt;width:29.5pt;height:7.2000000000000002pt;z-index:-18874406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left"/>
                      <w:rPr>
                        <w:sz w:val="18"/>
                        <w:szCs w:val="18"/>
                      </w:rPr>
                    </w:pPr>
                    <w:r>
                      <w:rPr>
                        <w:rFonts w:ascii="Arial" w:eastAsia="Arial" w:hAnsi="Arial" w:cs="Arial"/>
                        <w:b/>
                        <w:bCs/>
                        <w:color w:val="FFFFFF"/>
                        <w:spacing w:val="0"/>
                        <w:w w:val="100"/>
                        <w:position w:val="0"/>
                        <w:sz w:val="18"/>
                        <w:szCs w:val="18"/>
                        <w:shd w:val="clear" w:color="auto" w:fill="auto"/>
                        <w:lang w:val="en-US" w:eastAsia="en-US" w:bidi="en-US"/>
                      </w:rPr>
                      <w:t>UNIQA</w:t>
                    </w:r>
                  </w:p>
                </w:txbxContent>
              </v:textbox>
              <w10:wrap anchorx="page" anchory="page"/>
            </v:shape>
          </w:pict>
        </mc:Fallback>
      </mc:AlternateContent>
    </w:r>
    <w:r>
      <w:rPr>
        <w:noProof/>
      </w:rPr>
      <mc:AlternateContent>
        <mc:Choice Requires="wps">
          <w:drawing>
            <wp:anchor distT="0" distB="0" distL="0" distR="0" simplePos="0" relativeHeight="62914692" behindDoc="1" locked="0" layoutInCell="1" allowOverlap="1">
              <wp:simplePos x="0" y="0"/>
              <wp:positionH relativeFrom="page">
                <wp:posOffset>5583555</wp:posOffset>
              </wp:positionH>
              <wp:positionV relativeFrom="page">
                <wp:posOffset>941705</wp:posOffset>
              </wp:positionV>
              <wp:extent cx="1036320" cy="125095"/>
              <wp:effectExtent l="0" t="0" r="0" b="0"/>
              <wp:wrapNone/>
              <wp:docPr id="3" name="Shape 3"/>
              <wp:cNvGraphicFramePr/>
              <a:graphic xmlns:a="http://schemas.openxmlformats.org/drawingml/2006/main">
                <a:graphicData uri="http://schemas.microsoft.com/office/word/2010/wordprocessingShape">
                  <wps:wsp>
                    <wps:cNvSpPr txBox="1"/>
                    <wps:spPr>
                      <a:xfrm>
                        <a:off x="0" y="0"/>
                        <a:ext cx="1036320" cy="125095"/>
                      </a:xfrm>
                      <a:prstGeom prst="rect">
                        <a:avLst/>
                      </a:prstGeom>
                      <a:noFill/>
                    </wps:spPr>
                    <wps:txbx>
                      <w:txbxContent>
                        <w:p w:rsidR="00FA60AD" w:rsidRDefault="005C7D70">
                          <w:pPr>
                            <w:pStyle w:val="Style6"/>
                            <w:shd w:val="clear" w:color="auto" w:fill="auto"/>
                          </w:pPr>
                          <w:r>
                            <w:t xml:space="preserve">č.j. </w:t>
                          </w:r>
                          <w:r>
                            <w:rPr>
                              <w:lang w:val="en-US" w:eastAsia="en-US" w:bidi="en-US"/>
                            </w:rPr>
                            <w:t>2020/3945/NM</w:t>
                          </w:r>
                        </w:p>
                      </w:txbxContent>
                    </wps:txbx>
                    <wps:bodyPr wrap="none" lIns="0" tIns="0" rIns="0" bIns="0">
                      <a:spAutoFit/>
                    </wps:bodyPr>
                  </wps:wsp>
                </a:graphicData>
              </a:graphic>
            </wp:anchor>
          </w:drawing>
        </mc:Choice>
        <mc:Fallback>
          <w:pict>
            <v:shape id="_x0000_s1029" type="#_x0000_t202" style="position:absolute;margin-left:439.65000000000003pt;margin-top:74.150000000000006pt;width:81.600000000000009pt;height:9.8499999999999996pt;z-index:-188744061;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 xml:space="preserve">č.j. </w:t>
                    </w:r>
                    <w:r>
                      <w:rPr>
                        <w:rFonts w:ascii="Times New Roman" w:eastAsia="Times New Roman" w:hAnsi="Times New Roman" w:cs="Times New Roman"/>
                        <w:color w:val="000000"/>
                        <w:spacing w:val="0"/>
                        <w:w w:val="100"/>
                        <w:position w:val="0"/>
                        <w:shd w:val="clear" w:color="auto" w:fill="auto"/>
                        <w:lang w:val="en-US" w:eastAsia="en-US" w:bidi="en-US"/>
                      </w:rPr>
                      <w:t>2020/3945/NM</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60AD" w:rsidRDefault="005C7D70">
    <w:pPr>
      <w:spacing w:line="1" w:lineRule="exact"/>
    </w:pPr>
    <w:r>
      <w:rPr>
        <w:noProof/>
      </w:rPr>
      <mc:AlternateContent>
        <mc:Choice Requires="wps">
          <w:drawing>
            <wp:anchor distT="0" distB="0" distL="0" distR="0" simplePos="0" relativeHeight="62914696" behindDoc="1" locked="0" layoutInCell="1" allowOverlap="1">
              <wp:simplePos x="0" y="0"/>
              <wp:positionH relativeFrom="page">
                <wp:posOffset>1369695</wp:posOffset>
              </wp:positionH>
              <wp:positionV relativeFrom="page">
                <wp:posOffset>869315</wp:posOffset>
              </wp:positionV>
              <wp:extent cx="377825" cy="88265"/>
              <wp:effectExtent l="0" t="0" r="0" b="0"/>
              <wp:wrapNone/>
              <wp:docPr id="7" name="Shape 7"/>
              <wp:cNvGraphicFramePr/>
              <a:graphic xmlns:a="http://schemas.openxmlformats.org/drawingml/2006/main">
                <a:graphicData uri="http://schemas.microsoft.com/office/word/2010/wordprocessingShape">
                  <wps:wsp>
                    <wps:cNvSpPr txBox="1"/>
                    <wps:spPr>
                      <a:xfrm>
                        <a:off x="0" y="0"/>
                        <a:ext cx="377825" cy="88265"/>
                      </a:xfrm>
                      <a:prstGeom prst="rect">
                        <a:avLst/>
                      </a:prstGeom>
                      <a:noFill/>
                    </wps:spPr>
                    <wps:txbx>
                      <w:txbxContent>
                        <w:p w:rsidR="00FA60AD" w:rsidRDefault="005C7D70">
                          <w:pPr>
                            <w:pStyle w:val="Style6"/>
                            <w:pBdr>
                              <w:top w:val="single" w:sz="0" w:space="0" w:color="000000"/>
                              <w:left w:val="single" w:sz="0" w:space="0" w:color="000000"/>
                              <w:bottom w:val="single" w:sz="0" w:space="0" w:color="000000"/>
                              <w:right w:val="single" w:sz="0" w:space="0" w:color="000000"/>
                            </w:pBdr>
                            <w:shd w:val="clear" w:color="auto" w:fill="000000"/>
                            <w:rPr>
                              <w:sz w:val="18"/>
                              <w:szCs w:val="18"/>
                            </w:rPr>
                          </w:pPr>
                          <w:r>
                            <w:rPr>
                              <w:rFonts w:ascii="Arial" w:eastAsia="Arial" w:hAnsi="Arial" w:cs="Arial"/>
                              <w:b/>
                              <w:bCs/>
                              <w:color w:val="FFFFFF"/>
                              <w:sz w:val="18"/>
                              <w:szCs w:val="18"/>
                              <w:lang w:val="en-US" w:eastAsia="en-US" w:bidi="en-US"/>
                            </w:rPr>
                            <w:t>UNIQA</w:t>
                          </w:r>
                        </w:p>
                      </w:txbxContent>
                    </wps:txbx>
                    <wps:bodyPr wrap="none" lIns="0" tIns="0" rIns="0" bIns="0">
                      <a:spAutoFit/>
                    </wps:bodyPr>
                  </wps:wsp>
                </a:graphicData>
              </a:graphic>
            </wp:anchor>
          </w:drawing>
        </mc:Choice>
        <mc:Fallback>
          <w:pict>
            <v:shape id="_x0000_s1033" type="#_x0000_t202" style="position:absolute;margin-left:107.85000000000001pt;margin-top:68.450000000000003pt;width:29.75pt;height:6.9500000000000002pt;z-index:-188744057;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left"/>
                      <w:rPr>
                        <w:sz w:val="18"/>
                        <w:szCs w:val="18"/>
                      </w:rPr>
                    </w:pPr>
                    <w:r>
                      <w:rPr>
                        <w:rFonts w:ascii="Arial" w:eastAsia="Arial" w:hAnsi="Arial" w:cs="Arial"/>
                        <w:b/>
                        <w:bCs/>
                        <w:color w:val="FFFFFF"/>
                        <w:spacing w:val="0"/>
                        <w:w w:val="100"/>
                        <w:position w:val="0"/>
                        <w:sz w:val="18"/>
                        <w:szCs w:val="18"/>
                        <w:shd w:val="clear" w:color="auto" w:fill="auto"/>
                        <w:lang w:val="en-US" w:eastAsia="en-US" w:bidi="en-US"/>
                      </w:rPr>
                      <w:t>UNIQA</w:t>
                    </w:r>
                  </w:p>
                </w:txbxContent>
              </v:textbox>
              <w10:wrap anchorx="page" anchory="page"/>
            </v:shape>
          </w:pict>
        </mc:Fallback>
      </mc:AlternateContent>
    </w:r>
    <w:r>
      <w:rPr>
        <w:noProof/>
      </w:rPr>
      <mc:AlternateContent>
        <mc:Choice Requires="wps">
          <w:drawing>
            <wp:anchor distT="0" distB="0" distL="0" distR="0" simplePos="0" relativeHeight="62914698" behindDoc="1" locked="0" layoutInCell="1" allowOverlap="1">
              <wp:simplePos x="0" y="0"/>
              <wp:positionH relativeFrom="page">
                <wp:posOffset>5582285</wp:posOffset>
              </wp:positionH>
              <wp:positionV relativeFrom="page">
                <wp:posOffset>951230</wp:posOffset>
              </wp:positionV>
              <wp:extent cx="1036320" cy="125095"/>
              <wp:effectExtent l="0" t="0" r="0" b="0"/>
              <wp:wrapNone/>
              <wp:docPr id="9" name="Shape 9"/>
              <wp:cNvGraphicFramePr/>
              <a:graphic xmlns:a="http://schemas.openxmlformats.org/drawingml/2006/main">
                <a:graphicData uri="http://schemas.microsoft.com/office/word/2010/wordprocessingShape">
                  <wps:wsp>
                    <wps:cNvSpPr txBox="1"/>
                    <wps:spPr>
                      <a:xfrm>
                        <a:off x="0" y="0"/>
                        <a:ext cx="1036320" cy="125095"/>
                      </a:xfrm>
                      <a:prstGeom prst="rect">
                        <a:avLst/>
                      </a:prstGeom>
                      <a:noFill/>
                    </wps:spPr>
                    <wps:txbx>
                      <w:txbxContent>
                        <w:p w:rsidR="00FA60AD" w:rsidRDefault="005C7D70">
                          <w:pPr>
                            <w:pStyle w:val="Style6"/>
                            <w:shd w:val="clear" w:color="auto" w:fill="auto"/>
                          </w:pPr>
                          <w:r>
                            <w:t xml:space="preserve">č.j. </w:t>
                          </w:r>
                          <w:r>
                            <w:rPr>
                              <w:lang w:val="en-US" w:eastAsia="en-US" w:bidi="en-US"/>
                            </w:rPr>
                            <w:t>2020/3 945/NM</w:t>
                          </w:r>
                        </w:p>
                      </w:txbxContent>
                    </wps:txbx>
                    <wps:bodyPr wrap="none" lIns="0" tIns="0" rIns="0" bIns="0">
                      <a:spAutoFit/>
                    </wps:bodyPr>
                  </wps:wsp>
                </a:graphicData>
              </a:graphic>
            </wp:anchor>
          </w:drawing>
        </mc:Choice>
        <mc:Fallback>
          <w:pict>
            <v:shape id="_x0000_s1035" type="#_x0000_t202" style="position:absolute;margin-left:439.55000000000001pt;margin-top:74.900000000000006pt;width:81.600000000000009pt;height:9.8499999999999996pt;z-index:-188744055;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 xml:space="preserve">č.j. </w:t>
                    </w:r>
                    <w:r>
                      <w:rPr>
                        <w:rFonts w:ascii="Times New Roman" w:eastAsia="Times New Roman" w:hAnsi="Times New Roman" w:cs="Times New Roman"/>
                        <w:color w:val="000000"/>
                        <w:spacing w:val="0"/>
                        <w:w w:val="100"/>
                        <w:position w:val="0"/>
                        <w:shd w:val="clear" w:color="auto" w:fill="auto"/>
                        <w:lang w:val="en-US" w:eastAsia="en-US" w:bidi="en-US"/>
                      </w:rPr>
                      <w:t>2020/3 945/NM</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60AD" w:rsidRDefault="005C7D70">
    <w:pPr>
      <w:spacing w:line="1" w:lineRule="exact"/>
    </w:pPr>
    <w:r>
      <w:rPr>
        <w:noProof/>
      </w:rPr>
      <mc:AlternateContent>
        <mc:Choice Requires="wps">
          <w:drawing>
            <wp:anchor distT="0" distB="0" distL="0" distR="0" simplePos="0" relativeHeight="62914702" behindDoc="1" locked="0" layoutInCell="1" allowOverlap="1">
              <wp:simplePos x="0" y="0"/>
              <wp:positionH relativeFrom="page">
                <wp:posOffset>1370965</wp:posOffset>
              </wp:positionH>
              <wp:positionV relativeFrom="page">
                <wp:posOffset>661670</wp:posOffset>
              </wp:positionV>
              <wp:extent cx="374650" cy="295910"/>
              <wp:effectExtent l="0" t="0" r="0" b="0"/>
              <wp:wrapNone/>
              <wp:docPr id="15" name="Shape 15"/>
              <wp:cNvGraphicFramePr/>
              <a:graphic xmlns:a="http://schemas.openxmlformats.org/drawingml/2006/main">
                <a:graphicData uri="http://schemas.microsoft.com/office/word/2010/wordprocessingShape">
                  <wps:wsp>
                    <wps:cNvSpPr txBox="1"/>
                    <wps:spPr>
                      <a:xfrm>
                        <a:off x="0" y="0"/>
                        <a:ext cx="374650" cy="295910"/>
                      </a:xfrm>
                      <a:prstGeom prst="rect">
                        <a:avLst/>
                      </a:prstGeom>
                      <a:noFill/>
                    </wps:spPr>
                    <wps:txbx>
                      <w:txbxContent>
                        <w:p w:rsidR="00FA60AD" w:rsidRDefault="005C7D70">
                          <w:pPr>
                            <w:pStyle w:val="Style6"/>
                            <w:pBdr>
                              <w:top w:val="single" w:sz="0" w:space="0" w:color="000000"/>
                              <w:left w:val="single" w:sz="0" w:space="0" w:color="000000"/>
                              <w:bottom w:val="single" w:sz="0" w:space="0" w:color="000000"/>
                              <w:right w:val="single" w:sz="0" w:space="0" w:color="000000"/>
                            </w:pBdr>
                            <w:shd w:val="clear" w:color="auto" w:fill="000000"/>
                            <w:rPr>
                              <w:sz w:val="28"/>
                              <w:szCs w:val="28"/>
                            </w:rPr>
                          </w:pPr>
                          <w:r>
                            <w:rPr>
                              <w:rFonts w:ascii="Arial" w:eastAsia="Arial" w:hAnsi="Arial" w:cs="Arial"/>
                              <w:b/>
                              <w:bCs/>
                              <w:color w:val="FFFFFF"/>
                              <w:sz w:val="28"/>
                              <w:szCs w:val="28"/>
                            </w:rPr>
                            <w:t>ÁL</w:t>
                          </w:r>
                        </w:p>
                        <w:p w:rsidR="00FA60AD" w:rsidRDefault="005C7D70">
                          <w:pPr>
                            <w:pStyle w:val="Style6"/>
                            <w:pBdr>
                              <w:top w:val="single" w:sz="0" w:space="0" w:color="000000"/>
                              <w:left w:val="single" w:sz="0" w:space="0" w:color="000000"/>
                              <w:bottom w:val="single" w:sz="0" w:space="0" w:color="000000"/>
                              <w:right w:val="single" w:sz="0" w:space="0" w:color="000000"/>
                            </w:pBdr>
                            <w:shd w:val="clear" w:color="auto" w:fill="000000"/>
                            <w:rPr>
                              <w:sz w:val="18"/>
                              <w:szCs w:val="18"/>
                            </w:rPr>
                          </w:pPr>
                          <w:r>
                            <w:rPr>
                              <w:rFonts w:ascii="Arial" w:eastAsia="Arial" w:hAnsi="Arial" w:cs="Arial"/>
                              <w:b/>
                              <w:bCs/>
                              <w:color w:val="FFFFFF"/>
                              <w:sz w:val="18"/>
                              <w:szCs w:val="18"/>
                            </w:rPr>
                            <w:t>UNIQA</w:t>
                          </w:r>
                        </w:p>
                      </w:txbxContent>
                    </wps:txbx>
                    <wps:bodyPr wrap="none" lIns="0" tIns="0" rIns="0" bIns="0">
                      <a:spAutoFit/>
                    </wps:bodyPr>
                  </wps:wsp>
                </a:graphicData>
              </a:graphic>
            </wp:anchor>
          </w:drawing>
        </mc:Choice>
        <mc:Fallback>
          <w:pict>
            <v:shape id="_x0000_s1041" type="#_x0000_t202" style="position:absolute;margin-left:107.95pt;margin-top:52.100000000000001pt;width:29.5pt;height:23.300000000000001pt;z-index:-188744051;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left"/>
                      <w:rPr>
                        <w:sz w:val="28"/>
                        <w:szCs w:val="28"/>
                      </w:rPr>
                    </w:pPr>
                    <w:r>
                      <w:rPr>
                        <w:rFonts w:ascii="Arial" w:eastAsia="Arial" w:hAnsi="Arial" w:cs="Arial"/>
                        <w:b/>
                        <w:bCs/>
                        <w:color w:val="FFFFFF"/>
                        <w:spacing w:val="0"/>
                        <w:w w:val="100"/>
                        <w:position w:val="0"/>
                        <w:sz w:val="28"/>
                        <w:szCs w:val="28"/>
                        <w:shd w:val="clear" w:color="auto" w:fill="auto"/>
                        <w:lang w:val="cs-CZ" w:eastAsia="cs-CZ" w:bidi="cs-CZ"/>
                      </w:rPr>
                      <w:t>ÁL</w:t>
                    </w:r>
                  </w:p>
                  <w:p>
                    <w:pPr>
                      <w:pStyle w:val="Style6"/>
                      <w:keepNext w:val="0"/>
                      <w:keepLines w:val="0"/>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left"/>
                      <w:rPr>
                        <w:sz w:val="18"/>
                        <w:szCs w:val="18"/>
                      </w:rPr>
                    </w:pPr>
                    <w:r>
                      <w:rPr>
                        <w:rFonts w:ascii="Arial" w:eastAsia="Arial" w:hAnsi="Arial" w:cs="Arial"/>
                        <w:b/>
                        <w:bCs/>
                        <w:color w:val="FFFFFF"/>
                        <w:spacing w:val="0"/>
                        <w:w w:val="100"/>
                        <w:position w:val="0"/>
                        <w:sz w:val="18"/>
                        <w:szCs w:val="18"/>
                        <w:shd w:val="clear" w:color="auto" w:fill="auto"/>
                        <w:lang w:val="cs-CZ" w:eastAsia="cs-CZ" w:bidi="cs-CZ"/>
                      </w:rPr>
                      <w:t>UNIQA</w:t>
                    </w:r>
                  </w:p>
                </w:txbxContent>
              </v:textbox>
              <w10:wrap anchorx="page" anchory="page"/>
            </v:shape>
          </w:pict>
        </mc:Fallback>
      </mc:AlternateContent>
    </w:r>
    <w:r>
      <w:rPr>
        <w:noProof/>
      </w:rPr>
      <mc:AlternateContent>
        <mc:Choice Requires="wps">
          <w:drawing>
            <wp:anchor distT="0" distB="0" distL="0" distR="0" simplePos="0" relativeHeight="62914704" behindDoc="1" locked="0" layoutInCell="1" allowOverlap="1">
              <wp:simplePos x="0" y="0"/>
              <wp:positionH relativeFrom="page">
                <wp:posOffset>5580380</wp:posOffset>
              </wp:positionH>
              <wp:positionV relativeFrom="page">
                <wp:posOffset>948690</wp:posOffset>
              </wp:positionV>
              <wp:extent cx="1036320" cy="128270"/>
              <wp:effectExtent l="0" t="0" r="0" b="0"/>
              <wp:wrapNone/>
              <wp:docPr id="17" name="Shape 17"/>
              <wp:cNvGraphicFramePr/>
              <a:graphic xmlns:a="http://schemas.openxmlformats.org/drawingml/2006/main">
                <a:graphicData uri="http://schemas.microsoft.com/office/word/2010/wordprocessingShape">
                  <wps:wsp>
                    <wps:cNvSpPr txBox="1"/>
                    <wps:spPr>
                      <a:xfrm>
                        <a:off x="0" y="0"/>
                        <a:ext cx="1036320" cy="128270"/>
                      </a:xfrm>
                      <a:prstGeom prst="rect">
                        <a:avLst/>
                      </a:prstGeom>
                      <a:noFill/>
                    </wps:spPr>
                    <wps:txbx>
                      <w:txbxContent>
                        <w:p w:rsidR="00FA60AD" w:rsidRDefault="005C7D70">
                          <w:pPr>
                            <w:pStyle w:val="Style6"/>
                            <w:shd w:val="clear" w:color="auto" w:fill="auto"/>
                          </w:pPr>
                          <w:r>
                            <w:t>Č.j. 2020/3945/NM</w:t>
                          </w:r>
                        </w:p>
                      </w:txbxContent>
                    </wps:txbx>
                    <wps:bodyPr wrap="none" lIns="0" tIns="0" rIns="0" bIns="0">
                      <a:spAutoFit/>
                    </wps:bodyPr>
                  </wps:wsp>
                </a:graphicData>
              </a:graphic>
            </wp:anchor>
          </w:drawing>
        </mc:Choice>
        <mc:Fallback>
          <w:pict>
            <v:shape id="_x0000_s1043" type="#_x0000_t202" style="position:absolute;margin-left:439.40000000000003pt;margin-top:74.700000000000003pt;width:81.600000000000009pt;height:10.1pt;z-index:-188744049;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Č.j. 2020/3945/NM</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60AD" w:rsidRDefault="005C7D70">
    <w:pPr>
      <w:spacing w:line="1" w:lineRule="exact"/>
    </w:pPr>
    <w:r>
      <w:rPr>
        <w:noProof/>
      </w:rPr>
      <mc:AlternateContent>
        <mc:Choice Requires="wps">
          <w:drawing>
            <wp:anchor distT="0" distB="0" distL="0" distR="0" simplePos="0" relativeHeight="62914708" behindDoc="1" locked="0" layoutInCell="1" allowOverlap="1">
              <wp:simplePos x="0" y="0"/>
              <wp:positionH relativeFrom="page">
                <wp:posOffset>1374140</wp:posOffset>
              </wp:positionH>
              <wp:positionV relativeFrom="page">
                <wp:posOffset>855980</wp:posOffset>
              </wp:positionV>
              <wp:extent cx="374650" cy="91440"/>
              <wp:effectExtent l="0" t="0" r="0" b="0"/>
              <wp:wrapNone/>
              <wp:docPr id="21" name="Shape 21"/>
              <wp:cNvGraphicFramePr/>
              <a:graphic xmlns:a="http://schemas.openxmlformats.org/drawingml/2006/main">
                <a:graphicData uri="http://schemas.microsoft.com/office/word/2010/wordprocessingShape">
                  <wps:wsp>
                    <wps:cNvSpPr txBox="1"/>
                    <wps:spPr>
                      <a:xfrm>
                        <a:off x="0" y="0"/>
                        <a:ext cx="374650" cy="91440"/>
                      </a:xfrm>
                      <a:prstGeom prst="rect">
                        <a:avLst/>
                      </a:prstGeom>
                      <a:noFill/>
                    </wps:spPr>
                    <wps:txbx>
                      <w:txbxContent>
                        <w:p w:rsidR="00FA60AD" w:rsidRDefault="005C7D70">
                          <w:pPr>
                            <w:pStyle w:val="Style6"/>
                            <w:pBdr>
                              <w:top w:val="single" w:sz="0" w:space="0" w:color="000000"/>
                              <w:left w:val="single" w:sz="0" w:space="0" w:color="000000"/>
                              <w:bottom w:val="single" w:sz="0" w:space="0" w:color="000000"/>
                              <w:right w:val="single" w:sz="0" w:space="0" w:color="000000"/>
                            </w:pBdr>
                            <w:shd w:val="clear" w:color="auto" w:fill="000000"/>
                            <w:rPr>
                              <w:sz w:val="18"/>
                              <w:szCs w:val="18"/>
                            </w:rPr>
                          </w:pPr>
                          <w:r>
                            <w:rPr>
                              <w:rFonts w:ascii="Arial" w:eastAsia="Arial" w:hAnsi="Arial" w:cs="Arial"/>
                              <w:b/>
                              <w:bCs/>
                              <w:color w:val="FFFFFF"/>
                              <w:sz w:val="18"/>
                              <w:szCs w:val="18"/>
                              <w:lang w:val="en-US" w:eastAsia="en-US" w:bidi="en-US"/>
                            </w:rPr>
                            <w:t>UNIQA</w:t>
                          </w:r>
                        </w:p>
                      </w:txbxContent>
                    </wps:txbx>
                    <wps:bodyPr wrap="none" lIns="0" tIns="0" rIns="0" bIns="0">
                      <a:spAutoFit/>
                    </wps:bodyPr>
                  </wps:wsp>
                </a:graphicData>
              </a:graphic>
            </wp:anchor>
          </w:drawing>
        </mc:Choice>
        <mc:Fallback>
          <w:pict>
            <v:shape id="_x0000_s1047" type="#_x0000_t202" style="position:absolute;margin-left:108.2pt;margin-top:67.400000000000006pt;width:29.5pt;height:7.2000000000000002pt;z-index:-188744045;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left"/>
                      <w:rPr>
                        <w:sz w:val="18"/>
                        <w:szCs w:val="18"/>
                      </w:rPr>
                    </w:pPr>
                    <w:r>
                      <w:rPr>
                        <w:rFonts w:ascii="Arial" w:eastAsia="Arial" w:hAnsi="Arial" w:cs="Arial"/>
                        <w:b/>
                        <w:bCs/>
                        <w:color w:val="FFFFFF"/>
                        <w:spacing w:val="0"/>
                        <w:w w:val="100"/>
                        <w:position w:val="0"/>
                        <w:sz w:val="18"/>
                        <w:szCs w:val="18"/>
                        <w:shd w:val="clear" w:color="auto" w:fill="auto"/>
                        <w:lang w:val="en-US" w:eastAsia="en-US" w:bidi="en-US"/>
                      </w:rPr>
                      <w:t>UNIQA</w:t>
                    </w:r>
                  </w:p>
                </w:txbxContent>
              </v:textbox>
              <w10:wrap anchorx="page" anchory="page"/>
            </v:shape>
          </w:pict>
        </mc:Fallback>
      </mc:AlternateContent>
    </w:r>
    <w:r>
      <w:rPr>
        <w:noProof/>
      </w:rPr>
      <mc:AlternateContent>
        <mc:Choice Requires="wps">
          <w:drawing>
            <wp:anchor distT="0" distB="0" distL="0" distR="0" simplePos="0" relativeHeight="62914710" behindDoc="1" locked="0" layoutInCell="1" allowOverlap="1">
              <wp:simplePos x="0" y="0"/>
              <wp:positionH relativeFrom="page">
                <wp:posOffset>5583555</wp:posOffset>
              </wp:positionH>
              <wp:positionV relativeFrom="page">
                <wp:posOffset>941705</wp:posOffset>
              </wp:positionV>
              <wp:extent cx="1036320" cy="125095"/>
              <wp:effectExtent l="0" t="0" r="0" b="0"/>
              <wp:wrapNone/>
              <wp:docPr id="23" name="Shape 23"/>
              <wp:cNvGraphicFramePr/>
              <a:graphic xmlns:a="http://schemas.openxmlformats.org/drawingml/2006/main">
                <a:graphicData uri="http://schemas.microsoft.com/office/word/2010/wordprocessingShape">
                  <wps:wsp>
                    <wps:cNvSpPr txBox="1"/>
                    <wps:spPr>
                      <a:xfrm>
                        <a:off x="0" y="0"/>
                        <a:ext cx="1036320" cy="125095"/>
                      </a:xfrm>
                      <a:prstGeom prst="rect">
                        <a:avLst/>
                      </a:prstGeom>
                      <a:noFill/>
                    </wps:spPr>
                    <wps:txbx>
                      <w:txbxContent>
                        <w:p w:rsidR="00FA60AD" w:rsidRDefault="005C7D70">
                          <w:pPr>
                            <w:pStyle w:val="Style6"/>
                            <w:shd w:val="clear" w:color="auto" w:fill="auto"/>
                          </w:pPr>
                          <w:r>
                            <w:t xml:space="preserve">č.j. </w:t>
                          </w:r>
                          <w:r>
                            <w:rPr>
                              <w:lang w:val="en-US" w:eastAsia="en-US" w:bidi="en-US"/>
                            </w:rPr>
                            <w:t>2020/3945/NM</w:t>
                          </w:r>
                        </w:p>
                      </w:txbxContent>
                    </wps:txbx>
                    <wps:bodyPr wrap="none" lIns="0" tIns="0" rIns="0" bIns="0">
                      <a:spAutoFit/>
                    </wps:bodyPr>
                  </wps:wsp>
                </a:graphicData>
              </a:graphic>
            </wp:anchor>
          </w:drawing>
        </mc:Choice>
        <mc:Fallback>
          <w:pict>
            <v:shape id="_x0000_s1049" type="#_x0000_t202" style="position:absolute;margin-left:439.65000000000003pt;margin-top:74.150000000000006pt;width:81.600000000000009pt;height:9.8499999999999996pt;z-index:-18874404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 xml:space="preserve">č.j. </w:t>
                    </w:r>
                    <w:r>
                      <w:rPr>
                        <w:rFonts w:ascii="Times New Roman" w:eastAsia="Times New Roman" w:hAnsi="Times New Roman" w:cs="Times New Roman"/>
                        <w:color w:val="000000"/>
                        <w:spacing w:val="0"/>
                        <w:w w:val="100"/>
                        <w:position w:val="0"/>
                        <w:shd w:val="clear" w:color="auto" w:fill="auto"/>
                        <w:lang w:val="en-US" w:eastAsia="en-US" w:bidi="en-US"/>
                      </w:rPr>
                      <w:t>2020/3945/NM</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60AD" w:rsidRDefault="005C7D70">
    <w:pPr>
      <w:spacing w:line="1" w:lineRule="exact"/>
    </w:pPr>
    <w:r>
      <w:rPr>
        <w:noProof/>
      </w:rPr>
      <mc:AlternateContent>
        <mc:Choice Requires="wps">
          <w:drawing>
            <wp:anchor distT="0" distB="0" distL="0" distR="0" simplePos="0" relativeHeight="62914714" behindDoc="1" locked="0" layoutInCell="1" allowOverlap="1">
              <wp:simplePos x="0" y="0"/>
              <wp:positionH relativeFrom="page">
                <wp:posOffset>5575935</wp:posOffset>
              </wp:positionH>
              <wp:positionV relativeFrom="page">
                <wp:posOffset>948055</wp:posOffset>
              </wp:positionV>
              <wp:extent cx="1039495" cy="128270"/>
              <wp:effectExtent l="0" t="0" r="0" b="0"/>
              <wp:wrapNone/>
              <wp:docPr id="27" name="Shape 27"/>
              <wp:cNvGraphicFramePr/>
              <a:graphic xmlns:a="http://schemas.openxmlformats.org/drawingml/2006/main">
                <a:graphicData uri="http://schemas.microsoft.com/office/word/2010/wordprocessingShape">
                  <wps:wsp>
                    <wps:cNvSpPr txBox="1"/>
                    <wps:spPr>
                      <a:xfrm>
                        <a:off x="0" y="0"/>
                        <a:ext cx="1039495" cy="128270"/>
                      </a:xfrm>
                      <a:prstGeom prst="rect">
                        <a:avLst/>
                      </a:prstGeom>
                      <a:noFill/>
                    </wps:spPr>
                    <wps:txbx>
                      <w:txbxContent>
                        <w:p w:rsidR="00FA60AD" w:rsidRDefault="005C7D70">
                          <w:pPr>
                            <w:pStyle w:val="Style6"/>
                            <w:shd w:val="clear" w:color="auto" w:fill="auto"/>
                          </w:pPr>
                          <w:r>
                            <w:t>č.j. 2020/3945</w:t>
                          </w:r>
                          <w:r>
                            <w:t>/NM</w:t>
                          </w:r>
                        </w:p>
                      </w:txbxContent>
                    </wps:txbx>
                    <wps:bodyPr wrap="none" lIns="0" tIns="0" rIns="0" bIns="0">
                      <a:spAutoFit/>
                    </wps:bodyPr>
                  </wps:wsp>
                </a:graphicData>
              </a:graphic>
            </wp:anchor>
          </w:drawing>
        </mc:Choice>
        <mc:Fallback>
          <w:pict>
            <v:shape id="_x0000_s1053" type="#_x0000_t202" style="position:absolute;margin-left:439.05000000000001pt;margin-top:74.650000000000006pt;width:81.850000000000009pt;height:10.1pt;z-index:-188744039;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č.j. 2020/3945/NM</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60AD" w:rsidRDefault="005C7D70">
    <w:pPr>
      <w:spacing w:line="1" w:lineRule="exact"/>
    </w:pPr>
    <w:r>
      <w:rPr>
        <w:noProof/>
      </w:rPr>
      <mc:AlternateContent>
        <mc:Choice Requires="wps">
          <w:drawing>
            <wp:anchor distT="0" distB="0" distL="0" distR="0" simplePos="0" relativeHeight="62914718" behindDoc="1" locked="0" layoutInCell="1" allowOverlap="1">
              <wp:simplePos x="0" y="0"/>
              <wp:positionH relativeFrom="page">
                <wp:posOffset>1374140</wp:posOffset>
              </wp:positionH>
              <wp:positionV relativeFrom="page">
                <wp:posOffset>855980</wp:posOffset>
              </wp:positionV>
              <wp:extent cx="374650" cy="91440"/>
              <wp:effectExtent l="0" t="0" r="0" b="0"/>
              <wp:wrapNone/>
              <wp:docPr id="31" name="Shape 31"/>
              <wp:cNvGraphicFramePr/>
              <a:graphic xmlns:a="http://schemas.openxmlformats.org/drawingml/2006/main">
                <a:graphicData uri="http://schemas.microsoft.com/office/word/2010/wordprocessingShape">
                  <wps:wsp>
                    <wps:cNvSpPr txBox="1"/>
                    <wps:spPr>
                      <a:xfrm>
                        <a:off x="0" y="0"/>
                        <a:ext cx="374650" cy="91440"/>
                      </a:xfrm>
                      <a:prstGeom prst="rect">
                        <a:avLst/>
                      </a:prstGeom>
                      <a:noFill/>
                    </wps:spPr>
                    <wps:txbx>
                      <w:txbxContent>
                        <w:p w:rsidR="00FA60AD" w:rsidRDefault="005C7D70">
                          <w:pPr>
                            <w:pStyle w:val="Style6"/>
                            <w:pBdr>
                              <w:top w:val="single" w:sz="0" w:space="0" w:color="000000"/>
                              <w:left w:val="single" w:sz="0" w:space="0" w:color="000000"/>
                              <w:bottom w:val="single" w:sz="0" w:space="0" w:color="000000"/>
                              <w:right w:val="single" w:sz="0" w:space="0" w:color="000000"/>
                            </w:pBdr>
                            <w:shd w:val="clear" w:color="auto" w:fill="000000"/>
                            <w:rPr>
                              <w:sz w:val="18"/>
                              <w:szCs w:val="18"/>
                            </w:rPr>
                          </w:pPr>
                          <w:r>
                            <w:rPr>
                              <w:rFonts w:ascii="Arial" w:eastAsia="Arial" w:hAnsi="Arial" w:cs="Arial"/>
                              <w:b/>
                              <w:bCs/>
                              <w:color w:val="FFFFFF"/>
                              <w:sz w:val="18"/>
                              <w:szCs w:val="18"/>
                              <w:lang w:val="en-US" w:eastAsia="en-US" w:bidi="en-US"/>
                            </w:rPr>
                            <w:t>UNIQA</w:t>
                          </w:r>
                        </w:p>
                      </w:txbxContent>
                    </wps:txbx>
                    <wps:bodyPr wrap="none" lIns="0" tIns="0" rIns="0" bIns="0">
                      <a:spAutoFit/>
                    </wps:bodyPr>
                  </wps:wsp>
                </a:graphicData>
              </a:graphic>
            </wp:anchor>
          </w:drawing>
        </mc:Choice>
        <mc:Fallback>
          <w:pict>
            <v:shape id="_x0000_s1057" type="#_x0000_t202" style="position:absolute;margin-left:108.2pt;margin-top:67.400000000000006pt;width:29.5pt;height:7.2000000000000002pt;z-index:-188744035;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left"/>
                      <w:rPr>
                        <w:sz w:val="18"/>
                        <w:szCs w:val="18"/>
                      </w:rPr>
                    </w:pPr>
                    <w:r>
                      <w:rPr>
                        <w:rFonts w:ascii="Arial" w:eastAsia="Arial" w:hAnsi="Arial" w:cs="Arial"/>
                        <w:b/>
                        <w:bCs/>
                        <w:color w:val="FFFFFF"/>
                        <w:spacing w:val="0"/>
                        <w:w w:val="100"/>
                        <w:position w:val="0"/>
                        <w:sz w:val="18"/>
                        <w:szCs w:val="18"/>
                        <w:shd w:val="clear" w:color="auto" w:fill="auto"/>
                        <w:lang w:val="en-US" w:eastAsia="en-US" w:bidi="en-US"/>
                      </w:rPr>
                      <w:t>UNIQA</w:t>
                    </w:r>
                  </w:p>
                </w:txbxContent>
              </v:textbox>
              <w10:wrap anchorx="page" anchory="page"/>
            </v:shape>
          </w:pict>
        </mc:Fallback>
      </mc:AlternateContent>
    </w:r>
    <w:r>
      <w:rPr>
        <w:noProof/>
      </w:rPr>
      <mc:AlternateContent>
        <mc:Choice Requires="wps">
          <w:drawing>
            <wp:anchor distT="0" distB="0" distL="0" distR="0" simplePos="0" relativeHeight="62914720" behindDoc="1" locked="0" layoutInCell="1" allowOverlap="1">
              <wp:simplePos x="0" y="0"/>
              <wp:positionH relativeFrom="page">
                <wp:posOffset>5583555</wp:posOffset>
              </wp:positionH>
              <wp:positionV relativeFrom="page">
                <wp:posOffset>941705</wp:posOffset>
              </wp:positionV>
              <wp:extent cx="1036320" cy="125095"/>
              <wp:effectExtent l="0" t="0" r="0" b="0"/>
              <wp:wrapNone/>
              <wp:docPr id="33" name="Shape 33"/>
              <wp:cNvGraphicFramePr/>
              <a:graphic xmlns:a="http://schemas.openxmlformats.org/drawingml/2006/main">
                <a:graphicData uri="http://schemas.microsoft.com/office/word/2010/wordprocessingShape">
                  <wps:wsp>
                    <wps:cNvSpPr txBox="1"/>
                    <wps:spPr>
                      <a:xfrm>
                        <a:off x="0" y="0"/>
                        <a:ext cx="1036320" cy="125095"/>
                      </a:xfrm>
                      <a:prstGeom prst="rect">
                        <a:avLst/>
                      </a:prstGeom>
                      <a:noFill/>
                    </wps:spPr>
                    <wps:txbx>
                      <w:txbxContent>
                        <w:p w:rsidR="00FA60AD" w:rsidRDefault="005C7D70">
                          <w:pPr>
                            <w:pStyle w:val="Style6"/>
                            <w:shd w:val="clear" w:color="auto" w:fill="auto"/>
                          </w:pPr>
                          <w:r>
                            <w:t xml:space="preserve">č.j. </w:t>
                          </w:r>
                          <w:r>
                            <w:rPr>
                              <w:lang w:val="en-US" w:eastAsia="en-US" w:bidi="en-US"/>
                            </w:rPr>
                            <w:t>2020/3945/NM</w:t>
                          </w:r>
                        </w:p>
                      </w:txbxContent>
                    </wps:txbx>
                    <wps:bodyPr wrap="none" lIns="0" tIns="0" rIns="0" bIns="0">
                      <a:spAutoFit/>
                    </wps:bodyPr>
                  </wps:wsp>
                </a:graphicData>
              </a:graphic>
            </wp:anchor>
          </w:drawing>
        </mc:Choice>
        <mc:Fallback>
          <w:pict>
            <v:shape id="_x0000_s1059" type="#_x0000_t202" style="position:absolute;margin-left:439.65000000000003pt;margin-top:74.150000000000006pt;width:81.600000000000009pt;height:9.8499999999999996pt;z-index:-18874403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 xml:space="preserve">č.j. </w:t>
                    </w:r>
                    <w:r>
                      <w:rPr>
                        <w:rFonts w:ascii="Times New Roman" w:eastAsia="Times New Roman" w:hAnsi="Times New Roman" w:cs="Times New Roman"/>
                        <w:color w:val="000000"/>
                        <w:spacing w:val="0"/>
                        <w:w w:val="100"/>
                        <w:position w:val="0"/>
                        <w:shd w:val="clear" w:color="auto" w:fill="auto"/>
                        <w:lang w:val="en-US" w:eastAsia="en-US" w:bidi="en-US"/>
                      </w:rPr>
                      <w:t>2020/3945/NM</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B6DFC"/>
    <w:multiLevelType w:val="multilevel"/>
    <w:tmpl w:val="40BE2E2A"/>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71C22B9"/>
    <w:multiLevelType w:val="multilevel"/>
    <w:tmpl w:val="91C6D8BA"/>
    <w:lvl w:ilvl="0">
      <w:start w:val="1"/>
      <w:numFmt w:val="decimal"/>
      <w:lvlText w:val="1.%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79B1488"/>
    <w:multiLevelType w:val="multilevel"/>
    <w:tmpl w:val="B4968A64"/>
    <w:lvl w:ilvl="0">
      <w:start w:val="1"/>
      <w:numFmt w:val="bullet"/>
      <w:lvlText w:val="V"/>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4D0980"/>
    <w:multiLevelType w:val="multilevel"/>
    <w:tmpl w:val="331034E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B974093"/>
    <w:multiLevelType w:val="multilevel"/>
    <w:tmpl w:val="F71A243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2B72FF9"/>
    <w:multiLevelType w:val="multilevel"/>
    <w:tmpl w:val="6478E00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E450065"/>
    <w:multiLevelType w:val="multilevel"/>
    <w:tmpl w:val="8DD6BD1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7E23EFA"/>
    <w:multiLevelType w:val="multilevel"/>
    <w:tmpl w:val="58B815A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DB07F0B"/>
    <w:multiLevelType w:val="multilevel"/>
    <w:tmpl w:val="36B4FF8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DA3643F"/>
    <w:multiLevelType w:val="multilevel"/>
    <w:tmpl w:val="2E8C32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4D73675"/>
    <w:multiLevelType w:val="multilevel"/>
    <w:tmpl w:val="AAA04FD2"/>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630742D"/>
    <w:multiLevelType w:val="multilevel"/>
    <w:tmpl w:val="7194D1F0"/>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A6C4698"/>
    <w:multiLevelType w:val="multilevel"/>
    <w:tmpl w:val="10F60FE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6"/>
  </w:num>
  <w:num w:numId="3">
    <w:abstractNumId w:val="11"/>
  </w:num>
  <w:num w:numId="4">
    <w:abstractNumId w:val="5"/>
  </w:num>
  <w:num w:numId="5">
    <w:abstractNumId w:val="0"/>
  </w:num>
  <w:num w:numId="6">
    <w:abstractNumId w:val="3"/>
  </w:num>
  <w:num w:numId="7">
    <w:abstractNumId w:val="10"/>
  </w:num>
  <w:num w:numId="8">
    <w:abstractNumId w:val="8"/>
  </w:num>
  <w:num w:numId="9">
    <w:abstractNumId w:val="9"/>
  </w:num>
  <w:num w:numId="10">
    <w:abstractNumId w:val="1"/>
  </w:num>
  <w:num w:numId="11">
    <w:abstractNumId w:val="12"/>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0AD"/>
    <w:rsid w:val="005C7D70"/>
    <w:rsid w:val="009E6A65"/>
    <w:rsid w:val="00FA60AD"/>
    <w:rsid w:val="00FF2E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32FB8"/>
  <w15:docId w15:val="{0DC1F1F4-D150-4DB6-B557-82844992D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rFonts w:ascii="Arial" w:eastAsia="Arial" w:hAnsi="Arial" w:cs="Arial"/>
      <w:b w:val="0"/>
      <w:bCs w:val="0"/>
      <w:i w:val="0"/>
      <w:iCs w:val="0"/>
      <w:smallCaps w:val="0"/>
      <w:strike w:val="0"/>
      <w:sz w:val="18"/>
      <w:szCs w:val="18"/>
      <w:u w:val="none"/>
    </w:rPr>
  </w:style>
  <w:style w:type="character" w:customStyle="1" w:styleId="CharStyle5">
    <w:name w:val="Char Style 5"/>
    <w:basedOn w:val="Standardnpsmoodstavce"/>
    <w:link w:val="Style4"/>
    <w:rPr>
      <w:rFonts w:ascii="Arial" w:eastAsia="Arial" w:hAnsi="Arial" w:cs="Arial"/>
      <w:b/>
      <w:bCs/>
      <w:i w:val="0"/>
      <w:iCs w:val="0"/>
      <w:smallCaps w:val="0"/>
      <w:strike w:val="0"/>
      <w:sz w:val="28"/>
      <w:szCs w:val="28"/>
      <w:u w:val="none"/>
    </w:rPr>
  </w:style>
  <w:style w:type="character" w:customStyle="1" w:styleId="CharStyle7">
    <w:name w:val="Char Style 7"/>
    <w:basedOn w:val="Standardnpsmoodstavce"/>
    <w:link w:val="Style6"/>
    <w:rPr>
      <w:b w:val="0"/>
      <w:bCs w:val="0"/>
      <w:i w:val="0"/>
      <w:iCs w:val="0"/>
      <w:smallCaps w:val="0"/>
      <w:strike w:val="0"/>
      <w:sz w:val="20"/>
      <w:szCs w:val="20"/>
      <w:u w:val="none"/>
    </w:rPr>
  </w:style>
  <w:style w:type="character" w:customStyle="1" w:styleId="CharStyle12">
    <w:name w:val="Char Style 12"/>
    <w:basedOn w:val="Standardnpsmoodstavce"/>
    <w:link w:val="Style11"/>
    <w:rPr>
      <w:rFonts w:ascii="Arial" w:eastAsia="Arial" w:hAnsi="Arial" w:cs="Arial"/>
      <w:b/>
      <w:bCs/>
      <w:i w:val="0"/>
      <w:iCs w:val="0"/>
      <w:smallCaps w:val="0"/>
      <w:strike w:val="0"/>
      <w:u w:val="none"/>
    </w:rPr>
  </w:style>
  <w:style w:type="character" w:customStyle="1" w:styleId="CharStyle14">
    <w:name w:val="Char Style 14"/>
    <w:basedOn w:val="Standardnpsmoodstavce"/>
    <w:link w:val="Style13"/>
    <w:rPr>
      <w:rFonts w:ascii="Arial" w:eastAsia="Arial" w:hAnsi="Arial" w:cs="Arial"/>
      <w:b w:val="0"/>
      <w:bCs w:val="0"/>
      <w:i w:val="0"/>
      <w:iCs w:val="0"/>
      <w:smallCaps w:val="0"/>
      <w:strike w:val="0"/>
      <w:sz w:val="18"/>
      <w:szCs w:val="18"/>
      <w:u w:val="none"/>
    </w:rPr>
  </w:style>
  <w:style w:type="character" w:customStyle="1" w:styleId="CharStyle18">
    <w:name w:val="Char Style 18"/>
    <w:basedOn w:val="Standardnpsmoodstavce"/>
    <w:link w:val="Style17"/>
    <w:rPr>
      <w:rFonts w:ascii="Arial" w:eastAsia="Arial" w:hAnsi="Arial" w:cs="Arial"/>
      <w:b/>
      <w:bCs/>
      <w:i w:val="0"/>
      <w:iCs w:val="0"/>
      <w:smallCaps w:val="0"/>
      <w:strike w:val="0"/>
      <w:sz w:val="20"/>
      <w:szCs w:val="20"/>
      <w:u w:val="none"/>
    </w:rPr>
  </w:style>
  <w:style w:type="character" w:customStyle="1" w:styleId="CharStyle20">
    <w:name w:val="Char Style 20"/>
    <w:basedOn w:val="Standardnpsmoodstavce"/>
    <w:link w:val="Style19"/>
    <w:rPr>
      <w:rFonts w:ascii="Arial" w:eastAsia="Arial" w:hAnsi="Arial" w:cs="Arial"/>
      <w:b/>
      <w:bCs/>
      <w:i w:val="0"/>
      <w:iCs w:val="0"/>
      <w:smallCaps w:val="0"/>
      <w:strike w:val="0"/>
      <w:sz w:val="18"/>
      <w:szCs w:val="18"/>
      <w:u w:val="single"/>
    </w:rPr>
  </w:style>
  <w:style w:type="character" w:customStyle="1" w:styleId="CharStyle29">
    <w:name w:val="Char Style 29"/>
    <w:basedOn w:val="Standardnpsmoodstavce"/>
    <w:link w:val="Style28"/>
    <w:rPr>
      <w:rFonts w:ascii="Arial" w:eastAsia="Arial" w:hAnsi="Arial" w:cs="Arial"/>
      <w:b w:val="0"/>
      <w:bCs w:val="0"/>
      <w:i w:val="0"/>
      <w:iCs w:val="0"/>
      <w:smallCaps w:val="0"/>
      <w:strike w:val="0"/>
      <w:sz w:val="18"/>
      <w:szCs w:val="18"/>
      <w:u w:val="none"/>
    </w:rPr>
  </w:style>
  <w:style w:type="character" w:customStyle="1" w:styleId="CharStyle33">
    <w:name w:val="Char Style 33"/>
    <w:basedOn w:val="Standardnpsmoodstavce"/>
    <w:link w:val="Style32"/>
    <w:rPr>
      <w:rFonts w:ascii="Arial" w:eastAsia="Arial" w:hAnsi="Arial" w:cs="Arial"/>
      <w:b w:val="0"/>
      <w:bCs w:val="0"/>
      <w:i w:val="0"/>
      <w:iCs w:val="0"/>
      <w:smallCaps w:val="0"/>
      <w:strike w:val="0"/>
      <w:sz w:val="20"/>
      <w:szCs w:val="20"/>
      <w:u w:val="none"/>
    </w:rPr>
  </w:style>
  <w:style w:type="character" w:customStyle="1" w:styleId="CharStyle42">
    <w:name w:val="Char Style 42"/>
    <w:basedOn w:val="Standardnpsmoodstavce"/>
    <w:link w:val="Style41"/>
    <w:rPr>
      <w:rFonts w:ascii="Arial" w:eastAsia="Arial" w:hAnsi="Arial" w:cs="Arial"/>
      <w:b/>
      <w:bCs/>
      <w:i w:val="0"/>
      <w:iCs w:val="0"/>
      <w:smallCaps w:val="0"/>
      <w:strike w:val="0"/>
      <w:sz w:val="11"/>
      <w:szCs w:val="11"/>
      <w:u w:val="none"/>
    </w:rPr>
  </w:style>
  <w:style w:type="paragraph" w:customStyle="1" w:styleId="Style2">
    <w:name w:val="Style 2"/>
    <w:basedOn w:val="Normln"/>
    <w:link w:val="CharStyle3"/>
    <w:pPr>
      <w:shd w:val="clear" w:color="auto" w:fill="FFFFFF"/>
      <w:spacing w:line="266" w:lineRule="auto"/>
    </w:pPr>
    <w:rPr>
      <w:rFonts w:ascii="Arial" w:eastAsia="Arial" w:hAnsi="Arial" w:cs="Arial"/>
      <w:sz w:val="18"/>
      <w:szCs w:val="18"/>
    </w:rPr>
  </w:style>
  <w:style w:type="paragraph" w:customStyle="1" w:styleId="Style4">
    <w:name w:val="Style 4"/>
    <w:basedOn w:val="Normln"/>
    <w:link w:val="CharStyle5"/>
    <w:pPr>
      <w:shd w:val="clear" w:color="auto" w:fill="FFFFFF"/>
      <w:spacing w:after="60"/>
      <w:ind w:firstLine="320"/>
      <w:jc w:val="center"/>
      <w:outlineLvl w:val="0"/>
    </w:pPr>
    <w:rPr>
      <w:rFonts w:ascii="Arial" w:eastAsia="Arial" w:hAnsi="Arial" w:cs="Arial"/>
      <w:b/>
      <w:bCs/>
      <w:sz w:val="28"/>
      <w:szCs w:val="28"/>
    </w:rPr>
  </w:style>
  <w:style w:type="paragraph" w:customStyle="1" w:styleId="Style6">
    <w:name w:val="Style 6"/>
    <w:basedOn w:val="Normln"/>
    <w:link w:val="CharStyle7"/>
    <w:pPr>
      <w:shd w:val="clear" w:color="auto" w:fill="FFFFFF"/>
    </w:pPr>
    <w:rPr>
      <w:sz w:val="20"/>
      <w:szCs w:val="20"/>
    </w:rPr>
  </w:style>
  <w:style w:type="paragraph" w:customStyle="1" w:styleId="Style11">
    <w:name w:val="Style 11"/>
    <w:basedOn w:val="Normln"/>
    <w:link w:val="CharStyle12"/>
    <w:pPr>
      <w:shd w:val="clear" w:color="auto" w:fill="FFFFFF"/>
      <w:spacing w:after="180"/>
    </w:pPr>
    <w:rPr>
      <w:rFonts w:ascii="Arial" w:eastAsia="Arial" w:hAnsi="Arial" w:cs="Arial"/>
      <w:b/>
      <w:bCs/>
    </w:rPr>
  </w:style>
  <w:style w:type="paragraph" w:customStyle="1" w:styleId="Style13">
    <w:name w:val="Style 13"/>
    <w:basedOn w:val="Normln"/>
    <w:link w:val="CharStyle14"/>
    <w:pPr>
      <w:shd w:val="clear" w:color="auto" w:fill="FFFFFF"/>
      <w:spacing w:line="266" w:lineRule="auto"/>
    </w:pPr>
    <w:rPr>
      <w:rFonts w:ascii="Arial" w:eastAsia="Arial" w:hAnsi="Arial" w:cs="Arial"/>
      <w:sz w:val="18"/>
      <w:szCs w:val="18"/>
    </w:rPr>
  </w:style>
  <w:style w:type="paragraph" w:customStyle="1" w:styleId="Style17">
    <w:name w:val="Style 17"/>
    <w:basedOn w:val="Normln"/>
    <w:link w:val="CharStyle18"/>
    <w:pPr>
      <w:shd w:val="clear" w:color="auto" w:fill="FFFFFF"/>
      <w:spacing w:after="160"/>
      <w:outlineLvl w:val="1"/>
    </w:pPr>
    <w:rPr>
      <w:rFonts w:ascii="Arial" w:eastAsia="Arial" w:hAnsi="Arial" w:cs="Arial"/>
      <w:b/>
      <w:bCs/>
      <w:sz w:val="20"/>
      <w:szCs w:val="20"/>
    </w:rPr>
  </w:style>
  <w:style w:type="paragraph" w:customStyle="1" w:styleId="Style19">
    <w:name w:val="Style 19"/>
    <w:basedOn w:val="Normln"/>
    <w:link w:val="CharStyle20"/>
    <w:pPr>
      <w:shd w:val="clear" w:color="auto" w:fill="FFFFFF"/>
      <w:spacing w:line="254" w:lineRule="auto"/>
      <w:outlineLvl w:val="2"/>
    </w:pPr>
    <w:rPr>
      <w:rFonts w:ascii="Arial" w:eastAsia="Arial" w:hAnsi="Arial" w:cs="Arial"/>
      <w:b/>
      <w:bCs/>
      <w:sz w:val="18"/>
      <w:szCs w:val="18"/>
      <w:u w:val="single"/>
    </w:rPr>
  </w:style>
  <w:style w:type="paragraph" w:customStyle="1" w:styleId="Style28">
    <w:name w:val="Style 28"/>
    <w:basedOn w:val="Normln"/>
    <w:link w:val="CharStyle29"/>
    <w:pPr>
      <w:shd w:val="clear" w:color="auto" w:fill="FFFFFF"/>
    </w:pPr>
    <w:rPr>
      <w:rFonts w:ascii="Arial" w:eastAsia="Arial" w:hAnsi="Arial" w:cs="Arial"/>
      <w:sz w:val="18"/>
      <w:szCs w:val="18"/>
    </w:rPr>
  </w:style>
  <w:style w:type="paragraph" w:customStyle="1" w:styleId="Style32">
    <w:name w:val="Style 32"/>
    <w:basedOn w:val="Normln"/>
    <w:link w:val="CharStyle33"/>
    <w:pPr>
      <w:shd w:val="clear" w:color="auto" w:fill="FFFFFF"/>
      <w:spacing w:after="70" w:line="209" w:lineRule="auto"/>
      <w:ind w:left="1900"/>
    </w:pPr>
    <w:rPr>
      <w:rFonts w:ascii="Arial" w:eastAsia="Arial" w:hAnsi="Arial" w:cs="Arial"/>
      <w:sz w:val="20"/>
      <w:szCs w:val="20"/>
    </w:rPr>
  </w:style>
  <w:style w:type="paragraph" w:customStyle="1" w:styleId="Style41">
    <w:name w:val="Style 41"/>
    <w:basedOn w:val="Normln"/>
    <w:link w:val="CharStyle42"/>
    <w:pPr>
      <w:shd w:val="clear" w:color="auto" w:fill="FFFFFF"/>
    </w:pPr>
    <w:rPr>
      <w:rFonts w:ascii="Arial" w:eastAsia="Arial" w:hAnsi="Arial" w:cs="Arial"/>
      <w:b/>
      <w:bCs/>
      <w:sz w:val="11"/>
      <w:szCs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laseni.PU@uniqa.cz" TargetMode="Externa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mailto:hlaseni.PU@uniqa.cz"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hlaseni.PU@uniqa.cz" TargetMode="External"/><Relationship Id="rId22"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4157</Words>
  <Characters>24529</Characters>
  <Application>Microsoft Office Word</Application>
  <DocSecurity>0</DocSecurity>
  <Lines>204</Lines>
  <Paragraphs>57</Paragraphs>
  <ScaleCrop>false</ScaleCrop>
  <HeadingPairs>
    <vt:vector size="2" baseType="variant">
      <vt:variant>
        <vt:lpstr>Název</vt:lpstr>
      </vt:variant>
      <vt:variant>
        <vt:i4>1</vt:i4>
      </vt:variant>
    </vt:vector>
  </HeadingPairs>
  <TitlesOfParts>
    <vt:vector size="1" baseType="lpstr">
      <vt:lpstr/>
    </vt:vector>
  </TitlesOfParts>
  <Company>Národní muzeum</Company>
  <LinksUpToDate>false</LinksUpToDate>
  <CharactersWithSpaces>28629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Renata Asingrová</cp:lastModifiedBy>
  <cp:revision>3</cp:revision>
  <dcterms:created xsi:type="dcterms:W3CDTF">2020-08-25T13:04:00Z</dcterms:created>
  <dcterms:modified xsi:type="dcterms:W3CDTF">2020-08-25T13:24:00Z</dcterms:modified>
</cp:coreProperties>
</file>