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tabs>
          <w:tab w:pos="5602" w:val="left"/>
        </w:tabs>
        <w:bidi w:val="0"/>
        <w:spacing w:before="0" w:after="0" w:line="269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Krajská správa a údržba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 Krajská správa a údržba silnic Vysočiny, příspěvková organizace </w:t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silnic Vysočiny</w:t>
        <w:tab/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perscript"/>
          <w:lang w:val="cs-CZ" w:eastAsia="cs-CZ" w:bidi="cs-CZ"/>
        </w:rPr>
        <w:t>16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4766" w:val="left"/>
          <w:tab w:pos="6379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100:00090450</w:t>
        <w:tab/>
        <w:t>DIČ:CZ00090450</w:t>
      </w:r>
    </w:p>
    <w:tbl>
      <w:tblPr>
        <w:tblpPr w:leftFromText="80" w:rightFromText="80" w:topFromText="355" w:bottomFromText="456" w:horzAnchor="page" w:tblpX="1010" w:vertAnchor="text" w:tblpY="375"/>
        <w:jc w:val="left"/>
        <w:tblLayout w:type="fixed"/>
      </w:tblPr>
      <w:tblGrid>
        <w:gridCol w:w="1560"/>
        <w:gridCol w:w="2016"/>
      </w:tblGrid>
      <w:tr>
        <w:trPr>
          <w:tblHeader/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767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76700023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2020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31.08.2020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Kosovská 1122/16, JI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Vynzuje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center"/>
      </w:pP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12700</wp:posOffset>
                </wp:positionV>
                <wp:extent cx="1560830" cy="170815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083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číslo objednávky: 76700023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.5pt;margin-top:1.pt;width:122.90000000000001pt;height:13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76700023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444625" distB="0" distL="62865" distR="1510665" simplePos="0" relativeHeight="125829378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1457325</wp:posOffset>
                </wp:positionV>
                <wp:extent cx="798830" cy="15557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883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1.450000000000003pt;margin-top:114.75pt;width:62.899999999999999pt;height:12.25pt;z-index:-125829375;mso-wrap-distance-left:4.9500000000000002pt;mso-wrap-distance-top:113.75pt;mso-wrap-distance-right:118.9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25.08.2020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260" w:right="0" w:hanging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 pHmedia Czech Republic s.r.o.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Chudenická 1059/30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102 00 Praha 10 - Hostiva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602" w:val="left"/>
        </w:tabs>
        <w:bidi w:val="0"/>
        <w:spacing w:before="0" w:after="72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019 145 45</w:t>
        <w:tab/>
        <w:t>DIČ: CZ 019 14 545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62" w:lineRule="auto"/>
        <w:ind w:left="6060" w:right="0" w:hanging="5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Ředitelství KSÚSV Kosovská 16 Jihlava 586 01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Obj. č. 76000169 je doplněna o článek v následujícím znění: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14) Smluvní strany shodně prohlašují, že předmět objednávky je autorským dílem ve smyslu § 2 zákona č. 121/2000 Sb., o právu autorském, o právech souvisejících s právem autorským a o změně některých zákonů. Objednavatel je oprávněn udělit podlicenci k užití díla. V případě, že o udělení podlicence bude požádáno v souladu se zákonem č. 106/1999 Sb., o svobodném přístupu k informacím, ve znění pozdějších předpisů, bude podlicence poskytnuta za jednorázovou úplatu ve výši 200 000,- Kč.</w:t>
      </w:r>
    </w:p>
    <w:tbl>
      <w:tblPr>
        <w:tblOverlap w:val="never"/>
        <w:jc w:val="left"/>
        <w:tblLayout w:type="fixed"/>
      </w:tblPr>
      <w:tblGrid>
        <w:gridCol w:w="2952"/>
        <w:gridCol w:w="1056"/>
        <w:gridCol w:w="926"/>
        <w:gridCol w:w="533"/>
        <w:gridCol w:w="1147"/>
        <w:gridCol w:w="883"/>
        <w:gridCol w:w="946"/>
        <w:gridCol w:w="1003"/>
      </w:tblGrid>
      <w:tr>
        <w:trPr>
          <w:trHeight w:val="6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446" w:h="682" w:vSpace="418" w:wrap="notBeside" w:vAnchor="text" w:hAnchor="text" w:x="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446" w:h="682" w:vSpace="418" w:wrap="notBeside" w:vAnchor="text" w:hAnchor="text" w:x="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446" w:h="682" w:vSpace="418" w:wrap="notBeside" w:vAnchor="text" w:hAnchor="text" w:x="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446" w:h="682" w:vSpace="418" w:wrap="notBeside" w:vAnchor="text" w:hAnchor="text" w:x="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446" w:h="682" w:vSpace="418" w:wrap="notBeside" w:vAnchor="text" w:hAnchor="text" w:x="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446" w:h="682" w:vSpace="418" w:wrap="notBeside" w:vAnchor="text" w:hAnchor="text" w:x="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446" w:h="682" w:vSpace="418" w:wrap="notBeside" w:vAnchor="text" w:hAnchor="text" w:x="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446" w:h="682" w:vSpace="418" w:wrap="notBeside" w:vAnchor="text" w:hAnchor="text" w:x="44" w:y="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včdph</w:t>
            </w:r>
          </w:p>
        </w:tc>
      </w:tr>
    </w:tbl>
    <w:p>
      <w:pPr>
        <w:pStyle w:val="Style5"/>
        <w:keepNext w:val="0"/>
        <w:keepLines w:val="0"/>
        <w:framePr w:w="1291" w:h="202" w:hSpace="43" w:wrap="notBeside" w:vAnchor="text" w:hAnchor="text" w:x="3692" w:y="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1,00 1,00</w:t>
      </w:r>
    </w:p>
    <w:p>
      <w:pPr>
        <w:pStyle w:val="Style5"/>
        <w:keepNext w:val="0"/>
        <w:keepLines w:val="0"/>
        <w:framePr w:w="370" w:h="202" w:hSpace="43" w:wrap="notBeside" w:vAnchor="text" w:hAnchor="text" w:x="6294" w:y="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1,00</w:t>
      </w:r>
    </w:p>
    <w:p>
      <w:pPr>
        <w:pStyle w:val="Style5"/>
        <w:keepNext w:val="0"/>
        <w:keepLines w:val="0"/>
        <w:framePr w:w="1176" w:h="202" w:hSpace="43" w:wrap="notBeside" w:vAnchor="text" w:hAnchor="text" w:x="7297" w:y="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21 0,21</w:t>
      </w:r>
    </w:p>
    <w:p>
      <w:pPr>
        <w:pStyle w:val="Style5"/>
        <w:keepNext w:val="0"/>
        <w:keepLines w:val="0"/>
        <w:framePr w:w="346" w:h="197" w:hSpace="43" w:wrap="notBeside" w:vAnchor="text" w:hAnchor="text" w:x="9116" w:y="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1,21</w:t>
      </w:r>
    </w:p>
    <w:p>
      <w:pPr>
        <w:pStyle w:val="Style5"/>
        <w:keepNext w:val="0"/>
        <w:keepLines w:val="0"/>
        <w:framePr w:w="1238" w:h="216" w:hSpace="43" w:wrap="notBeside" w:vAnchor="text" w:hAnchor="text" w:x="116" w:y="8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Vystavení viz. text</w:t>
      </w:r>
    </w:p>
    <w:p>
      <w:pPr>
        <w:widowControl w:val="0"/>
        <w:spacing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Přikazce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4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Tisk: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27.ua.zuzu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175" distB="0" distL="0" distR="0" simplePos="0" relativeHeight="125829380" behindDoc="0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3175</wp:posOffset>
                </wp:positionV>
                <wp:extent cx="2810510" cy="62801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62801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330"/>
                              <w:gridCol w:w="3096"/>
                            </w:tblGrid>
                            <w:tr>
                              <w:trPr>
                                <w:tblHeader/>
                                <w:trHeight w:val="307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7.200000000000003pt;margin-top:0.25pt;width:221.30000000000001pt;height:49.450000000000003pt;z-index:-125829373;mso-wrap-distance-left:0;mso-wrap-distance-top:0.2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330"/>
                        <w:gridCol w:w="3096"/>
                      </w:tblGrid>
                      <w:tr>
                        <w:trPr>
                          <w:tblHeader/>
                          <w:trHeight w:val="307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0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466725" distL="0" distR="0" simplePos="0" relativeHeight="125829382" behindDoc="0" locked="0" layoutInCell="1" allowOverlap="1">
                <wp:simplePos x="0" y="0"/>
                <wp:positionH relativeFrom="page">
                  <wp:posOffset>3576320</wp:posOffset>
                </wp:positionH>
                <wp:positionV relativeFrom="paragraph">
                  <wp:posOffset>0</wp:posOffset>
                </wp:positionV>
                <wp:extent cx="2060575" cy="16446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057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1,21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1.60000000000002pt;margin-top:0;width:162.25pt;height:12.949999999999999pt;z-index:-125829371;mso-wrap-distance-left:0;mso-wrap-distance-right:0;mso-wrap-distance-bottom:36.7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1,21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9850" distB="110490" distL="0" distR="0" simplePos="0" relativeHeight="125829384" behindDoc="0" locked="0" layoutInCell="1" allowOverlap="1">
                <wp:simplePos x="0" y="0"/>
                <wp:positionH relativeFrom="page">
                  <wp:posOffset>5770880</wp:posOffset>
                </wp:positionH>
                <wp:positionV relativeFrom="paragraph">
                  <wp:posOffset>69850</wp:posOffset>
                </wp:positionV>
                <wp:extent cx="865505" cy="45085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5505" cy="450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■pHmedia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Chudenická togg/30</w:t>
                              <w:br/>
                              <w:t>lot oo P»3ha «&gt; - Hostivař</w:t>
                              <w:br/>
                              <w:t>tóO:- 0*914545. CZOigU&amp;íS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54.39999999999998pt;margin-top:5.5pt;width:68.150000000000006pt;height:35.5pt;z-index:-125829369;mso-wrap-distance-left:0;mso-wrap-distance-top:5.5pt;mso-wrap-distance-right:0;mso-wrap-distance-bottom:8.6999999999999993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■pHmedia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Chudenická togg/30</w:t>
                        <w:br/>
                        <w:t>lot oo P»3ha «&gt; - Hostivař</w:t>
                        <w:br/>
                        <w:t>tóO:- 0*914545. CZOigU&amp;íS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16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řkfte pokyny našeho zástupce. Vyhodnocení významných environmentálních aspektů je následující ■ Likvidace a odstraňování starých živičných povrchů. ■ Pokládka nových živičných povrchů. ■ Chemické odstraňování sněhu z povrchu silnic. • Inertní posyp silnic.•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písemné seznámeni s riziky prostřednictvím stavbyvedoucího.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4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1/1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29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Od:</w:t>
        <w:tab/>
        <w:t>@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phmedia.cz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&gt;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Datum: 27. 8.2020 18:32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Předmět: Re: Objednávka k akceptaci</w:t>
      </w:r>
    </w:p>
    <w:tbl>
      <w:tblPr>
        <w:tblOverlap w:val="never"/>
        <w:jc w:val="center"/>
        <w:tblLayout w:type="fixed"/>
      </w:tblPr>
      <w:tblGrid>
        <w:gridCol w:w="2059"/>
        <w:gridCol w:w="6883"/>
      </w:tblGrid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ksusv.cz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&gt;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Kopie:</w:t>
      </w:r>
    </w:p>
    <w:p>
      <w:pPr>
        <w:widowControl w:val="0"/>
        <w:spacing w:after="239" w:line="1" w:lineRule="exact"/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21590" distB="393700" distL="0" distR="0" simplePos="0" relativeHeight="125829386" behindDoc="0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21590</wp:posOffset>
                </wp:positionV>
                <wp:extent cx="490855" cy="16446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085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Přílohy: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2.25pt;margin-top:1.7pt;width:38.649999999999999pt;height:12.949999999999999pt;z-index:-125829367;mso-wrap-distance-left:0;mso-wrap-distance-top:1.7pt;mso-wrap-distance-right:0;mso-wrap-distance-bottom:31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400050" distL="0" distR="0" simplePos="0" relativeHeight="125829388" behindDoc="0" locked="0" layoutInCell="1" allowOverlap="1">
                <wp:simplePos x="0" y="0"/>
                <wp:positionH relativeFrom="page">
                  <wp:posOffset>2729230</wp:posOffset>
                </wp:positionH>
                <wp:positionV relativeFrom="paragraph">
                  <wp:posOffset>0</wp:posOffset>
                </wp:positionV>
                <wp:extent cx="1606550" cy="17970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655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Objednávka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en-US" w:eastAsia="en-US" w:bidi="en-US"/>
                              </w:rPr>
                              <w:t>c76700023.pdf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14.90000000000001pt;margin-top:0;width:126.5pt;height:14.15pt;z-index:-125829365;mso-wrap-distance-left:0;mso-wrap-distance-right:0;mso-wrap-distance-bottom:31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Objednávka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en-US" w:eastAsia="en-US" w:bidi="en-US"/>
                        </w:rPr>
                        <w:t>c76700023.pdf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200" w:line="48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Dobrý den, akceptujeme zaslanou objednávku a v příloze ji zasíláme s podpisem a razítkem. Dovolím si požádat o potvrzení přijetí akceptace.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skype: phmedia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pHmedia Czech Republic s.r.o. | Chudenická 1059/30 |Hostivař, 102 00 Praha 10|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sectPr>
      <w:footnotePr>
        <w:pos w:val="pageBottom"/>
        <w:numFmt w:val="decimal"/>
        <w:numRestart w:val="continuous"/>
      </w:footnotePr>
      <w:pgSz w:w="11900" w:h="16840"/>
      <w:pgMar w:top="1498" w:left="957" w:right="1410" w:bottom="1294" w:header="1070" w:footer="86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Titulek tabulky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Základní text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Základní text (5)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1">
    <w:name w:val="Základní text (2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6">
    <w:name w:val="Základní text (4)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Titulek tabulky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4">
    <w:name w:val="Základní text (5)"/>
    <w:basedOn w:val="Normal"/>
    <w:link w:val="CharStyle15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FFFFFF"/>
      <w:spacing w:after="720"/>
      <w:ind w:left="680"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5">
    <w:name w:val="Základní text (4)"/>
    <w:basedOn w:val="Normal"/>
    <w:link w:val="CharStyle26"/>
    <w:pPr>
      <w:widowControl w:val="0"/>
      <w:shd w:val="clear" w:color="auto" w:fill="FFFFFF"/>
      <w:spacing w:after="27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