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471E7" w:rsidRDefault="006A51BB">
      <w:pPr>
        <w:pStyle w:val="Nzev"/>
        <w:contextualSpacing w:val="0"/>
        <w:jc w:val="both"/>
      </w:pPr>
      <w:bookmarkStart w:id="0" w:name="_GoBack"/>
      <w:bookmarkEnd w:id="0"/>
      <w:r>
        <w:rPr>
          <w:sz w:val="48"/>
          <w:szCs w:val="48"/>
          <w:highlight w:val="white"/>
        </w:rPr>
        <w:t>SMLOUVA O POSKYTOVÁNÍ SLUŽEB</w:t>
      </w:r>
    </w:p>
    <w:p w:rsidR="00F471E7" w:rsidRDefault="006A51BB">
      <w:pPr>
        <w:pStyle w:val="Podnadpis"/>
        <w:contextualSpacing w:val="0"/>
      </w:pPr>
      <w:r>
        <w:rPr>
          <w:sz w:val="22"/>
          <w:szCs w:val="22"/>
          <w:highlight w:val="white"/>
        </w:rPr>
        <w:t>označená 2017-01-VOSZaSSZ</w:t>
      </w:r>
    </w:p>
    <w:p w:rsidR="00F471E7" w:rsidRDefault="006A51BB">
      <w:pPr>
        <w:pStyle w:val="Nadpis1"/>
        <w:tabs>
          <w:tab w:val="left" w:pos="720"/>
        </w:tabs>
        <w:contextualSpacing w:val="0"/>
        <w:jc w:val="both"/>
      </w:pPr>
      <w:r>
        <w:rPr>
          <w:highlight w:val="white"/>
        </w:rPr>
        <w:t>Článek I. Úvodní ustanovení</w:t>
      </w:r>
    </w:p>
    <w:p w:rsidR="00F471E7" w:rsidRDefault="006A51BB">
      <w:pPr>
        <w:contextualSpacing w:val="0"/>
        <w:jc w:val="both"/>
      </w:pPr>
      <w:r>
        <w:rPr>
          <w:highlight w:val="white"/>
        </w:rPr>
        <w:t>Smluvní strany</w:t>
      </w:r>
    </w:p>
    <w:p w:rsidR="00F471E7" w:rsidRDefault="00F471E7">
      <w:pPr>
        <w:contextualSpacing w:val="0"/>
        <w:jc w:val="both"/>
      </w:pPr>
    </w:p>
    <w:p w:rsidR="00F471E7" w:rsidRDefault="006A51BB">
      <w:pPr>
        <w:contextualSpacing w:val="0"/>
      </w:pPr>
      <w:r>
        <w:rPr>
          <w:highlight w:val="white"/>
        </w:rPr>
        <w:t xml:space="preserve">Vyšší odborná škola zdravotnická a Střední škola zdravotnická, se sídlem Palachova 35, </w:t>
      </w:r>
    </w:p>
    <w:p w:rsidR="00F471E7" w:rsidRDefault="006A51BB">
      <w:pPr>
        <w:contextualSpacing w:val="0"/>
      </w:pPr>
      <w:r>
        <w:rPr>
          <w:highlight w:val="white"/>
        </w:rPr>
        <w:t xml:space="preserve">400 01 Ústí nad Labem, </w:t>
      </w:r>
    </w:p>
    <w:p w:rsidR="00F471E7" w:rsidRDefault="006A51BB">
      <w:pPr>
        <w:contextualSpacing w:val="0"/>
      </w:pPr>
      <w:r>
        <w:rPr>
          <w:highlight w:val="white"/>
        </w:rPr>
        <w:t xml:space="preserve">IČ 006 733 58, </w:t>
      </w:r>
    </w:p>
    <w:p w:rsidR="00F471E7" w:rsidRDefault="00F471E7">
      <w:pPr>
        <w:contextualSpacing w:val="0"/>
      </w:pPr>
    </w:p>
    <w:p w:rsidR="00F471E7" w:rsidRDefault="006A51BB">
      <w:pPr>
        <w:contextualSpacing w:val="0"/>
      </w:pPr>
      <w:r>
        <w:rPr>
          <w:highlight w:val="white"/>
        </w:rPr>
        <w:t>(dále jen „Zákazník“)</w:t>
      </w:r>
    </w:p>
    <w:p w:rsidR="00F471E7" w:rsidRDefault="00F471E7">
      <w:pPr>
        <w:contextualSpacing w:val="0"/>
      </w:pPr>
    </w:p>
    <w:p w:rsidR="00F471E7" w:rsidRDefault="006A51BB">
      <w:pPr>
        <w:contextualSpacing w:val="0"/>
      </w:pPr>
      <w:r>
        <w:rPr>
          <w:highlight w:val="white"/>
        </w:rPr>
        <w:t>a</w:t>
      </w:r>
    </w:p>
    <w:p w:rsidR="00F471E7" w:rsidRDefault="00F471E7">
      <w:pPr>
        <w:contextualSpacing w:val="0"/>
      </w:pPr>
    </w:p>
    <w:p w:rsidR="00F471E7" w:rsidRDefault="006A51BB">
      <w:pPr>
        <w:contextualSpacing w:val="0"/>
      </w:pPr>
      <w:r>
        <w:rPr>
          <w:highlight w:val="white"/>
        </w:rPr>
        <w:t>Enlogit s.r.o., se sídlem Špitálské nám. 3367/12, 400 01 Ústí nad Labem,</w:t>
      </w:r>
    </w:p>
    <w:p w:rsidR="00F471E7" w:rsidRDefault="006A51BB">
      <w:pPr>
        <w:contextualSpacing w:val="0"/>
      </w:pPr>
      <w:r>
        <w:rPr>
          <w:highlight w:val="white"/>
        </w:rPr>
        <w:t>IČ 62241842, DIČ CZ62241842,</w:t>
      </w:r>
    </w:p>
    <w:p w:rsidR="00F471E7" w:rsidRDefault="006A51BB">
      <w:pPr>
        <w:contextualSpacing w:val="0"/>
      </w:pPr>
      <w:r>
        <w:rPr>
          <w:highlight w:val="white"/>
        </w:rPr>
        <w:t>vedená v obchodním rejstříku Krajského soudu Ústí n.L., odd. C, vl. 8073,</w:t>
      </w:r>
    </w:p>
    <w:p w:rsidR="00F471E7" w:rsidRDefault="006A51BB">
      <w:pPr>
        <w:contextualSpacing w:val="0"/>
      </w:pPr>
      <w:r>
        <w:rPr>
          <w:highlight w:val="white"/>
        </w:rPr>
        <w:t>jednatel Jiří Vytlačil</w:t>
      </w:r>
    </w:p>
    <w:p w:rsidR="00F471E7" w:rsidRDefault="006A51BB">
      <w:pPr>
        <w:contextualSpacing w:val="0"/>
      </w:pPr>
      <w:r>
        <w:rPr>
          <w:highlight w:val="white"/>
        </w:rPr>
        <w:t>(dále jen „Poskytovatel“)</w:t>
      </w:r>
    </w:p>
    <w:p w:rsidR="00F471E7" w:rsidRDefault="00F471E7">
      <w:pPr>
        <w:contextualSpacing w:val="0"/>
      </w:pPr>
    </w:p>
    <w:p w:rsidR="00F471E7" w:rsidRDefault="006A51BB">
      <w:pPr>
        <w:contextualSpacing w:val="0"/>
      </w:pPr>
      <w:r>
        <w:rPr>
          <w:highlight w:val="white"/>
        </w:rPr>
        <w:t>uzavírají tuto smlouvu o poskytování služeb (dále jen Smlouva) v souladu s § 269 odst. 2 obchodního zákoníku.</w:t>
      </w:r>
    </w:p>
    <w:p w:rsidR="00F471E7" w:rsidRDefault="006A51BB">
      <w:pPr>
        <w:pStyle w:val="Nadpis1"/>
        <w:tabs>
          <w:tab w:val="left" w:pos="720"/>
        </w:tabs>
        <w:contextualSpacing w:val="0"/>
        <w:jc w:val="both"/>
      </w:pPr>
      <w:r>
        <w:rPr>
          <w:highlight w:val="white"/>
        </w:rPr>
        <w:t>Článek II. Předmět smlouvy</w:t>
      </w:r>
    </w:p>
    <w:p w:rsidR="00F471E7" w:rsidRDefault="006A51BB">
      <w:pPr>
        <w:numPr>
          <w:ilvl w:val="0"/>
          <w:numId w:val="6"/>
        </w:numPr>
        <w:tabs>
          <w:tab w:val="left" w:pos="360"/>
          <w:tab w:val="left" w:pos="720"/>
        </w:tabs>
        <w:ind w:hanging="360"/>
        <w:jc w:val="both"/>
        <w:rPr>
          <w:highlight w:val="white"/>
        </w:rPr>
      </w:pPr>
      <w:r>
        <w:rPr>
          <w:highlight w:val="white"/>
        </w:rPr>
        <w:t>Smlouvou se Poskytovatel zavazuje Zákazníkovi poskytovat služby a zboží v oblasti správy informačních technologií, dat, sítí, Software, Hardware a dalších informačních a komunikačních systémů, případně dle svých možností i další služby a zboží (dále též jen „plnění“), za podmínek v ní upravených, podrobně specifikované podle následujícího odstavce a v tam upravené příloze Smlouvy. Zákazník se zavazuje za tyto služby a zboží platit dohodnuté ceny za podmínek popsaných níže a v přílohách.</w:t>
      </w:r>
    </w:p>
    <w:p w:rsidR="00F471E7" w:rsidRDefault="006A51BB">
      <w:pPr>
        <w:numPr>
          <w:ilvl w:val="0"/>
          <w:numId w:val="6"/>
        </w:numPr>
        <w:tabs>
          <w:tab w:val="left" w:pos="360"/>
          <w:tab w:val="left" w:pos="720"/>
        </w:tabs>
        <w:ind w:hanging="360"/>
        <w:jc w:val="both"/>
        <w:rPr>
          <w:highlight w:val="white"/>
        </w:rPr>
      </w:pPr>
      <w:r>
        <w:rPr>
          <w:highlight w:val="white"/>
        </w:rPr>
        <w:t xml:space="preserve">Výčet systémů, sjednané služby a cenové podmínky jsou uvedeny ve Specifikaci plnění (dále jen </w:t>
      </w:r>
      <w:r>
        <w:rPr>
          <w:b/>
          <w:highlight w:val="white"/>
        </w:rPr>
        <w:t>Specifikace</w:t>
      </w:r>
      <w:r>
        <w:rPr>
          <w:highlight w:val="white"/>
        </w:rPr>
        <w:t xml:space="preserve">), která je nedílnou přílohou této Smlouvy. Ujednává se, že změny či jiné úpravy Specifikace mohou za Zákazníka též sjednat tyto osoby: Ing. Jiří Štursa Úpravy Specifikace jsou prováděny formou písemné změny Specifikace a považují se za změnu Smlouvy. </w:t>
      </w:r>
    </w:p>
    <w:p w:rsidR="00F471E7" w:rsidRDefault="006A51BB">
      <w:pPr>
        <w:numPr>
          <w:ilvl w:val="0"/>
          <w:numId w:val="6"/>
        </w:numPr>
        <w:tabs>
          <w:tab w:val="left" w:pos="360"/>
          <w:tab w:val="left" w:pos="720"/>
        </w:tabs>
        <w:ind w:hanging="360"/>
        <w:jc w:val="both"/>
        <w:rPr>
          <w:highlight w:val="white"/>
        </w:rPr>
      </w:pPr>
      <w:r>
        <w:rPr>
          <w:highlight w:val="white"/>
        </w:rPr>
        <w:t xml:space="preserve">Vlastnosti a další okolnosti plnění jsou popsané ve Všeobecných obchodních podmínkách (dále jen </w:t>
      </w:r>
      <w:r>
        <w:rPr>
          <w:b/>
          <w:highlight w:val="white"/>
        </w:rPr>
        <w:t>VOP</w:t>
      </w:r>
      <w:r>
        <w:rPr>
          <w:highlight w:val="white"/>
        </w:rPr>
        <w:t>), které jsou nedílnou součástí této Smlouvy.</w:t>
      </w:r>
    </w:p>
    <w:p w:rsidR="00F471E7" w:rsidRDefault="006A51BB">
      <w:pPr>
        <w:numPr>
          <w:ilvl w:val="0"/>
          <w:numId w:val="6"/>
        </w:numPr>
        <w:tabs>
          <w:tab w:val="left" w:pos="360"/>
          <w:tab w:val="left" w:pos="720"/>
        </w:tabs>
        <w:ind w:hanging="360"/>
        <w:jc w:val="both"/>
        <w:rPr>
          <w:highlight w:val="white"/>
        </w:rPr>
      </w:pPr>
      <w:r>
        <w:rPr>
          <w:highlight w:val="white"/>
        </w:rPr>
        <w:t>Poskytovatel může Zákazníkovi na základě dohody se Zákazníkem poskytnout i další služby, které nejsou výslovně uvedeny v této Smlouvě. Nedohodne-li se Poskytovatel a Zákazník jinak, úplata za takové služby se řídí platným ceníkem Poskytovatele, který je součástí Specifikace.</w:t>
      </w:r>
    </w:p>
    <w:p w:rsidR="00F471E7" w:rsidRDefault="006A51BB">
      <w:pPr>
        <w:pStyle w:val="Nadpis1"/>
        <w:tabs>
          <w:tab w:val="left" w:pos="708"/>
        </w:tabs>
        <w:contextualSpacing w:val="0"/>
        <w:jc w:val="both"/>
      </w:pPr>
      <w:r>
        <w:rPr>
          <w:highlight w:val="white"/>
        </w:rPr>
        <w:lastRenderedPageBreak/>
        <w:t>Článek III. Cenová ujednání</w:t>
      </w:r>
    </w:p>
    <w:p w:rsidR="00F471E7" w:rsidRDefault="006A51BB">
      <w:pPr>
        <w:numPr>
          <w:ilvl w:val="0"/>
          <w:numId w:val="7"/>
        </w:numPr>
        <w:tabs>
          <w:tab w:val="left" w:pos="360"/>
          <w:tab w:val="left" w:pos="720"/>
        </w:tabs>
        <w:ind w:hanging="360"/>
        <w:jc w:val="both"/>
        <w:rPr>
          <w:highlight w:val="white"/>
        </w:rPr>
      </w:pPr>
      <w:r>
        <w:rPr>
          <w:highlight w:val="white"/>
        </w:rPr>
        <w:t>Účtovacím obdobím je kalendářní měsíc.</w:t>
      </w:r>
    </w:p>
    <w:p w:rsidR="00F471E7" w:rsidRDefault="006A51BB">
      <w:pPr>
        <w:numPr>
          <w:ilvl w:val="0"/>
          <w:numId w:val="7"/>
        </w:numPr>
        <w:tabs>
          <w:tab w:val="left" w:pos="360"/>
          <w:tab w:val="left" w:pos="720"/>
        </w:tabs>
        <w:ind w:hanging="360"/>
        <w:jc w:val="both"/>
        <w:rPr>
          <w:highlight w:val="white"/>
        </w:rPr>
      </w:pPr>
      <w:r>
        <w:rPr>
          <w:highlight w:val="white"/>
        </w:rPr>
        <w:t xml:space="preserve">Zákazník se zavazuje Poskytovateli platit smluvní </w:t>
      </w:r>
      <w:r>
        <w:rPr>
          <w:b/>
          <w:highlight w:val="white"/>
        </w:rPr>
        <w:t>cenu za pravidelné plnění služeb</w:t>
      </w:r>
      <w:r>
        <w:rPr>
          <w:highlight w:val="white"/>
        </w:rPr>
        <w:t xml:space="preserve"> ve výši dané Specifikací (viz článek II. Specifikace), a to pravidelně za každé účtovací období po jeho ukončení; splatnost této ceny je 14 kalendářním dnem po uplynutí účtovacího období.</w:t>
      </w:r>
    </w:p>
    <w:p w:rsidR="00F471E7" w:rsidRDefault="006A51BB">
      <w:pPr>
        <w:numPr>
          <w:ilvl w:val="0"/>
          <w:numId w:val="7"/>
        </w:numPr>
        <w:tabs>
          <w:tab w:val="left" w:pos="360"/>
          <w:tab w:val="left" w:pos="720"/>
        </w:tabs>
        <w:ind w:hanging="360"/>
        <w:jc w:val="both"/>
        <w:rPr>
          <w:highlight w:val="white"/>
        </w:rPr>
      </w:pPr>
      <w:r>
        <w:rPr>
          <w:highlight w:val="white"/>
        </w:rPr>
        <w:t xml:space="preserve">Zákazník se dále zavazuje Poskytovateli platit smluvní </w:t>
      </w:r>
      <w:r>
        <w:rPr>
          <w:b/>
          <w:highlight w:val="white"/>
        </w:rPr>
        <w:t xml:space="preserve">cenu za nepravidelné plnění služeb </w:t>
      </w:r>
      <w:r>
        <w:rPr>
          <w:highlight w:val="white"/>
        </w:rPr>
        <w:t>ve výši určené dle sazeb uvedených v článku IV. Specifikace, a to na základě skutečně využitého plnění za každé účtovací období po jeho ukončení; splatnost této ceny je 14 kalendářním dnem po uplynutí účtovacího období.</w:t>
      </w:r>
    </w:p>
    <w:p w:rsidR="00F471E7" w:rsidRDefault="006A51BB">
      <w:pPr>
        <w:numPr>
          <w:ilvl w:val="0"/>
          <w:numId w:val="7"/>
        </w:numPr>
        <w:tabs>
          <w:tab w:val="left" w:pos="360"/>
          <w:tab w:val="left" w:pos="720"/>
        </w:tabs>
        <w:ind w:hanging="360"/>
        <w:jc w:val="both"/>
        <w:rPr>
          <w:highlight w:val="white"/>
        </w:rPr>
      </w:pPr>
      <w:r>
        <w:rPr>
          <w:highlight w:val="white"/>
        </w:rPr>
        <w:t xml:space="preserve">Cena Projektu (viz bod I.4 VOP) se platí po jeho předání, byť by trval déle než jedno účtovací období, nedohodnou-li se smluvní strany jinak, splatnost této ceny je 14 dnem po předání. </w:t>
      </w:r>
    </w:p>
    <w:p w:rsidR="00F471E7" w:rsidRDefault="006A51BB">
      <w:pPr>
        <w:numPr>
          <w:ilvl w:val="0"/>
          <w:numId w:val="7"/>
        </w:numPr>
        <w:tabs>
          <w:tab w:val="left" w:pos="360"/>
          <w:tab w:val="left" w:pos="720"/>
        </w:tabs>
        <w:ind w:hanging="360"/>
        <w:jc w:val="both"/>
        <w:rPr>
          <w:highlight w:val="white"/>
        </w:rPr>
      </w:pPr>
      <w:r>
        <w:rPr>
          <w:highlight w:val="white"/>
        </w:rPr>
        <w:t xml:space="preserve">Další účelně vynaložené náklady se platí ve skutečné a Poskytovatelem doložené výši nebo ve výši určené jeho ceníkem (viz náklady dopravy), splatnost této náhrady je 14 kalendářním dnem po předložení vyúčtování. </w:t>
      </w:r>
    </w:p>
    <w:p w:rsidR="00F471E7" w:rsidRDefault="006A51BB">
      <w:pPr>
        <w:numPr>
          <w:ilvl w:val="0"/>
          <w:numId w:val="7"/>
        </w:numPr>
        <w:tabs>
          <w:tab w:val="left" w:pos="360"/>
          <w:tab w:val="left" w:pos="720"/>
        </w:tabs>
        <w:ind w:hanging="360"/>
        <w:jc w:val="both"/>
        <w:rPr>
          <w:highlight w:val="white"/>
        </w:rPr>
      </w:pPr>
      <w:r>
        <w:rPr>
          <w:highlight w:val="white"/>
        </w:rPr>
        <w:t>Ostatní ceny plnění (služeb a zboží výše neupravené) jsou splatné vždy do 14 kalendářních dnů od dokončení díla či předání zboží.</w:t>
      </w:r>
    </w:p>
    <w:p w:rsidR="00F471E7" w:rsidRDefault="006A51BB">
      <w:pPr>
        <w:numPr>
          <w:ilvl w:val="0"/>
          <w:numId w:val="7"/>
        </w:numPr>
        <w:tabs>
          <w:tab w:val="left" w:pos="360"/>
          <w:tab w:val="left" w:pos="720"/>
        </w:tabs>
        <w:ind w:hanging="360"/>
        <w:jc w:val="both"/>
        <w:rPr>
          <w:highlight w:val="white"/>
        </w:rPr>
      </w:pPr>
      <w:r>
        <w:rPr>
          <w:highlight w:val="white"/>
        </w:rPr>
        <w:t>Ceny ve Smlouvě jsou sjednány bez daně z přidané hodnoty. Poskytovatel je plátce DPH, ceny proto budou při vyúčtování navýšeny o aktuálně platnou daň z přidané hodnoty.</w:t>
      </w:r>
    </w:p>
    <w:p w:rsidR="00F471E7" w:rsidRDefault="006A51BB">
      <w:pPr>
        <w:numPr>
          <w:ilvl w:val="0"/>
          <w:numId w:val="7"/>
        </w:numPr>
        <w:tabs>
          <w:tab w:val="left" w:pos="360"/>
          <w:tab w:val="left" w:pos="720"/>
        </w:tabs>
        <w:ind w:hanging="360"/>
        <w:jc w:val="both"/>
        <w:rPr>
          <w:highlight w:val="white"/>
        </w:rPr>
      </w:pPr>
      <w:r>
        <w:rPr>
          <w:highlight w:val="white"/>
        </w:rPr>
        <w:t xml:space="preserve">Z daňových a účetních důvodů vystaví Poskytovatel na jím poskytované plnění (zboží, služby, náhrady) fakturu; bude-li ve faktuře uvedena jiná lhůta splatnosti než ve Smlouvě, platí delší lhůta. </w:t>
      </w:r>
    </w:p>
    <w:p w:rsidR="00F471E7" w:rsidRDefault="006A51BB">
      <w:pPr>
        <w:numPr>
          <w:ilvl w:val="0"/>
          <w:numId w:val="7"/>
        </w:numPr>
        <w:tabs>
          <w:tab w:val="left" w:pos="360"/>
          <w:tab w:val="left" w:pos="720"/>
        </w:tabs>
        <w:ind w:hanging="360"/>
        <w:jc w:val="both"/>
        <w:rPr>
          <w:highlight w:val="white"/>
        </w:rPr>
      </w:pPr>
      <w:r>
        <w:rPr>
          <w:highlight w:val="white"/>
        </w:rPr>
        <w:t>Cena se považuje za zaplacenou připsáním platby na účet Poskytovatele, uvedený na faktuře Poskytovatele.</w:t>
      </w:r>
    </w:p>
    <w:p w:rsidR="00F471E7" w:rsidRDefault="006A51BB">
      <w:pPr>
        <w:numPr>
          <w:ilvl w:val="0"/>
          <w:numId w:val="7"/>
        </w:numPr>
        <w:tabs>
          <w:tab w:val="left" w:pos="360"/>
          <w:tab w:val="left" w:pos="720"/>
        </w:tabs>
        <w:ind w:hanging="360"/>
        <w:jc w:val="both"/>
        <w:rPr>
          <w:highlight w:val="white"/>
        </w:rPr>
      </w:pPr>
      <w:r>
        <w:rPr>
          <w:highlight w:val="white"/>
        </w:rPr>
        <w:t>Poskytovatel může ceny uvedené ve Specifikaci upravit o míru inflace, která nastala od doby počátku platnosti Specifikace do doby úpravy, a to ve výši odpovídající výši inflace ohlášené Českým statistickým úřadem nebo jiným obdobným státním úřadem. O provedené úpravě vyrozumí Zákazníka písemným sdělením; tato úprava se považuje za dohodnutý způsob změny Smlouvy.</w:t>
      </w:r>
    </w:p>
    <w:p w:rsidR="00F471E7" w:rsidRDefault="006A51BB">
      <w:pPr>
        <w:pStyle w:val="Nadpis1"/>
        <w:contextualSpacing w:val="0"/>
        <w:jc w:val="both"/>
      </w:pPr>
      <w:r>
        <w:rPr>
          <w:highlight w:val="white"/>
        </w:rPr>
        <w:t>Článek IV. Sankce</w:t>
      </w:r>
    </w:p>
    <w:p w:rsidR="00F471E7" w:rsidRDefault="006A51BB">
      <w:pPr>
        <w:numPr>
          <w:ilvl w:val="0"/>
          <w:numId w:val="1"/>
        </w:numPr>
        <w:tabs>
          <w:tab w:val="left" w:pos="360"/>
          <w:tab w:val="left" w:pos="720"/>
        </w:tabs>
        <w:ind w:hanging="360"/>
        <w:jc w:val="both"/>
        <w:rPr>
          <w:highlight w:val="white"/>
        </w:rPr>
      </w:pPr>
      <w:r>
        <w:rPr>
          <w:highlight w:val="white"/>
        </w:rPr>
        <w:t>V případě, že pro ten který požadavek s kritickou prioritou nedodrží Poskytovatel lhůty, stanovené ve VOP a Specifikaci, zavazuje se Poskytovatel Zákazníkovi zaplatit smluvní pokutu ve výši 500 Kč za každou hodinu prodlení. Celková výše smluvní pokuty dle tohoto ujednání je limitována tak, že nemůže v příslušném účetním období překročit částku, odpovídající součtu cen za pravidelné a nepravidelné služby, kterou je za příslušné účetní období Zákazník Poskytovateli povinen zaplatit dle ujednání v bodech III.2 a III.3 Smlouvy.</w:t>
      </w:r>
    </w:p>
    <w:p w:rsidR="00F471E7" w:rsidRDefault="006A51BB">
      <w:pPr>
        <w:numPr>
          <w:ilvl w:val="0"/>
          <w:numId w:val="1"/>
        </w:numPr>
        <w:tabs>
          <w:tab w:val="left" w:pos="360"/>
          <w:tab w:val="left" w:pos="720"/>
        </w:tabs>
        <w:ind w:hanging="360"/>
        <w:jc w:val="both"/>
        <w:rPr>
          <w:highlight w:val="white"/>
        </w:rPr>
      </w:pPr>
      <w:r>
        <w:rPr>
          <w:highlight w:val="white"/>
        </w:rPr>
        <w:t>V případě prodlení Zákazníka s placením Poskytovateli je Zákazník povinen zaplatit Poskytovateli smluvní pokutu ve výši 0,05% z dlužné částky za každý den prodlení.</w:t>
      </w:r>
    </w:p>
    <w:p w:rsidR="00F471E7" w:rsidRDefault="006A51BB">
      <w:pPr>
        <w:numPr>
          <w:ilvl w:val="0"/>
          <w:numId w:val="1"/>
        </w:numPr>
        <w:tabs>
          <w:tab w:val="left" w:pos="360"/>
          <w:tab w:val="left" w:pos="720"/>
        </w:tabs>
        <w:ind w:hanging="360"/>
        <w:jc w:val="both"/>
        <w:rPr>
          <w:highlight w:val="white"/>
        </w:rPr>
      </w:pPr>
      <w:r>
        <w:rPr>
          <w:highlight w:val="white"/>
        </w:rPr>
        <w:t>V případě prodlení Zákazníka s placením Poskytovateli v částce vyšší než 2 000 Kč je Poskytovatel oprávněn pozastavit další plnění Smlouvy, a to až do doby, než budou všechny závazky uhrazeny. Povinnost Zákazníka plnit jeho smluvní povinnosti tím není dotčena.</w:t>
      </w:r>
    </w:p>
    <w:p w:rsidR="00F471E7" w:rsidRDefault="006A51BB">
      <w:pPr>
        <w:numPr>
          <w:ilvl w:val="0"/>
          <w:numId w:val="1"/>
        </w:numPr>
        <w:tabs>
          <w:tab w:val="left" w:pos="360"/>
          <w:tab w:val="left" w:pos="720"/>
        </w:tabs>
        <w:ind w:hanging="360"/>
        <w:jc w:val="both"/>
        <w:rPr>
          <w:highlight w:val="white"/>
        </w:rPr>
      </w:pPr>
      <w:r>
        <w:rPr>
          <w:highlight w:val="white"/>
        </w:rPr>
        <w:t>V případě prodlení Zákazníka s placením Poskytovateli v částce vyšší než 2 000 Kč a delším než 1 měsíc je Poskytovatel oprávněn od Smlouvy odstoupit za podmínek uvedených v článku VII.  Smlouvy.</w:t>
      </w:r>
    </w:p>
    <w:p w:rsidR="00F471E7" w:rsidRDefault="006A51BB">
      <w:pPr>
        <w:pStyle w:val="Nadpis1"/>
        <w:contextualSpacing w:val="0"/>
        <w:jc w:val="both"/>
      </w:pPr>
      <w:r>
        <w:rPr>
          <w:highlight w:val="white"/>
        </w:rPr>
        <w:t>Článek V. Mlčenlivost a ochrana smluvních stran</w:t>
      </w:r>
    </w:p>
    <w:p w:rsidR="00F471E7" w:rsidRDefault="006A51BB">
      <w:pPr>
        <w:numPr>
          <w:ilvl w:val="0"/>
          <w:numId w:val="2"/>
        </w:numPr>
        <w:tabs>
          <w:tab w:val="left" w:pos="360"/>
          <w:tab w:val="left" w:pos="720"/>
        </w:tabs>
        <w:ind w:hanging="360"/>
        <w:jc w:val="both"/>
        <w:rPr>
          <w:highlight w:val="white"/>
        </w:rPr>
      </w:pPr>
      <w:r>
        <w:rPr>
          <w:highlight w:val="white"/>
        </w:rPr>
        <w:lastRenderedPageBreak/>
        <w:t>Smluvní strany se zavazují udržovat v tajnosti obsah předaných podkladů, svěřená data i další informace o druhé smluvní straně, které se dozvěděly v souvislosti se Smlouvou a jejím plněním, a to po celou dobu trvání Smlouvy a 2 roky po jejím skončení.</w:t>
      </w:r>
    </w:p>
    <w:p w:rsidR="00F471E7" w:rsidRDefault="006A51BB">
      <w:pPr>
        <w:numPr>
          <w:ilvl w:val="0"/>
          <w:numId w:val="2"/>
        </w:numPr>
        <w:tabs>
          <w:tab w:val="left" w:pos="360"/>
          <w:tab w:val="left" w:pos="720"/>
        </w:tabs>
        <w:ind w:hanging="360"/>
        <w:jc w:val="both"/>
        <w:rPr>
          <w:highlight w:val="white"/>
        </w:rPr>
      </w:pPr>
      <w:r>
        <w:rPr>
          <w:highlight w:val="white"/>
        </w:rPr>
        <w:t>Tato ustanovení se vztahují nejen na obchodní tajemství, ale na všechny informace, které nejsou výslovně označeny jako veřejné nebo nebyly veřejnosti známy před účinností Smlouvy nebo se nestaly veřejnosti známými v průběhu trvání Smlouvy bez přičinění té smluvní strany, která je zavázána k jejich ochraně.</w:t>
      </w:r>
    </w:p>
    <w:p w:rsidR="00F471E7" w:rsidRDefault="006A51BB">
      <w:pPr>
        <w:numPr>
          <w:ilvl w:val="0"/>
          <w:numId w:val="2"/>
        </w:numPr>
        <w:tabs>
          <w:tab w:val="left" w:pos="360"/>
          <w:tab w:val="left" w:pos="720"/>
        </w:tabs>
        <w:ind w:hanging="360"/>
        <w:jc w:val="both"/>
        <w:rPr>
          <w:highlight w:val="white"/>
        </w:rPr>
      </w:pPr>
      <w:r>
        <w:rPr>
          <w:highlight w:val="white"/>
        </w:rPr>
        <w:t>V případě porušení ujednání uvedeného v tomto odstavci je poškozené straně povinna druhá smluvní strana zaplatit smluvní pokutu ve výši 100 000 Kč, případná odpovědnost za škodu tím není dotčena.</w:t>
      </w:r>
    </w:p>
    <w:p w:rsidR="00F471E7" w:rsidRDefault="006A51BB">
      <w:pPr>
        <w:numPr>
          <w:ilvl w:val="0"/>
          <w:numId w:val="2"/>
        </w:numPr>
        <w:tabs>
          <w:tab w:val="left" w:pos="360"/>
          <w:tab w:val="left" w:pos="720"/>
        </w:tabs>
        <w:ind w:hanging="360"/>
        <w:jc w:val="both"/>
        <w:rPr>
          <w:highlight w:val="white"/>
        </w:rPr>
      </w:pPr>
      <w:r>
        <w:rPr>
          <w:highlight w:val="white"/>
        </w:rPr>
        <w:t>Smluvní strany se zavazují k tomu, že všechny technické prostředky druhé smluvní strany, podklady, svěřená data a informace, ke kterým budou mít přístup v souvislosti se Smlouvou a jejím plněním, nebo které se od druhé smluvní strany v souvislosti se Smlouvou dozví, budou použity pouze k účelům plnění Smlouvy. V případě porušení ujednání uvedeného v tomto odstavci je poškozené straně povinna druhá smluvní strana zaplatit smluvní pokutu ve výši 100 000 Kč, případná odpovědnost za škodu tím není dotčena.</w:t>
      </w:r>
    </w:p>
    <w:p w:rsidR="00F471E7" w:rsidRDefault="006A51BB">
      <w:pPr>
        <w:numPr>
          <w:ilvl w:val="0"/>
          <w:numId w:val="2"/>
        </w:numPr>
        <w:tabs>
          <w:tab w:val="left" w:pos="360"/>
          <w:tab w:val="left" w:pos="720"/>
        </w:tabs>
        <w:ind w:hanging="360"/>
        <w:jc w:val="both"/>
        <w:rPr>
          <w:highlight w:val="white"/>
        </w:rPr>
      </w:pPr>
      <w:r>
        <w:rPr>
          <w:highlight w:val="white"/>
        </w:rPr>
        <w:t xml:space="preserve">Poskytovatel se zavazuje k plnění Smlouvy používat výhradně legálně licencovaný software, zároveň se zavazuje instalovat na Informační technologie Zákazníka software nebo další autorská díla pouze v souladu s licenčními ujednáními. Poskytovatel se zavazuje, že vědomě neuvede Zákazníka v nebezpečí odpovědnosti za používání software nebo autorských děl v rozporu s licenčním ujednáním a právními předpisy. </w:t>
      </w:r>
    </w:p>
    <w:p w:rsidR="00F471E7" w:rsidRDefault="006A51BB">
      <w:pPr>
        <w:numPr>
          <w:ilvl w:val="0"/>
          <w:numId w:val="2"/>
        </w:numPr>
        <w:tabs>
          <w:tab w:val="left" w:pos="360"/>
          <w:tab w:val="left" w:pos="720"/>
        </w:tabs>
        <w:ind w:hanging="360"/>
        <w:jc w:val="both"/>
        <w:rPr>
          <w:highlight w:val="white"/>
        </w:rPr>
      </w:pPr>
      <w:r>
        <w:rPr>
          <w:highlight w:val="white"/>
        </w:rPr>
        <w:t>Poskytovatel není povinen plnit Smlouvu, pokud by se plnění požadované Zákazníkem mělo týkat software nebo jiných autorských děl, použitých v rozporu s licenčním ujednáním nebo nelegálně, či jiného protiprávního nebo neetického jednání.</w:t>
      </w:r>
    </w:p>
    <w:p w:rsidR="00F471E7" w:rsidRDefault="006A51BB">
      <w:pPr>
        <w:pStyle w:val="Nadpis1"/>
        <w:contextualSpacing w:val="0"/>
        <w:jc w:val="both"/>
      </w:pPr>
      <w:r>
        <w:rPr>
          <w:highlight w:val="white"/>
        </w:rPr>
        <w:t>Článek VI. Součinnost a spolupráce</w:t>
      </w:r>
    </w:p>
    <w:p w:rsidR="00F471E7" w:rsidRDefault="006A51BB">
      <w:pPr>
        <w:numPr>
          <w:ilvl w:val="0"/>
          <w:numId w:val="3"/>
        </w:numPr>
        <w:tabs>
          <w:tab w:val="left" w:pos="360"/>
          <w:tab w:val="left" w:pos="720"/>
        </w:tabs>
        <w:ind w:hanging="360"/>
        <w:jc w:val="both"/>
        <w:rPr>
          <w:highlight w:val="white"/>
        </w:rPr>
      </w:pPr>
      <w:r>
        <w:rPr>
          <w:highlight w:val="white"/>
        </w:rPr>
        <w:t>Zákazník se zavazuje zajistit po celou dobu trvání Smlouvy Poskytovateli veškerou potřebnou součinnost nutnou k jejímu řádnému a včasnému plnění Zejména se zavazuje Poskytovateli takto umožnit přístup k Informačním technologiím, a to podle potřeby fyzický nebo síťový a zajistit Poskytovateli pracovní prostor vhodný pro plnění Smlouvy.</w:t>
      </w:r>
    </w:p>
    <w:p w:rsidR="00F471E7" w:rsidRDefault="006A51BB">
      <w:pPr>
        <w:numPr>
          <w:ilvl w:val="0"/>
          <w:numId w:val="3"/>
        </w:numPr>
        <w:tabs>
          <w:tab w:val="left" w:pos="360"/>
          <w:tab w:val="left" w:pos="720"/>
        </w:tabs>
        <w:ind w:hanging="360"/>
        <w:jc w:val="both"/>
        <w:rPr>
          <w:highlight w:val="white"/>
        </w:rPr>
      </w:pPr>
      <w:r>
        <w:rPr>
          <w:highlight w:val="white"/>
        </w:rPr>
        <w:t>Poskytovatel a Zákazník se dohodli, že správu Informačních technologií provádí společně.</w:t>
      </w:r>
    </w:p>
    <w:p w:rsidR="00F471E7" w:rsidRDefault="006A51BB">
      <w:pPr>
        <w:numPr>
          <w:ilvl w:val="0"/>
          <w:numId w:val="3"/>
        </w:numPr>
        <w:tabs>
          <w:tab w:val="left" w:pos="360"/>
          <w:tab w:val="left" w:pos="720"/>
        </w:tabs>
        <w:ind w:hanging="360"/>
        <w:jc w:val="both"/>
        <w:rPr>
          <w:highlight w:val="white"/>
        </w:rPr>
      </w:pPr>
      <w:r>
        <w:rPr>
          <w:highlight w:val="white"/>
        </w:rPr>
        <w:t>Zákazník bere na vědomí, že by měl veškerou instalaci, odinstalaci, Upgrade, rekonfiguraci, návrh či implementaci nových informačních a komunikačních systémů či jiné zásahy do Informačních technologií, provedené z vlastního rozhodnutí, ať je provede sám nebo nechá provést jiným, s Poskytovatelem předem konzultovat. Není-li to možné, zavazuje se Poskytovatele o těchto zásazích alespoň bezodkladně informovat.</w:t>
      </w:r>
    </w:p>
    <w:p w:rsidR="00F471E7" w:rsidRDefault="006A51BB">
      <w:pPr>
        <w:numPr>
          <w:ilvl w:val="0"/>
          <w:numId w:val="3"/>
        </w:numPr>
        <w:tabs>
          <w:tab w:val="left" w:pos="360"/>
          <w:tab w:val="left" w:pos="720"/>
        </w:tabs>
        <w:ind w:hanging="360"/>
        <w:jc w:val="both"/>
        <w:rPr>
          <w:highlight w:val="white"/>
        </w:rPr>
      </w:pPr>
      <w:r>
        <w:rPr>
          <w:highlight w:val="white"/>
        </w:rPr>
        <w:t>Poskytovatel neodpovídá za škody, způsobené byť i chybou Poskytovatele, pokud chyba vznikla proto, že Poskytovatel nebyl Zákazníkem informován o změně, provedené v předmětné součásti Informačních technologií Zákazníkem nebo Zákazníkem pověřenou třetí osobou.</w:t>
      </w:r>
    </w:p>
    <w:p w:rsidR="00F471E7" w:rsidRDefault="006A51BB">
      <w:pPr>
        <w:pStyle w:val="Nadpis1"/>
        <w:tabs>
          <w:tab w:val="left" w:pos="720"/>
        </w:tabs>
        <w:contextualSpacing w:val="0"/>
        <w:jc w:val="both"/>
      </w:pPr>
      <w:r>
        <w:rPr>
          <w:highlight w:val="white"/>
        </w:rPr>
        <w:t xml:space="preserve">Článek VII. Doba platnosti </w:t>
      </w:r>
    </w:p>
    <w:p w:rsidR="00F471E7" w:rsidRDefault="006A51BB">
      <w:pPr>
        <w:numPr>
          <w:ilvl w:val="0"/>
          <w:numId w:val="4"/>
        </w:numPr>
        <w:tabs>
          <w:tab w:val="left" w:pos="360"/>
          <w:tab w:val="left" w:pos="720"/>
        </w:tabs>
        <w:ind w:hanging="360"/>
        <w:jc w:val="both"/>
        <w:rPr>
          <w:highlight w:val="white"/>
        </w:rPr>
      </w:pPr>
      <w:r>
        <w:rPr>
          <w:highlight w:val="white"/>
        </w:rPr>
        <w:t xml:space="preserve">Smlouva se uzavírá </w:t>
      </w:r>
      <w:r>
        <w:rPr>
          <w:b/>
          <w:highlight w:val="white"/>
        </w:rPr>
        <w:t>na dobu určitou do 31. 12. 2021</w:t>
      </w:r>
      <w:r>
        <w:rPr>
          <w:highlight w:val="white"/>
        </w:rPr>
        <w:t xml:space="preserve"> a v platnost a účinnost vstupuje dnem podpisu oběma smluvními stranami.</w:t>
      </w:r>
    </w:p>
    <w:p w:rsidR="00F471E7" w:rsidRDefault="006A51BB">
      <w:pPr>
        <w:numPr>
          <w:ilvl w:val="0"/>
          <w:numId w:val="4"/>
        </w:numPr>
        <w:tabs>
          <w:tab w:val="left" w:pos="360"/>
          <w:tab w:val="left" w:pos="720"/>
        </w:tabs>
        <w:ind w:hanging="360"/>
        <w:jc w:val="both"/>
        <w:rPr>
          <w:highlight w:val="white"/>
        </w:rPr>
      </w:pPr>
      <w:r>
        <w:rPr>
          <w:highlight w:val="white"/>
        </w:rPr>
        <w:t>Kterákoliv smluvní strana může od Smlouvy odstoupit bez uvedení důvodů, přičemž výpovědní lhůta je stanovena na 1 měsíc a počíná běžet prvního dne měsíce následujícího po měsíci, kdy byla výpověď doručena druhé smluvní straně.</w:t>
      </w:r>
    </w:p>
    <w:p w:rsidR="00F471E7" w:rsidRDefault="006A51BB">
      <w:pPr>
        <w:numPr>
          <w:ilvl w:val="0"/>
          <w:numId w:val="4"/>
        </w:numPr>
        <w:tabs>
          <w:tab w:val="left" w:pos="360"/>
          <w:tab w:val="left" w:pos="720"/>
        </w:tabs>
        <w:ind w:hanging="360"/>
        <w:jc w:val="both"/>
        <w:rPr>
          <w:highlight w:val="white"/>
        </w:rPr>
      </w:pPr>
      <w:r>
        <w:rPr>
          <w:highlight w:val="white"/>
        </w:rPr>
        <w:lastRenderedPageBreak/>
        <w:t>Smluvní strany mohou též od Smlouvy odstoupit okamžitě bez výpovědní lhůty, pokud druhá strana poruší povinnosti dle článků V. a VI. Smlouvy.</w:t>
      </w:r>
    </w:p>
    <w:p w:rsidR="00F471E7" w:rsidRDefault="006A51BB">
      <w:pPr>
        <w:pStyle w:val="Nadpis1"/>
        <w:tabs>
          <w:tab w:val="left" w:pos="720"/>
        </w:tabs>
        <w:contextualSpacing w:val="0"/>
        <w:jc w:val="both"/>
      </w:pPr>
      <w:r>
        <w:rPr>
          <w:highlight w:val="white"/>
        </w:rPr>
        <w:t>Článek VIII.</w:t>
      </w:r>
      <w:r>
        <w:rPr>
          <w:highlight w:val="white"/>
        </w:rPr>
        <w:tab/>
        <w:t>Ostatní ujednání</w:t>
      </w:r>
    </w:p>
    <w:p w:rsidR="00F471E7" w:rsidRDefault="006A51BB">
      <w:pPr>
        <w:numPr>
          <w:ilvl w:val="0"/>
          <w:numId w:val="5"/>
        </w:numPr>
        <w:tabs>
          <w:tab w:val="left" w:pos="360"/>
          <w:tab w:val="left" w:pos="720"/>
        </w:tabs>
        <w:ind w:hanging="360"/>
        <w:jc w:val="both"/>
        <w:rPr>
          <w:highlight w:val="white"/>
        </w:rPr>
      </w:pPr>
      <w:r>
        <w:rPr>
          <w:highlight w:val="white"/>
        </w:rPr>
        <w:t>Smluvní strany se dohodly, že Smlouva ke dni, kdy vstupuje v účinnost, ruší a nahrazuje všechny předchozí smlouvy a dohody, byť i ústní, které byly mezi smluvními stranami sjednány.</w:t>
      </w:r>
    </w:p>
    <w:p w:rsidR="00F471E7" w:rsidRDefault="006A51BB">
      <w:pPr>
        <w:numPr>
          <w:ilvl w:val="0"/>
          <w:numId w:val="5"/>
        </w:numPr>
        <w:tabs>
          <w:tab w:val="left" w:pos="360"/>
          <w:tab w:val="left" w:pos="720"/>
        </w:tabs>
        <w:ind w:hanging="360"/>
        <w:jc w:val="both"/>
        <w:rPr>
          <w:highlight w:val="white"/>
        </w:rPr>
      </w:pPr>
      <w:r>
        <w:rPr>
          <w:highlight w:val="white"/>
        </w:rPr>
        <w:t>Sdělení, výpověď nebo odstoupení musí být v písemné podobě. Je nutné je vždy doručit druhé smluvní straně. Písemná forma je zachována i tehdy, je-li k doručení použit fax nebo elektronická pošta, přičemž doručení je možné doložit i elektronickým potvrzením o přečtení elektronické pošty. Za doručení se považuje i předání listiny do sféry dispozice druhé smluvní strany, přitom není podstatné, zda se druhá strana s obsahem listiny seznámila.</w:t>
      </w:r>
    </w:p>
    <w:p w:rsidR="00F471E7" w:rsidRDefault="006A51BB">
      <w:pPr>
        <w:numPr>
          <w:ilvl w:val="0"/>
          <w:numId w:val="5"/>
        </w:numPr>
        <w:tabs>
          <w:tab w:val="left" w:pos="360"/>
          <w:tab w:val="left" w:pos="720"/>
        </w:tabs>
        <w:ind w:hanging="360"/>
        <w:jc w:val="both"/>
        <w:rPr>
          <w:highlight w:val="white"/>
        </w:rPr>
      </w:pPr>
      <w:r>
        <w:rPr>
          <w:highlight w:val="white"/>
        </w:rPr>
        <w:t>Smluvní strany se dohodly, že nadpisy jednotlivých částí této Smlouvy mají význam jen pro orientaci ve Smlouvě a nebude k nim přihlíženo při výkladu významu této Smlouvy.</w:t>
      </w:r>
    </w:p>
    <w:p w:rsidR="00F471E7" w:rsidRDefault="006A51BB">
      <w:pPr>
        <w:numPr>
          <w:ilvl w:val="0"/>
          <w:numId w:val="5"/>
        </w:numPr>
        <w:tabs>
          <w:tab w:val="left" w:pos="360"/>
          <w:tab w:val="left" w:pos="720"/>
        </w:tabs>
        <w:ind w:hanging="360"/>
        <w:jc w:val="both"/>
        <w:rPr>
          <w:highlight w:val="white"/>
        </w:rPr>
      </w:pPr>
      <w:r>
        <w:rPr>
          <w:highlight w:val="white"/>
        </w:rPr>
        <w:t xml:space="preserve">Smluvní strany se dohodly, že se jejich vztahy řídí obchodním zákoníkem v platném znění. Případné změny této Smlouvy vyžadují formu číslovaného písemného dodatku podepsaného oběma smluvními stranami; s výjimkou zvláštní úpravy přijímání změn Specifikace dle čl. II. odst. 2. </w:t>
      </w:r>
    </w:p>
    <w:p w:rsidR="00F471E7" w:rsidRDefault="006A51BB">
      <w:pPr>
        <w:numPr>
          <w:ilvl w:val="0"/>
          <w:numId w:val="5"/>
        </w:numPr>
        <w:tabs>
          <w:tab w:val="left" w:pos="360"/>
          <w:tab w:val="left" w:pos="720"/>
        </w:tabs>
        <w:ind w:hanging="360"/>
        <w:jc w:val="both"/>
        <w:rPr>
          <w:highlight w:val="white"/>
        </w:rPr>
      </w:pPr>
      <w:r>
        <w:rPr>
          <w:highlight w:val="white"/>
        </w:rPr>
        <w:t xml:space="preserve">Smlouva je sepsána ve dvou vyhotoveních se stejnou platností a obsahuje též dvě přílohy (Specifikaci a Všeobecné obchodní podmínky), z nichž každá smluvní strana obdrží jedno. </w:t>
      </w:r>
    </w:p>
    <w:p w:rsidR="00F471E7" w:rsidRDefault="006A51BB">
      <w:pPr>
        <w:numPr>
          <w:ilvl w:val="0"/>
          <w:numId w:val="5"/>
        </w:numPr>
        <w:tabs>
          <w:tab w:val="left" w:pos="360"/>
          <w:tab w:val="left" w:pos="720"/>
        </w:tabs>
        <w:ind w:hanging="360"/>
        <w:jc w:val="both"/>
        <w:rPr>
          <w:highlight w:val="white"/>
        </w:rPr>
      </w:pPr>
      <w:r>
        <w:rPr>
          <w:highlight w:val="white"/>
        </w:rPr>
        <w:t>Obě smluvní strany prohlašují, že tuto Smlouvu uzavírají svobodně a vážně, vědomé si právních následků z ní vyplývajících, a na důkaz toho připojují své podpisy.</w:t>
      </w:r>
    </w:p>
    <w:p w:rsidR="00F471E7" w:rsidRDefault="00F471E7">
      <w:pPr>
        <w:ind w:firstLine="708"/>
        <w:contextualSpacing w:val="0"/>
        <w:jc w:val="both"/>
      </w:pPr>
    </w:p>
    <w:p w:rsidR="00F471E7" w:rsidRDefault="00F471E7">
      <w:pPr>
        <w:ind w:firstLine="708"/>
        <w:contextualSpacing w:val="0"/>
        <w:jc w:val="both"/>
      </w:pPr>
    </w:p>
    <w:p w:rsidR="00F471E7" w:rsidRDefault="00F471E7">
      <w:pPr>
        <w:ind w:firstLine="708"/>
        <w:contextualSpacing w:val="0"/>
        <w:jc w:val="both"/>
      </w:pPr>
    </w:p>
    <w:p w:rsidR="00F471E7" w:rsidRDefault="00F471E7">
      <w:pPr>
        <w:ind w:firstLine="708"/>
        <w:contextualSpacing w:val="0"/>
        <w:jc w:val="both"/>
      </w:pPr>
    </w:p>
    <w:p w:rsidR="00F471E7" w:rsidRDefault="006A51BB">
      <w:pPr>
        <w:ind w:left="420"/>
        <w:contextualSpacing w:val="0"/>
        <w:jc w:val="both"/>
      </w:pPr>
      <w:r>
        <w:rPr>
          <w:highlight w:val="white"/>
        </w:rPr>
        <w:t>V Ústí nad Labem dne 1. ledna 2017</w:t>
      </w:r>
    </w:p>
    <w:p w:rsidR="00F471E7" w:rsidRDefault="00F471E7">
      <w:pPr>
        <w:contextualSpacing w:val="0"/>
        <w:jc w:val="both"/>
      </w:pPr>
    </w:p>
    <w:p w:rsidR="00F471E7" w:rsidRDefault="00F471E7">
      <w:pPr>
        <w:contextualSpacing w:val="0"/>
        <w:jc w:val="both"/>
      </w:pPr>
    </w:p>
    <w:p w:rsidR="00F471E7" w:rsidRDefault="00F471E7">
      <w:pPr>
        <w:contextualSpacing w:val="0"/>
        <w:jc w:val="both"/>
      </w:pPr>
    </w:p>
    <w:p w:rsidR="00F471E7" w:rsidRDefault="00F471E7">
      <w:pPr>
        <w:contextualSpacing w:val="0"/>
        <w:jc w:val="both"/>
      </w:pPr>
    </w:p>
    <w:p w:rsidR="00F471E7" w:rsidRDefault="00F471E7">
      <w:pPr>
        <w:contextualSpacing w:val="0"/>
        <w:jc w:val="both"/>
      </w:pPr>
    </w:p>
    <w:p w:rsidR="00F471E7" w:rsidRDefault="00F471E7">
      <w:pPr>
        <w:contextualSpacing w:val="0"/>
        <w:jc w:val="both"/>
      </w:pPr>
    </w:p>
    <w:p w:rsidR="00F471E7" w:rsidRDefault="00F471E7">
      <w:pPr>
        <w:contextualSpacing w:val="0"/>
        <w:jc w:val="both"/>
      </w:pPr>
    </w:p>
    <w:p w:rsidR="00F471E7" w:rsidRDefault="006A51BB">
      <w:pPr>
        <w:ind w:firstLine="420"/>
        <w:contextualSpacing w:val="0"/>
        <w:jc w:val="both"/>
      </w:pPr>
      <w:r>
        <w:rPr>
          <w:highlight w:val="white"/>
        </w:rPr>
        <w:t>Zákazník</w:t>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t>Poskytovatel</w:t>
      </w:r>
    </w:p>
    <w:p w:rsidR="00F471E7" w:rsidRDefault="006A51BB">
      <w:pPr>
        <w:ind w:firstLine="420"/>
        <w:contextualSpacing w:val="0"/>
        <w:jc w:val="both"/>
      </w:pPr>
      <w:r>
        <w:rPr>
          <w:highlight w:val="white"/>
        </w:rPr>
        <w:t>VOŠZ a SŠZ, příspěvková organizace</w:t>
      </w:r>
      <w:r>
        <w:rPr>
          <w:highlight w:val="white"/>
        </w:rPr>
        <w:tab/>
      </w:r>
      <w:r>
        <w:rPr>
          <w:highlight w:val="white"/>
        </w:rPr>
        <w:tab/>
      </w:r>
      <w:r>
        <w:rPr>
          <w:highlight w:val="white"/>
        </w:rPr>
        <w:tab/>
        <w:t>Enlogit s.r.o.</w:t>
      </w:r>
    </w:p>
    <w:p w:rsidR="00F471E7" w:rsidRDefault="006A51BB">
      <w:pPr>
        <w:ind w:firstLine="420"/>
        <w:contextualSpacing w:val="0"/>
        <w:jc w:val="both"/>
      </w:pPr>
      <w:r>
        <w:rPr>
          <w:highlight w:val="white"/>
        </w:rPr>
        <w:t>ředitelka PhDr. Miroslava Zoubková</w:t>
      </w:r>
      <w:r>
        <w:rPr>
          <w:highlight w:val="white"/>
        </w:rPr>
        <w:tab/>
      </w:r>
      <w:r>
        <w:rPr>
          <w:highlight w:val="white"/>
        </w:rPr>
        <w:tab/>
      </w:r>
      <w:r>
        <w:rPr>
          <w:highlight w:val="white"/>
        </w:rPr>
        <w:tab/>
        <w:t>IT operations a service delivery director</w:t>
      </w:r>
    </w:p>
    <w:p w:rsidR="00F471E7" w:rsidRDefault="006A51BB">
      <w:pPr>
        <w:ind w:left="5760"/>
        <w:contextualSpacing w:val="0"/>
        <w:jc w:val="both"/>
      </w:pPr>
      <w:r>
        <w:rPr>
          <w:highlight w:val="white"/>
        </w:rPr>
        <w:t>Lenka Ledvinová</w:t>
      </w:r>
    </w:p>
    <w:p w:rsidR="00B254FC" w:rsidRDefault="00B254FC">
      <w:pPr>
        <w:ind w:left="5760"/>
        <w:contextualSpacing w:val="0"/>
        <w:jc w:val="both"/>
      </w:pPr>
    </w:p>
    <w:p w:rsidR="00B254FC" w:rsidRDefault="00B254FC">
      <w:pPr>
        <w:ind w:left="5760"/>
        <w:contextualSpacing w:val="0"/>
        <w:jc w:val="both"/>
      </w:pPr>
    </w:p>
    <w:p w:rsidR="00B254FC" w:rsidRDefault="00B254FC">
      <w:pPr>
        <w:ind w:left="5760"/>
        <w:contextualSpacing w:val="0"/>
        <w:jc w:val="both"/>
      </w:pPr>
    </w:p>
    <w:p w:rsidR="00B254FC" w:rsidRDefault="00B254FC">
      <w:pPr>
        <w:ind w:left="5760"/>
        <w:contextualSpacing w:val="0"/>
        <w:jc w:val="both"/>
      </w:pPr>
    </w:p>
    <w:p w:rsidR="00B254FC" w:rsidRDefault="00B254FC">
      <w:pPr>
        <w:ind w:left="5760"/>
        <w:contextualSpacing w:val="0"/>
        <w:jc w:val="both"/>
      </w:pPr>
    </w:p>
    <w:p w:rsidR="00B254FC" w:rsidRDefault="00B254FC">
      <w:pPr>
        <w:ind w:left="5760"/>
        <w:contextualSpacing w:val="0"/>
        <w:jc w:val="both"/>
      </w:pPr>
    </w:p>
    <w:p w:rsidR="00B254FC" w:rsidRDefault="00B254FC">
      <w:pPr>
        <w:ind w:left="5760"/>
        <w:contextualSpacing w:val="0"/>
        <w:jc w:val="both"/>
      </w:pPr>
    </w:p>
    <w:p w:rsidR="00B254FC" w:rsidRDefault="00B254FC">
      <w:pPr>
        <w:ind w:left="5760"/>
        <w:contextualSpacing w:val="0"/>
        <w:jc w:val="both"/>
      </w:pPr>
    </w:p>
    <w:p w:rsidR="00B254FC" w:rsidRDefault="00B254FC">
      <w:pPr>
        <w:ind w:left="5760"/>
        <w:contextualSpacing w:val="0"/>
        <w:jc w:val="both"/>
      </w:pPr>
    </w:p>
    <w:p w:rsidR="00B254FC" w:rsidRDefault="00B254FC">
      <w:pPr>
        <w:ind w:left="5760"/>
        <w:contextualSpacing w:val="0"/>
        <w:jc w:val="both"/>
      </w:pPr>
    </w:p>
    <w:p w:rsidR="00B254FC" w:rsidRDefault="00B254FC">
      <w:pPr>
        <w:ind w:left="5760"/>
        <w:contextualSpacing w:val="0"/>
        <w:jc w:val="both"/>
      </w:pPr>
    </w:p>
    <w:p w:rsidR="00B254FC" w:rsidRDefault="00B254FC">
      <w:pPr>
        <w:ind w:left="5760"/>
        <w:contextualSpacing w:val="0"/>
        <w:jc w:val="both"/>
      </w:pPr>
    </w:p>
    <w:p w:rsidR="00B254FC" w:rsidRDefault="00B254FC" w:rsidP="00B254FC">
      <w:pPr>
        <w:pStyle w:val="Nzev"/>
        <w:spacing w:before="0" w:after="200" w:line="240" w:lineRule="auto"/>
        <w:contextualSpacing w:val="0"/>
        <w:jc w:val="both"/>
      </w:pPr>
      <w:r>
        <w:rPr>
          <w:sz w:val="48"/>
          <w:szCs w:val="48"/>
        </w:rPr>
        <w:t>SPECIFIKACE PLNĚNÍ</w:t>
      </w:r>
    </w:p>
    <w:p w:rsidR="00B254FC" w:rsidRDefault="00B254FC" w:rsidP="00B254FC">
      <w:pPr>
        <w:pStyle w:val="Podnadpis"/>
        <w:spacing w:before="0"/>
        <w:contextualSpacing w:val="0"/>
      </w:pPr>
      <w:r>
        <w:rPr>
          <w:sz w:val="22"/>
          <w:szCs w:val="22"/>
        </w:rPr>
        <w:t xml:space="preserve">příloha, která je nedílnou součástí smlouvy </w:t>
      </w:r>
      <w:r>
        <w:rPr>
          <w:sz w:val="22"/>
          <w:szCs w:val="22"/>
          <w:highlight w:val="white"/>
        </w:rPr>
        <w:t>označené 2017-01-VOSZaSSZ</w:t>
      </w:r>
      <w:r>
        <w:rPr>
          <w:sz w:val="22"/>
          <w:szCs w:val="22"/>
        </w:rPr>
        <w:t>, dále jen Smlouvy.</w:t>
      </w:r>
    </w:p>
    <w:p w:rsidR="00B254FC" w:rsidRDefault="00B254FC" w:rsidP="00B254FC">
      <w:pPr>
        <w:pStyle w:val="Nadpis1"/>
        <w:contextualSpacing w:val="0"/>
        <w:jc w:val="both"/>
      </w:pPr>
      <w:bookmarkStart w:id="1" w:name="_1fob9te" w:colFirst="0" w:colLast="0"/>
      <w:bookmarkEnd w:id="1"/>
      <w:r>
        <w:t>Článek I. Pokryté Systémy a sjednané Služby</w:t>
      </w:r>
    </w:p>
    <w:p w:rsidR="00B254FC" w:rsidRDefault="00B254FC" w:rsidP="00B254FC">
      <w:pPr>
        <w:numPr>
          <w:ilvl w:val="0"/>
          <w:numId w:val="9"/>
        </w:numPr>
        <w:ind w:hanging="360"/>
      </w:pPr>
      <w:r>
        <w:t>Níže uvedená tabulka vyjmenovává Systémy, které jsou pokryty Smlouvou a uvádí sjednané služby a ceny těchto služeb (ve smyslu cen za pravidelné plnění dle bodu III.1 Smlouvy). Je-li v průsečíku řádku se Systémem a sloupce se sjednanou Službou uvedeno “ano”, případně písmeno “A” nebo název Služby, má se za to, že pro daný Systém je sjednána daná Služba. V jednom řádku může být uvedena i skupina více Systémů, v takovém případě je v průsečíku řádku a sloupce uveden počet systémů, pro který je daná Služba sjednána. Je-li průsečík prázdný, proškrtnutý nebo je uvedeno slovo “ne” či písmeno “N”, má se za to, že Služba není pro daný Systém sjednána.</w:t>
      </w:r>
    </w:p>
    <w:p w:rsidR="00B254FC" w:rsidRDefault="00B254FC" w:rsidP="00B254FC">
      <w:pPr>
        <w:contextualSpacing w:val="0"/>
      </w:pPr>
    </w:p>
    <w:tbl>
      <w:tblPr>
        <w:tblW w:w="9120" w:type="dxa"/>
        <w:tblInd w:w="-60" w:type="dxa"/>
        <w:tblLayout w:type="fixed"/>
        <w:tblLook w:val="0600" w:firstRow="0" w:lastRow="0" w:firstColumn="0" w:lastColumn="0" w:noHBand="1" w:noVBand="1"/>
      </w:tblPr>
      <w:tblGrid>
        <w:gridCol w:w="2160"/>
        <w:gridCol w:w="1260"/>
        <w:gridCol w:w="1065"/>
        <w:gridCol w:w="1125"/>
        <w:gridCol w:w="1200"/>
        <w:gridCol w:w="1155"/>
        <w:gridCol w:w="1155"/>
      </w:tblGrid>
      <w:tr w:rsidR="00B254FC" w:rsidTr="00507548">
        <w:tc>
          <w:tcPr>
            <w:tcW w:w="21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254FC" w:rsidRDefault="00B254FC" w:rsidP="00507548">
            <w:pPr>
              <w:contextualSpacing w:val="0"/>
              <w:jc w:val="both"/>
            </w:pPr>
            <w:r>
              <w:rPr>
                <w:b/>
              </w:rPr>
              <w:t>Systém</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254FC" w:rsidRDefault="00B254FC" w:rsidP="00507548">
            <w:pPr>
              <w:contextualSpacing w:val="0"/>
              <w:jc w:val="both"/>
            </w:pPr>
            <w:r>
              <w:rPr>
                <w:b/>
              </w:rPr>
              <w:t>Kategorie</w:t>
            </w:r>
          </w:p>
          <w:p w:rsidR="00B254FC" w:rsidRDefault="00B254FC" w:rsidP="00507548">
            <w:pPr>
              <w:contextualSpacing w:val="0"/>
              <w:jc w:val="both"/>
            </w:pPr>
            <w:r>
              <w:rPr>
                <w:sz w:val="16"/>
                <w:szCs w:val="16"/>
              </w:rPr>
              <w:t>(viz VOP, II.)</w:t>
            </w:r>
          </w:p>
        </w:tc>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254FC" w:rsidRDefault="00B254FC" w:rsidP="00507548">
            <w:pPr>
              <w:contextualSpacing w:val="0"/>
              <w:jc w:val="both"/>
            </w:pPr>
            <w:r>
              <w:rPr>
                <w:b/>
              </w:rPr>
              <w:t>Reakční doba</w:t>
            </w:r>
          </w:p>
          <w:p w:rsidR="00B254FC" w:rsidRDefault="00B254FC" w:rsidP="00507548">
            <w:pPr>
              <w:contextualSpacing w:val="0"/>
              <w:jc w:val="both"/>
            </w:pPr>
            <w:r>
              <w:rPr>
                <w:sz w:val="16"/>
                <w:szCs w:val="16"/>
              </w:rPr>
              <w:t>(viz VOP, V.2)</w:t>
            </w:r>
          </w:p>
        </w:tc>
        <w:tc>
          <w:tcPr>
            <w:tcW w:w="11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254FC" w:rsidRDefault="00B254FC" w:rsidP="00507548">
            <w:pPr>
              <w:contextualSpacing w:val="0"/>
              <w:jc w:val="both"/>
            </w:pPr>
            <w:r>
              <w:rPr>
                <w:b/>
              </w:rPr>
              <w:t>Dohled</w:t>
            </w:r>
          </w:p>
          <w:p w:rsidR="00B254FC" w:rsidRDefault="00B254FC" w:rsidP="00507548">
            <w:pPr>
              <w:contextualSpacing w:val="0"/>
              <w:jc w:val="both"/>
            </w:pPr>
            <w:r>
              <w:rPr>
                <w:sz w:val="16"/>
                <w:szCs w:val="16"/>
              </w:rPr>
              <w:t>(viz VOP, V.3)</w:t>
            </w:r>
          </w:p>
        </w:tc>
        <w:tc>
          <w:tcPr>
            <w:tcW w:w="12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254FC" w:rsidRDefault="00B254FC" w:rsidP="00507548">
            <w:pPr>
              <w:contextualSpacing w:val="0"/>
              <w:jc w:val="both"/>
            </w:pPr>
            <w:r>
              <w:rPr>
                <w:b/>
              </w:rPr>
              <w:t>Profylaxe</w:t>
            </w:r>
          </w:p>
          <w:p w:rsidR="00B254FC" w:rsidRDefault="00B254FC" w:rsidP="00507548">
            <w:pPr>
              <w:contextualSpacing w:val="0"/>
              <w:jc w:val="both"/>
            </w:pPr>
            <w:r>
              <w:rPr>
                <w:sz w:val="16"/>
                <w:szCs w:val="16"/>
              </w:rPr>
              <w:t>(viz VOP, V.4)</w:t>
            </w:r>
          </w:p>
        </w:tc>
        <w:tc>
          <w:tcPr>
            <w:tcW w:w="115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254FC" w:rsidRDefault="00B254FC" w:rsidP="00507548">
            <w:pPr>
              <w:contextualSpacing w:val="0"/>
              <w:jc w:val="both"/>
            </w:pPr>
            <w:r>
              <w:rPr>
                <w:b/>
              </w:rPr>
              <w:t>Paušální správa</w:t>
            </w:r>
          </w:p>
          <w:p w:rsidR="00B254FC" w:rsidRDefault="00B254FC" w:rsidP="00507548">
            <w:pPr>
              <w:contextualSpacing w:val="0"/>
              <w:jc w:val="both"/>
            </w:pPr>
            <w:r>
              <w:rPr>
                <w:sz w:val="16"/>
                <w:szCs w:val="16"/>
              </w:rPr>
              <w:t>(viz VOP, V.5)</w:t>
            </w:r>
          </w:p>
        </w:tc>
        <w:tc>
          <w:tcPr>
            <w:tcW w:w="115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254FC" w:rsidRDefault="00B254FC" w:rsidP="00507548">
            <w:pPr>
              <w:contextualSpacing w:val="0"/>
              <w:jc w:val="both"/>
            </w:pPr>
            <w:r>
              <w:rPr>
                <w:b/>
              </w:rPr>
              <w:t>Cena měsíčně</w:t>
            </w:r>
          </w:p>
        </w:tc>
      </w:tr>
      <w:tr w:rsidR="00B254FC" w:rsidTr="00507548">
        <w:tc>
          <w:tcPr>
            <w:tcW w:w="21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254FC" w:rsidRDefault="00B254FC" w:rsidP="00507548">
            <w:pPr>
              <w:contextualSpacing w:val="0"/>
              <w:jc w:val="both"/>
            </w:pPr>
            <w:r>
              <w:rPr>
                <w:i/>
              </w:rPr>
              <w:t>terminal.szsvzs.local</w:t>
            </w:r>
          </w:p>
          <w:p w:rsidR="00B254FC" w:rsidRDefault="00B254FC" w:rsidP="00507548">
            <w:pPr>
              <w:contextualSpacing w:val="0"/>
              <w:jc w:val="both"/>
            </w:pPr>
            <w:r>
              <w:rPr>
                <w:sz w:val="16"/>
                <w:szCs w:val="16"/>
              </w:rPr>
              <w:t>(Vzdálený přístup)</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254FC" w:rsidRDefault="00B254FC" w:rsidP="00507548">
            <w:pPr>
              <w:contextualSpacing w:val="0"/>
              <w:jc w:val="both"/>
            </w:pPr>
            <w:r>
              <w:rPr>
                <w:i/>
              </w:rPr>
              <w:t>server</w:t>
            </w:r>
          </w:p>
        </w:tc>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254FC" w:rsidRDefault="00B254FC" w:rsidP="00507548">
            <w:pPr>
              <w:contextualSpacing w:val="0"/>
              <w:jc w:val="both"/>
            </w:pPr>
            <w:r>
              <w:rPr>
                <w:i/>
              </w:rPr>
              <w:t>Standard</w:t>
            </w:r>
          </w:p>
        </w:tc>
        <w:tc>
          <w:tcPr>
            <w:tcW w:w="11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254FC" w:rsidRDefault="00B254FC" w:rsidP="00507548">
            <w:pPr>
              <w:contextualSpacing w:val="0"/>
              <w:jc w:val="both"/>
            </w:pPr>
            <w:r>
              <w:rPr>
                <w:i/>
              </w:rPr>
              <w:t>ano</w:t>
            </w:r>
          </w:p>
        </w:tc>
        <w:tc>
          <w:tcPr>
            <w:tcW w:w="12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254FC" w:rsidRDefault="00B254FC" w:rsidP="00507548">
            <w:pPr>
              <w:contextualSpacing w:val="0"/>
              <w:jc w:val="both"/>
            </w:pPr>
            <w:r>
              <w:rPr>
                <w:i/>
              </w:rPr>
              <w:t>ano</w:t>
            </w:r>
          </w:p>
        </w:tc>
        <w:tc>
          <w:tcPr>
            <w:tcW w:w="115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254FC" w:rsidRDefault="00B254FC" w:rsidP="00507548">
            <w:pPr>
              <w:contextualSpacing w:val="0"/>
              <w:jc w:val="both"/>
            </w:pPr>
            <w:r>
              <w:rPr>
                <w:i/>
              </w:rPr>
              <w:t>ano</w:t>
            </w:r>
          </w:p>
        </w:tc>
        <w:tc>
          <w:tcPr>
            <w:tcW w:w="115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254FC" w:rsidRDefault="00B254FC" w:rsidP="00507548">
            <w:pPr>
              <w:contextualSpacing w:val="0"/>
              <w:jc w:val="right"/>
            </w:pPr>
            <w:r>
              <w:rPr>
                <w:i/>
              </w:rPr>
              <w:t>3 000 Kč</w:t>
            </w:r>
          </w:p>
        </w:tc>
      </w:tr>
      <w:tr w:rsidR="00B254FC" w:rsidTr="00507548">
        <w:tc>
          <w:tcPr>
            <w:tcW w:w="21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254FC" w:rsidRDefault="00B254FC" w:rsidP="00507548">
            <w:pPr>
              <w:contextualSpacing w:val="0"/>
              <w:jc w:val="both"/>
            </w:pPr>
            <w:r>
              <w:rPr>
                <w:i/>
              </w:rPr>
              <w:t xml:space="preserve">ekonomicke.szsvzs. local </w:t>
            </w:r>
            <w:r>
              <w:rPr>
                <w:i/>
                <w:sz w:val="16"/>
                <w:szCs w:val="16"/>
              </w:rPr>
              <w:t>(Fénix,Codexis,programy pro eko. oddělení)</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254FC" w:rsidRDefault="00B254FC" w:rsidP="00507548">
            <w:pPr>
              <w:contextualSpacing w:val="0"/>
              <w:jc w:val="both"/>
            </w:pPr>
            <w:r>
              <w:rPr>
                <w:i/>
              </w:rPr>
              <w:t>server</w:t>
            </w:r>
          </w:p>
        </w:tc>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254FC" w:rsidRDefault="00B254FC" w:rsidP="00507548">
            <w:pPr>
              <w:contextualSpacing w:val="0"/>
              <w:jc w:val="both"/>
            </w:pPr>
            <w:r>
              <w:rPr>
                <w:i/>
              </w:rPr>
              <w:t>Standard</w:t>
            </w:r>
          </w:p>
        </w:tc>
        <w:tc>
          <w:tcPr>
            <w:tcW w:w="11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254FC" w:rsidRDefault="00B254FC" w:rsidP="00507548">
            <w:pPr>
              <w:contextualSpacing w:val="0"/>
              <w:jc w:val="both"/>
            </w:pPr>
            <w:r>
              <w:rPr>
                <w:i/>
              </w:rPr>
              <w:t>ano</w:t>
            </w:r>
          </w:p>
        </w:tc>
        <w:tc>
          <w:tcPr>
            <w:tcW w:w="12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254FC" w:rsidRDefault="00B254FC" w:rsidP="00507548">
            <w:pPr>
              <w:contextualSpacing w:val="0"/>
              <w:jc w:val="both"/>
            </w:pPr>
            <w:r>
              <w:rPr>
                <w:i/>
              </w:rPr>
              <w:t>ano</w:t>
            </w:r>
          </w:p>
        </w:tc>
        <w:tc>
          <w:tcPr>
            <w:tcW w:w="115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254FC" w:rsidRDefault="00B254FC" w:rsidP="00507548">
            <w:pPr>
              <w:contextualSpacing w:val="0"/>
              <w:jc w:val="both"/>
            </w:pPr>
            <w:r>
              <w:rPr>
                <w:i/>
              </w:rPr>
              <w:t>ano</w:t>
            </w:r>
          </w:p>
        </w:tc>
        <w:tc>
          <w:tcPr>
            <w:tcW w:w="115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254FC" w:rsidRDefault="00B254FC" w:rsidP="00507548">
            <w:pPr>
              <w:contextualSpacing w:val="0"/>
              <w:jc w:val="right"/>
            </w:pPr>
            <w:r>
              <w:rPr>
                <w:i/>
              </w:rPr>
              <w:t>3 000 Kč</w:t>
            </w:r>
          </w:p>
        </w:tc>
      </w:tr>
      <w:tr w:rsidR="00B254FC" w:rsidTr="00507548">
        <w:tc>
          <w:tcPr>
            <w:tcW w:w="21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254FC" w:rsidRDefault="00B254FC" w:rsidP="00507548">
            <w:pPr>
              <w:contextualSpacing w:val="0"/>
              <w:jc w:val="both"/>
            </w:pPr>
            <w:r>
              <w:rPr>
                <w:i/>
              </w:rPr>
              <w:t>bakalari.szsvzs.local</w:t>
            </w:r>
          </w:p>
          <w:p w:rsidR="00B254FC" w:rsidRDefault="00B254FC" w:rsidP="00507548">
            <w:pPr>
              <w:contextualSpacing w:val="0"/>
              <w:jc w:val="both"/>
            </w:pPr>
            <w:r>
              <w:rPr>
                <w:sz w:val="16"/>
                <w:szCs w:val="16"/>
              </w:rPr>
              <w:t>(Bakaláři)</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254FC" w:rsidRDefault="00B254FC" w:rsidP="00507548">
            <w:pPr>
              <w:contextualSpacing w:val="0"/>
              <w:jc w:val="both"/>
            </w:pPr>
            <w:r>
              <w:rPr>
                <w:i/>
              </w:rPr>
              <w:t>server</w:t>
            </w:r>
          </w:p>
        </w:tc>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254FC" w:rsidRDefault="00B254FC" w:rsidP="00507548">
            <w:pPr>
              <w:contextualSpacing w:val="0"/>
              <w:jc w:val="both"/>
            </w:pPr>
            <w:r>
              <w:rPr>
                <w:i/>
              </w:rPr>
              <w:t>Standard</w:t>
            </w:r>
          </w:p>
        </w:tc>
        <w:tc>
          <w:tcPr>
            <w:tcW w:w="11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254FC" w:rsidRDefault="00B254FC" w:rsidP="00507548">
            <w:pPr>
              <w:contextualSpacing w:val="0"/>
              <w:jc w:val="both"/>
            </w:pPr>
            <w:r>
              <w:rPr>
                <w:i/>
              </w:rPr>
              <w:t>ano</w:t>
            </w:r>
          </w:p>
        </w:tc>
        <w:tc>
          <w:tcPr>
            <w:tcW w:w="12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254FC" w:rsidRDefault="00B254FC" w:rsidP="00507548">
            <w:pPr>
              <w:contextualSpacing w:val="0"/>
              <w:jc w:val="both"/>
            </w:pPr>
            <w:r>
              <w:rPr>
                <w:i/>
              </w:rPr>
              <w:t>ano</w:t>
            </w:r>
          </w:p>
        </w:tc>
        <w:tc>
          <w:tcPr>
            <w:tcW w:w="115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254FC" w:rsidRDefault="00B254FC" w:rsidP="00507548">
            <w:pPr>
              <w:contextualSpacing w:val="0"/>
              <w:jc w:val="both"/>
            </w:pPr>
            <w:r>
              <w:rPr>
                <w:i/>
              </w:rPr>
              <w:t>ano</w:t>
            </w:r>
          </w:p>
        </w:tc>
        <w:tc>
          <w:tcPr>
            <w:tcW w:w="115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254FC" w:rsidRDefault="00B254FC" w:rsidP="00507548">
            <w:pPr>
              <w:contextualSpacing w:val="0"/>
              <w:jc w:val="right"/>
            </w:pPr>
            <w:r>
              <w:rPr>
                <w:i/>
              </w:rPr>
              <w:t>3 000 Kč</w:t>
            </w:r>
          </w:p>
        </w:tc>
      </w:tr>
      <w:tr w:rsidR="00B254FC" w:rsidTr="00507548">
        <w:tc>
          <w:tcPr>
            <w:tcW w:w="21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254FC" w:rsidRDefault="00B254FC" w:rsidP="00507548">
            <w:pPr>
              <w:contextualSpacing w:val="0"/>
              <w:jc w:val="both"/>
            </w:pPr>
            <w:r>
              <w:rPr>
                <w:i/>
              </w:rPr>
              <w:t>wl-gw-pal</w:t>
            </w:r>
            <w:r>
              <w:rPr>
                <w:i/>
              </w:rPr>
              <w:br/>
            </w:r>
            <w:r>
              <w:rPr>
                <w:sz w:val="16"/>
                <w:szCs w:val="16"/>
              </w:rPr>
              <w:t>(fw, mail server)</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254FC" w:rsidRDefault="00B254FC" w:rsidP="00507548">
            <w:pPr>
              <w:contextualSpacing w:val="0"/>
              <w:jc w:val="both"/>
            </w:pPr>
            <w:r>
              <w:rPr>
                <w:i/>
              </w:rPr>
              <w:t>server</w:t>
            </w:r>
          </w:p>
        </w:tc>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254FC" w:rsidRDefault="00B254FC" w:rsidP="00507548">
            <w:pPr>
              <w:contextualSpacing w:val="0"/>
              <w:jc w:val="both"/>
            </w:pPr>
            <w:r>
              <w:rPr>
                <w:i/>
              </w:rPr>
              <w:t>Standard</w:t>
            </w:r>
          </w:p>
        </w:tc>
        <w:tc>
          <w:tcPr>
            <w:tcW w:w="11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254FC" w:rsidRDefault="00B254FC" w:rsidP="00507548">
            <w:pPr>
              <w:contextualSpacing w:val="0"/>
              <w:jc w:val="both"/>
            </w:pPr>
            <w:r>
              <w:rPr>
                <w:i/>
              </w:rPr>
              <w:t>ano</w:t>
            </w:r>
          </w:p>
        </w:tc>
        <w:tc>
          <w:tcPr>
            <w:tcW w:w="12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254FC" w:rsidRDefault="00B254FC" w:rsidP="00507548">
            <w:pPr>
              <w:contextualSpacing w:val="0"/>
              <w:jc w:val="both"/>
            </w:pPr>
            <w:r>
              <w:rPr>
                <w:i/>
              </w:rPr>
              <w:t>ano</w:t>
            </w:r>
          </w:p>
        </w:tc>
        <w:tc>
          <w:tcPr>
            <w:tcW w:w="115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254FC" w:rsidRDefault="00B254FC" w:rsidP="00507548">
            <w:pPr>
              <w:contextualSpacing w:val="0"/>
              <w:jc w:val="both"/>
            </w:pPr>
            <w:r>
              <w:rPr>
                <w:i/>
              </w:rPr>
              <w:t>ano</w:t>
            </w:r>
          </w:p>
        </w:tc>
        <w:tc>
          <w:tcPr>
            <w:tcW w:w="115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254FC" w:rsidRDefault="00B254FC" w:rsidP="00507548">
            <w:pPr>
              <w:contextualSpacing w:val="0"/>
              <w:jc w:val="right"/>
            </w:pPr>
            <w:r>
              <w:rPr>
                <w:i/>
              </w:rPr>
              <w:t>3 000 Kč</w:t>
            </w:r>
          </w:p>
        </w:tc>
      </w:tr>
      <w:tr w:rsidR="00B254FC" w:rsidTr="00507548">
        <w:tc>
          <w:tcPr>
            <w:tcW w:w="21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254FC" w:rsidRDefault="00B254FC" w:rsidP="00507548">
            <w:pPr>
              <w:contextualSpacing w:val="0"/>
              <w:jc w:val="both"/>
            </w:pPr>
            <w:r>
              <w:rPr>
                <w:i/>
              </w:rPr>
              <w:t>wl-gw-mos</w:t>
            </w:r>
          </w:p>
          <w:p w:rsidR="00B254FC" w:rsidRDefault="00B254FC" w:rsidP="00507548">
            <w:pPr>
              <w:contextualSpacing w:val="0"/>
              <w:jc w:val="both"/>
            </w:pPr>
            <w:r>
              <w:rPr>
                <w:sz w:val="16"/>
                <w:szCs w:val="16"/>
              </w:rPr>
              <w:t>(fw moskevská)</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254FC" w:rsidRDefault="00B254FC" w:rsidP="00507548">
            <w:pPr>
              <w:contextualSpacing w:val="0"/>
              <w:jc w:val="both"/>
            </w:pPr>
            <w:r>
              <w:rPr>
                <w:i/>
              </w:rPr>
              <w:t>ostatní zařízení</w:t>
            </w:r>
          </w:p>
        </w:tc>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254FC" w:rsidRDefault="00B254FC" w:rsidP="00507548">
            <w:pPr>
              <w:contextualSpacing w:val="0"/>
              <w:jc w:val="both"/>
            </w:pPr>
            <w:r>
              <w:rPr>
                <w:i/>
              </w:rPr>
              <w:t>Standard</w:t>
            </w:r>
          </w:p>
        </w:tc>
        <w:tc>
          <w:tcPr>
            <w:tcW w:w="11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254FC" w:rsidRDefault="00B254FC" w:rsidP="00507548">
            <w:pPr>
              <w:contextualSpacing w:val="0"/>
              <w:jc w:val="both"/>
            </w:pPr>
            <w:r>
              <w:rPr>
                <w:i/>
              </w:rPr>
              <w:t>ano</w:t>
            </w:r>
          </w:p>
        </w:tc>
        <w:tc>
          <w:tcPr>
            <w:tcW w:w="12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254FC" w:rsidRDefault="00B254FC" w:rsidP="00507548">
            <w:pPr>
              <w:contextualSpacing w:val="0"/>
              <w:jc w:val="both"/>
            </w:pPr>
            <w:r>
              <w:rPr>
                <w:i/>
              </w:rPr>
              <w:t>ano</w:t>
            </w:r>
          </w:p>
        </w:tc>
        <w:tc>
          <w:tcPr>
            <w:tcW w:w="115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254FC" w:rsidRDefault="00B254FC" w:rsidP="00507548">
            <w:pPr>
              <w:contextualSpacing w:val="0"/>
              <w:jc w:val="both"/>
            </w:pPr>
            <w:r>
              <w:rPr>
                <w:i/>
              </w:rPr>
              <w:t>ano</w:t>
            </w:r>
          </w:p>
        </w:tc>
        <w:tc>
          <w:tcPr>
            <w:tcW w:w="115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254FC" w:rsidRDefault="00B254FC" w:rsidP="00507548">
            <w:pPr>
              <w:contextualSpacing w:val="0"/>
              <w:jc w:val="right"/>
            </w:pPr>
            <w:r>
              <w:rPr>
                <w:i/>
              </w:rPr>
              <w:t>1 500 Kč</w:t>
            </w:r>
          </w:p>
        </w:tc>
      </w:tr>
      <w:tr w:rsidR="00B254FC" w:rsidTr="00507548">
        <w:tc>
          <w:tcPr>
            <w:tcW w:w="21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254FC" w:rsidRDefault="00B254FC" w:rsidP="00507548">
            <w:pPr>
              <w:contextualSpacing w:val="0"/>
              <w:jc w:val="both"/>
            </w:pPr>
            <w:r>
              <w:rPr>
                <w:i/>
              </w:rPr>
              <w:t>kvm01.szsvzs.local</w:t>
            </w:r>
          </w:p>
          <w:p w:rsidR="00B254FC" w:rsidRDefault="00B254FC" w:rsidP="00507548">
            <w:pPr>
              <w:contextualSpacing w:val="0"/>
              <w:jc w:val="both"/>
            </w:pPr>
            <w:r>
              <w:rPr>
                <w:sz w:val="16"/>
                <w:szCs w:val="16"/>
              </w:rPr>
              <w:t>virt.hypervizor</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254FC" w:rsidRDefault="00B254FC" w:rsidP="00507548">
            <w:pPr>
              <w:contextualSpacing w:val="0"/>
              <w:jc w:val="both"/>
            </w:pPr>
            <w:r>
              <w:rPr>
                <w:i/>
              </w:rPr>
              <w:t>ostatní</w:t>
            </w:r>
          </w:p>
          <w:p w:rsidR="00B254FC" w:rsidRDefault="00B254FC" w:rsidP="00507548">
            <w:pPr>
              <w:contextualSpacing w:val="0"/>
              <w:jc w:val="both"/>
            </w:pPr>
            <w:r>
              <w:rPr>
                <w:i/>
              </w:rPr>
              <w:t>zařízení</w:t>
            </w:r>
          </w:p>
        </w:tc>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254FC" w:rsidRDefault="00B254FC" w:rsidP="00507548">
            <w:pPr>
              <w:contextualSpacing w:val="0"/>
              <w:jc w:val="both"/>
            </w:pPr>
            <w:r>
              <w:rPr>
                <w:i/>
              </w:rPr>
              <w:t>Standard</w:t>
            </w:r>
          </w:p>
        </w:tc>
        <w:tc>
          <w:tcPr>
            <w:tcW w:w="11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254FC" w:rsidRDefault="00B254FC" w:rsidP="00507548">
            <w:pPr>
              <w:contextualSpacing w:val="0"/>
              <w:jc w:val="both"/>
            </w:pPr>
            <w:r>
              <w:rPr>
                <w:i/>
              </w:rPr>
              <w:t>ano</w:t>
            </w:r>
          </w:p>
        </w:tc>
        <w:tc>
          <w:tcPr>
            <w:tcW w:w="12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254FC" w:rsidRDefault="00B254FC" w:rsidP="00507548">
            <w:pPr>
              <w:contextualSpacing w:val="0"/>
              <w:jc w:val="both"/>
            </w:pPr>
            <w:r>
              <w:rPr>
                <w:i/>
              </w:rPr>
              <w:t>ano</w:t>
            </w:r>
          </w:p>
        </w:tc>
        <w:tc>
          <w:tcPr>
            <w:tcW w:w="115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254FC" w:rsidRDefault="00B254FC" w:rsidP="00507548">
            <w:pPr>
              <w:contextualSpacing w:val="0"/>
              <w:jc w:val="both"/>
            </w:pPr>
            <w:r>
              <w:rPr>
                <w:i/>
              </w:rPr>
              <w:t>ano</w:t>
            </w:r>
          </w:p>
        </w:tc>
        <w:tc>
          <w:tcPr>
            <w:tcW w:w="115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254FC" w:rsidRDefault="00B254FC" w:rsidP="00507548">
            <w:pPr>
              <w:contextualSpacing w:val="0"/>
              <w:jc w:val="right"/>
            </w:pPr>
            <w:r>
              <w:rPr>
                <w:i/>
              </w:rPr>
              <w:t>1 500 Kč</w:t>
            </w:r>
          </w:p>
        </w:tc>
      </w:tr>
      <w:tr w:rsidR="00B254FC" w:rsidTr="00507548">
        <w:tc>
          <w:tcPr>
            <w:tcW w:w="21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254FC" w:rsidRDefault="00B254FC" w:rsidP="00507548">
            <w:pPr>
              <w:contextualSpacing w:val="0"/>
            </w:pPr>
            <w:r>
              <w:rPr>
                <w:i/>
              </w:rPr>
              <w:t>nas.szsvzs.local</w:t>
            </w:r>
          </w:p>
          <w:p w:rsidR="00B254FC" w:rsidRDefault="00B254FC" w:rsidP="00507548">
            <w:pPr>
              <w:contextualSpacing w:val="0"/>
            </w:pPr>
            <w:r>
              <w:rPr>
                <w:sz w:val="16"/>
                <w:szCs w:val="16"/>
              </w:rPr>
              <w:t>(Synology NAS, zálohování)</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254FC" w:rsidRDefault="00B254FC" w:rsidP="00507548">
            <w:pPr>
              <w:contextualSpacing w:val="0"/>
              <w:jc w:val="both"/>
            </w:pPr>
            <w:r>
              <w:rPr>
                <w:i/>
              </w:rPr>
              <w:t>ostatní</w:t>
            </w:r>
          </w:p>
          <w:p w:rsidR="00B254FC" w:rsidRDefault="00B254FC" w:rsidP="00507548">
            <w:pPr>
              <w:contextualSpacing w:val="0"/>
              <w:jc w:val="both"/>
            </w:pPr>
            <w:r>
              <w:rPr>
                <w:i/>
              </w:rPr>
              <w:t>zařízení</w:t>
            </w:r>
          </w:p>
        </w:tc>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254FC" w:rsidRDefault="00B254FC" w:rsidP="00507548">
            <w:pPr>
              <w:contextualSpacing w:val="0"/>
              <w:jc w:val="both"/>
            </w:pPr>
            <w:r>
              <w:rPr>
                <w:i/>
              </w:rPr>
              <w:t>Standard</w:t>
            </w:r>
          </w:p>
        </w:tc>
        <w:tc>
          <w:tcPr>
            <w:tcW w:w="11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254FC" w:rsidRDefault="00B254FC" w:rsidP="00507548">
            <w:pPr>
              <w:contextualSpacing w:val="0"/>
              <w:jc w:val="both"/>
            </w:pPr>
            <w:r>
              <w:rPr>
                <w:i/>
              </w:rPr>
              <w:t>ano</w:t>
            </w:r>
          </w:p>
        </w:tc>
        <w:tc>
          <w:tcPr>
            <w:tcW w:w="12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254FC" w:rsidRDefault="00B254FC" w:rsidP="00507548">
            <w:pPr>
              <w:contextualSpacing w:val="0"/>
              <w:jc w:val="both"/>
            </w:pPr>
            <w:r>
              <w:rPr>
                <w:i/>
              </w:rPr>
              <w:t>ano</w:t>
            </w:r>
          </w:p>
        </w:tc>
        <w:tc>
          <w:tcPr>
            <w:tcW w:w="115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254FC" w:rsidRDefault="00B254FC" w:rsidP="00507548">
            <w:pPr>
              <w:contextualSpacing w:val="0"/>
              <w:jc w:val="both"/>
            </w:pPr>
            <w:r>
              <w:rPr>
                <w:i/>
              </w:rPr>
              <w:t>ano</w:t>
            </w:r>
          </w:p>
        </w:tc>
        <w:tc>
          <w:tcPr>
            <w:tcW w:w="115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254FC" w:rsidRDefault="00B254FC" w:rsidP="00507548">
            <w:pPr>
              <w:contextualSpacing w:val="0"/>
              <w:jc w:val="right"/>
            </w:pPr>
            <w:r>
              <w:rPr>
                <w:i/>
              </w:rPr>
              <w:t>1 500 Kč</w:t>
            </w:r>
          </w:p>
        </w:tc>
      </w:tr>
      <w:tr w:rsidR="00B254FC" w:rsidTr="00507548">
        <w:tc>
          <w:tcPr>
            <w:tcW w:w="21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254FC" w:rsidRDefault="00B254FC" w:rsidP="00507548">
            <w:pPr>
              <w:contextualSpacing w:val="0"/>
            </w:pP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254FC" w:rsidRDefault="00B254FC" w:rsidP="00507548">
            <w:pPr>
              <w:contextualSpacing w:val="0"/>
            </w:pPr>
          </w:p>
        </w:tc>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254FC" w:rsidRDefault="00B254FC" w:rsidP="00507548">
            <w:pPr>
              <w:contextualSpacing w:val="0"/>
            </w:pPr>
          </w:p>
        </w:tc>
        <w:tc>
          <w:tcPr>
            <w:tcW w:w="11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254FC" w:rsidRDefault="00B254FC" w:rsidP="00507548">
            <w:pPr>
              <w:contextualSpacing w:val="0"/>
            </w:pPr>
          </w:p>
        </w:tc>
        <w:tc>
          <w:tcPr>
            <w:tcW w:w="12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254FC" w:rsidRDefault="00B254FC" w:rsidP="00507548">
            <w:pPr>
              <w:contextualSpacing w:val="0"/>
            </w:pPr>
          </w:p>
        </w:tc>
        <w:tc>
          <w:tcPr>
            <w:tcW w:w="115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254FC" w:rsidRDefault="00B254FC" w:rsidP="00507548">
            <w:pPr>
              <w:contextualSpacing w:val="0"/>
              <w:jc w:val="both"/>
            </w:pPr>
            <w:r>
              <w:rPr>
                <w:b/>
              </w:rPr>
              <w:t>CELKEM</w:t>
            </w:r>
          </w:p>
          <w:p w:rsidR="00B254FC" w:rsidRDefault="00B254FC" w:rsidP="00507548">
            <w:pPr>
              <w:contextualSpacing w:val="0"/>
              <w:jc w:val="both"/>
            </w:pPr>
            <w:r>
              <w:rPr>
                <w:b/>
              </w:rPr>
              <w:t>měsíčně</w:t>
            </w:r>
          </w:p>
        </w:tc>
        <w:tc>
          <w:tcPr>
            <w:tcW w:w="115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254FC" w:rsidRDefault="00B254FC" w:rsidP="00507548">
            <w:pPr>
              <w:contextualSpacing w:val="0"/>
              <w:jc w:val="right"/>
            </w:pPr>
            <w:r>
              <w:rPr>
                <w:b/>
                <w:i/>
              </w:rPr>
              <w:t>16 500 Kč</w:t>
            </w:r>
          </w:p>
        </w:tc>
      </w:tr>
    </w:tbl>
    <w:p w:rsidR="00B254FC" w:rsidRDefault="00B254FC" w:rsidP="00B254FC">
      <w:pPr>
        <w:contextualSpacing w:val="0"/>
      </w:pPr>
    </w:p>
    <w:p w:rsidR="00B254FC" w:rsidRDefault="00B254FC" w:rsidP="00B254FC">
      <w:pPr>
        <w:contextualSpacing w:val="0"/>
      </w:pPr>
    </w:p>
    <w:p w:rsidR="00B254FC" w:rsidRDefault="00B254FC" w:rsidP="00B254FC">
      <w:pPr>
        <w:contextualSpacing w:val="0"/>
      </w:pPr>
    </w:p>
    <w:p w:rsidR="00B254FC" w:rsidRDefault="00B254FC" w:rsidP="00B254FC">
      <w:pPr>
        <w:contextualSpacing w:val="0"/>
      </w:pPr>
    </w:p>
    <w:p w:rsidR="00B254FC" w:rsidRDefault="00B254FC" w:rsidP="00B254FC">
      <w:pPr>
        <w:contextualSpacing w:val="0"/>
      </w:pPr>
    </w:p>
    <w:p w:rsidR="00B254FC" w:rsidRDefault="00B254FC" w:rsidP="00B254FC">
      <w:pPr>
        <w:contextualSpacing w:val="0"/>
        <w:jc w:val="both"/>
      </w:pPr>
    </w:p>
    <w:p w:rsidR="00B254FC" w:rsidRDefault="00B254FC" w:rsidP="00B254FC">
      <w:pPr>
        <w:numPr>
          <w:ilvl w:val="0"/>
          <w:numId w:val="9"/>
        </w:numPr>
        <w:ind w:hanging="360"/>
      </w:pPr>
      <w:r>
        <w:rPr>
          <w:b/>
        </w:rPr>
        <w:t>Kredit</w:t>
      </w:r>
      <w:r>
        <w:t>, měsíčně (viz VOP, V.6):</w:t>
      </w:r>
    </w:p>
    <w:tbl>
      <w:tblPr>
        <w:tblW w:w="9160" w:type="dxa"/>
        <w:tblInd w:w="-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010"/>
        <w:gridCol w:w="2150"/>
      </w:tblGrid>
      <w:tr w:rsidR="00B254FC" w:rsidTr="00507548">
        <w:tc>
          <w:tcPr>
            <w:tcW w:w="7010" w:type="dxa"/>
            <w:tcMar>
              <w:top w:w="60" w:type="dxa"/>
              <w:left w:w="60" w:type="dxa"/>
              <w:bottom w:w="60" w:type="dxa"/>
              <w:right w:w="60" w:type="dxa"/>
            </w:tcMar>
          </w:tcPr>
          <w:p w:rsidR="00B254FC" w:rsidRDefault="00B254FC" w:rsidP="00507548">
            <w:pPr>
              <w:contextualSpacing w:val="0"/>
            </w:pPr>
            <w:r>
              <w:rPr>
                <w:i/>
              </w:rPr>
              <w:t>Není sjednán kredit</w:t>
            </w:r>
          </w:p>
        </w:tc>
        <w:tc>
          <w:tcPr>
            <w:tcW w:w="2150" w:type="dxa"/>
            <w:tcMar>
              <w:top w:w="60" w:type="dxa"/>
              <w:left w:w="60" w:type="dxa"/>
              <w:bottom w:w="60" w:type="dxa"/>
              <w:right w:w="60" w:type="dxa"/>
            </w:tcMar>
          </w:tcPr>
          <w:p w:rsidR="00B254FC" w:rsidRDefault="00B254FC" w:rsidP="00507548">
            <w:pPr>
              <w:contextualSpacing w:val="0"/>
              <w:jc w:val="right"/>
            </w:pPr>
            <w:r>
              <w:rPr>
                <w:i/>
              </w:rPr>
              <w:t>0 Kč</w:t>
            </w:r>
          </w:p>
        </w:tc>
      </w:tr>
      <w:tr w:rsidR="00B254FC" w:rsidTr="00507548">
        <w:tc>
          <w:tcPr>
            <w:tcW w:w="7010" w:type="dxa"/>
            <w:tcMar>
              <w:top w:w="60" w:type="dxa"/>
              <w:left w:w="60" w:type="dxa"/>
              <w:bottom w:w="60" w:type="dxa"/>
              <w:right w:w="60" w:type="dxa"/>
            </w:tcMar>
          </w:tcPr>
          <w:p w:rsidR="00B254FC" w:rsidRDefault="00B254FC" w:rsidP="00507548">
            <w:pPr>
              <w:contextualSpacing w:val="0"/>
              <w:jc w:val="right"/>
            </w:pPr>
            <w:r>
              <w:rPr>
                <w:b/>
              </w:rPr>
              <w:t>CELKEM</w:t>
            </w:r>
          </w:p>
          <w:p w:rsidR="00B254FC" w:rsidRDefault="00B254FC" w:rsidP="00507548">
            <w:pPr>
              <w:contextualSpacing w:val="0"/>
              <w:jc w:val="right"/>
            </w:pPr>
            <w:r>
              <w:rPr>
                <w:b/>
              </w:rPr>
              <w:t>měsíčně</w:t>
            </w:r>
          </w:p>
        </w:tc>
        <w:tc>
          <w:tcPr>
            <w:tcW w:w="2150" w:type="dxa"/>
            <w:tcMar>
              <w:top w:w="60" w:type="dxa"/>
              <w:left w:w="60" w:type="dxa"/>
              <w:bottom w:w="60" w:type="dxa"/>
              <w:right w:w="60" w:type="dxa"/>
            </w:tcMar>
          </w:tcPr>
          <w:p w:rsidR="00B254FC" w:rsidRDefault="00B254FC" w:rsidP="00507548">
            <w:pPr>
              <w:contextualSpacing w:val="0"/>
              <w:jc w:val="right"/>
            </w:pPr>
            <w:r>
              <w:rPr>
                <w:b/>
                <w:i/>
              </w:rPr>
              <w:t>0 Kč</w:t>
            </w:r>
          </w:p>
        </w:tc>
      </w:tr>
    </w:tbl>
    <w:p w:rsidR="00B254FC" w:rsidRDefault="00B254FC" w:rsidP="00B254FC">
      <w:pPr>
        <w:contextualSpacing w:val="0"/>
      </w:pPr>
    </w:p>
    <w:p w:rsidR="00B254FC" w:rsidRDefault="00B254FC" w:rsidP="00B254FC">
      <w:pPr>
        <w:numPr>
          <w:ilvl w:val="0"/>
          <w:numId w:val="9"/>
        </w:numPr>
        <w:ind w:hanging="360"/>
      </w:pPr>
      <w:r>
        <w:t xml:space="preserve">Výjimky z </w:t>
      </w:r>
      <w:r>
        <w:rPr>
          <w:b/>
        </w:rPr>
        <w:t>Paušální správy</w:t>
      </w:r>
      <w:r>
        <w:t xml:space="preserve"> (viz VOP, V.5.b.v):</w:t>
      </w:r>
    </w:p>
    <w:tbl>
      <w:tblPr>
        <w:tblW w:w="9120" w:type="dxa"/>
        <w:tblInd w:w="-100" w:type="dxa"/>
        <w:tblLayout w:type="fixed"/>
        <w:tblLook w:val="0600" w:firstRow="0" w:lastRow="0" w:firstColumn="0" w:lastColumn="0" w:noHBand="1" w:noVBand="1"/>
      </w:tblPr>
      <w:tblGrid>
        <w:gridCol w:w="5565"/>
        <w:gridCol w:w="3555"/>
      </w:tblGrid>
      <w:tr w:rsidR="00B254FC" w:rsidTr="00507548">
        <w:tc>
          <w:tcPr>
            <w:tcW w:w="556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254FC" w:rsidRDefault="00B254FC" w:rsidP="00507548">
            <w:pPr>
              <w:contextualSpacing w:val="0"/>
              <w:jc w:val="both"/>
            </w:pPr>
            <w:r>
              <w:rPr>
                <w:b/>
              </w:rPr>
              <w:t>Specifikace</w:t>
            </w:r>
          </w:p>
        </w:tc>
        <w:tc>
          <w:tcPr>
            <w:tcW w:w="355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254FC" w:rsidRDefault="00B254FC" w:rsidP="00507548">
            <w:pPr>
              <w:contextualSpacing w:val="0"/>
              <w:jc w:val="both"/>
            </w:pPr>
            <w:r>
              <w:rPr>
                <w:b/>
              </w:rPr>
              <w:t>Důvod</w:t>
            </w:r>
          </w:p>
        </w:tc>
      </w:tr>
      <w:tr w:rsidR="00B254FC" w:rsidTr="00507548">
        <w:tc>
          <w:tcPr>
            <w:tcW w:w="556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254FC" w:rsidRDefault="00B254FC" w:rsidP="00507548">
            <w:pPr>
              <w:contextualSpacing w:val="0"/>
              <w:jc w:val="both"/>
            </w:pPr>
            <w:r>
              <w:t>Aplikace 3. stran: Bakaláři, bznamky, Codexis, Fenix.</w:t>
            </w:r>
          </w:p>
        </w:tc>
        <w:tc>
          <w:tcPr>
            <w:tcW w:w="355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254FC" w:rsidRDefault="00B254FC" w:rsidP="00507548">
            <w:pPr>
              <w:contextualSpacing w:val="0"/>
            </w:pPr>
            <w:r>
              <w:t>Instalaci a podporu zajišťuje dodavatel dané aplikace.</w:t>
            </w:r>
          </w:p>
        </w:tc>
      </w:tr>
      <w:tr w:rsidR="00B254FC" w:rsidTr="00507548">
        <w:tc>
          <w:tcPr>
            <w:tcW w:w="556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254FC" w:rsidRDefault="00B254FC" w:rsidP="00507548">
            <w:pPr>
              <w:contextualSpacing w:val="0"/>
              <w:jc w:val="both"/>
            </w:pPr>
            <w:r>
              <w:t>Internetová konektivita, včetně propojení budov.</w:t>
            </w:r>
          </w:p>
        </w:tc>
        <w:tc>
          <w:tcPr>
            <w:tcW w:w="355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254FC" w:rsidRDefault="00B254FC" w:rsidP="00507548">
            <w:pPr>
              <w:contextualSpacing w:val="0"/>
            </w:pPr>
            <w:r>
              <w:t>Za internetovou konektivitu zodpovídá poskytovatel služby.</w:t>
            </w:r>
          </w:p>
        </w:tc>
      </w:tr>
      <w:tr w:rsidR="00B254FC" w:rsidTr="00507548">
        <w:tc>
          <w:tcPr>
            <w:tcW w:w="556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254FC" w:rsidRDefault="00B254FC" w:rsidP="00507548">
            <w:pPr>
              <w:contextualSpacing w:val="0"/>
              <w:jc w:val="both"/>
            </w:pPr>
            <w:r>
              <w:t>Enlogit neručí za správnost licencí a dodržování licenčních podmínek software na všech systémech, které přebírá do své správy dokud neprovede licenční audit a nebude sjednána případná náprava stavu licencí.</w:t>
            </w:r>
          </w:p>
        </w:tc>
        <w:tc>
          <w:tcPr>
            <w:tcW w:w="355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254FC" w:rsidRDefault="00B254FC" w:rsidP="00507548">
            <w:pPr>
              <w:contextualSpacing w:val="0"/>
            </w:pPr>
            <w:r>
              <w:t>Licence mohou na některých systémech chybět, nebo být nesprávně použité. Enlogit navrhuje provést audit licencí po dohodě se zákazníkem.</w:t>
            </w:r>
          </w:p>
        </w:tc>
      </w:tr>
    </w:tbl>
    <w:p w:rsidR="00B254FC" w:rsidRDefault="00B254FC" w:rsidP="00B254FC">
      <w:pPr>
        <w:contextualSpacing w:val="0"/>
      </w:pPr>
    </w:p>
    <w:p w:rsidR="00B254FC" w:rsidRDefault="00B254FC" w:rsidP="00B254FC">
      <w:pPr>
        <w:pStyle w:val="Nadpis1"/>
        <w:contextualSpacing w:val="0"/>
        <w:jc w:val="both"/>
      </w:pPr>
      <w:bookmarkStart w:id="2" w:name="_rsigxefndnl6" w:colFirst="0" w:colLast="0"/>
      <w:bookmarkEnd w:id="2"/>
      <w:r>
        <w:t>Článek II. Cena za pravidelné plnění</w:t>
      </w:r>
    </w:p>
    <w:p w:rsidR="00B254FC" w:rsidRDefault="00B254FC" w:rsidP="00B254FC">
      <w:pPr>
        <w:contextualSpacing w:val="0"/>
        <w:jc w:val="both"/>
      </w:pPr>
      <w:r>
        <w:rPr>
          <w:b/>
        </w:rPr>
        <w:t>Celková cena za pravidelné plnění měsíčně dle bodu I.1 Smlouvy je 16 500 Kč.</w:t>
      </w:r>
    </w:p>
    <w:p w:rsidR="00B254FC" w:rsidRDefault="00B254FC" w:rsidP="00B254FC">
      <w:pPr>
        <w:contextualSpacing w:val="0"/>
        <w:jc w:val="both"/>
      </w:pPr>
      <w:r>
        <w:t>Tato cena je součtem dílčích cen z bodů I.1 a I.2.</w:t>
      </w:r>
    </w:p>
    <w:p w:rsidR="00B254FC" w:rsidRDefault="00B254FC" w:rsidP="00B254FC">
      <w:pPr>
        <w:pStyle w:val="Nadpis1"/>
        <w:contextualSpacing w:val="0"/>
        <w:jc w:val="both"/>
      </w:pPr>
      <w:bookmarkStart w:id="3" w:name="_1pdniorqxspm" w:colFirst="0" w:colLast="0"/>
      <w:bookmarkEnd w:id="3"/>
      <w:r>
        <w:t>Článek III. Ceny za nepravidelné plnění</w:t>
      </w:r>
    </w:p>
    <w:p w:rsidR="00B254FC" w:rsidRDefault="00B254FC" w:rsidP="00B254FC">
      <w:pPr>
        <w:numPr>
          <w:ilvl w:val="0"/>
          <w:numId w:val="8"/>
        </w:numPr>
        <w:tabs>
          <w:tab w:val="left" w:pos="360"/>
          <w:tab w:val="left" w:pos="720"/>
        </w:tabs>
        <w:ind w:hanging="360"/>
        <w:jc w:val="both"/>
      </w:pPr>
      <w:r>
        <w:t>Tato část specifikuje ceny za nepravidelné plnění, placené dle bodu III.3 Smlouvy.</w:t>
      </w:r>
    </w:p>
    <w:p w:rsidR="00B254FC" w:rsidRDefault="00B254FC" w:rsidP="00B254FC">
      <w:pPr>
        <w:numPr>
          <w:ilvl w:val="0"/>
          <w:numId w:val="8"/>
        </w:numPr>
        <w:tabs>
          <w:tab w:val="left" w:pos="360"/>
          <w:tab w:val="left" w:pos="720"/>
        </w:tabs>
        <w:ind w:hanging="360"/>
        <w:jc w:val="both"/>
      </w:pPr>
      <w:r>
        <w:t>Sazby za nepravidelné plnění:</w:t>
      </w:r>
    </w:p>
    <w:tbl>
      <w:tblPr>
        <w:tblW w:w="9837"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45"/>
        <w:gridCol w:w="2456"/>
        <w:gridCol w:w="2736"/>
      </w:tblGrid>
      <w:tr w:rsidR="00B254FC" w:rsidTr="00507548">
        <w:tc>
          <w:tcPr>
            <w:tcW w:w="4645" w:type="dxa"/>
            <w:tcMar>
              <w:top w:w="100" w:type="dxa"/>
              <w:left w:w="100" w:type="dxa"/>
              <w:bottom w:w="100" w:type="dxa"/>
              <w:right w:w="100" w:type="dxa"/>
            </w:tcMar>
          </w:tcPr>
          <w:p w:rsidR="00B254FC" w:rsidRDefault="00B254FC" w:rsidP="00507548">
            <w:pPr>
              <w:spacing w:line="240" w:lineRule="auto"/>
              <w:contextualSpacing w:val="0"/>
            </w:pPr>
            <w:r>
              <w:rPr>
                <w:b/>
              </w:rPr>
              <w:t>Služba</w:t>
            </w:r>
          </w:p>
        </w:tc>
        <w:tc>
          <w:tcPr>
            <w:tcW w:w="2456" w:type="dxa"/>
            <w:tcMar>
              <w:top w:w="100" w:type="dxa"/>
              <w:left w:w="100" w:type="dxa"/>
              <w:bottom w:w="100" w:type="dxa"/>
              <w:right w:w="100" w:type="dxa"/>
            </w:tcMar>
          </w:tcPr>
          <w:p w:rsidR="00B254FC" w:rsidRDefault="00B254FC" w:rsidP="00507548">
            <w:pPr>
              <w:spacing w:line="240" w:lineRule="auto"/>
              <w:contextualSpacing w:val="0"/>
              <w:jc w:val="right"/>
            </w:pPr>
            <w:r>
              <w:rPr>
                <w:b/>
              </w:rPr>
              <w:t>Hodina</w:t>
            </w:r>
          </w:p>
        </w:tc>
        <w:tc>
          <w:tcPr>
            <w:tcW w:w="2736" w:type="dxa"/>
            <w:tcMar>
              <w:top w:w="100" w:type="dxa"/>
              <w:left w:w="100" w:type="dxa"/>
              <w:bottom w:w="100" w:type="dxa"/>
              <w:right w:w="100" w:type="dxa"/>
            </w:tcMar>
          </w:tcPr>
          <w:p w:rsidR="00B254FC" w:rsidRDefault="00B254FC" w:rsidP="00507548">
            <w:pPr>
              <w:spacing w:line="240" w:lineRule="auto"/>
              <w:contextualSpacing w:val="0"/>
              <w:jc w:val="right"/>
            </w:pPr>
            <w:r>
              <w:rPr>
                <w:b/>
              </w:rPr>
              <w:t>Půlden</w:t>
            </w:r>
          </w:p>
        </w:tc>
      </w:tr>
      <w:tr w:rsidR="00B254FC" w:rsidTr="00507548">
        <w:tc>
          <w:tcPr>
            <w:tcW w:w="4645" w:type="dxa"/>
            <w:tcMar>
              <w:top w:w="100" w:type="dxa"/>
              <w:left w:w="100" w:type="dxa"/>
              <w:bottom w:w="100" w:type="dxa"/>
              <w:right w:w="100" w:type="dxa"/>
            </w:tcMar>
          </w:tcPr>
          <w:p w:rsidR="00B254FC" w:rsidRDefault="00B254FC" w:rsidP="00507548">
            <w:pPr>
              <w:spacing w:line="240" w:lineRule="auto"/>
              <w:contextualSpacing w:val="0"/>
            </w:pPr>
            <w:r>
              <w:t>Služby pro PC</w:t>
            </w:r>
          </w:p>
        </w:tc>
        <w:tc>
          <w:tcPr>
            <w:tcW w:w="2456" w:type="dxa"/>
            <w:tcMar>
              <w:top w:w="100" w:type="dxa"/>
              <w:left w:w="100" w:type="dxa"/>
              <w:bottom w:w="100" w:type="dxa"/>
              <w:right w:w="100" w:type="dxa"/>
            </w:tcMar>
          </w:tcPr>
          <w:p w:rsidR="00B254FC" w:rsidRDefault="00B254FC" w:rsidP="00507548">
            <w:pPr>
              <w:spacing w:line="240" w:lineRule="auto"/>
              <w:contextualSpacing w:val="0"/>
              <w:jc w:val="right"/>
            </w:pPr>
            <w:r>
              <w:t>1 000 Kč</w:t>
            </w:r>
          </w:p>
        </w:tc>
        <w:tc>
          <w:tcPr>
            <w:tcW w:w="2736" w:type="dxa"/>
            <w:tcMar>
              <w:top w:w="100" w:type="dxa"/>
              <w:left w:w="100" w:type="dxa"/>
              <w:bottom w:w="100" w:type="dxa"/>
              <w:right w:w="100" w:type="dxa"/>
            </w:tcMar>
          </w:tcPr>
          <w:p w:rsidR="00B254FC" w:rsidRDefault="00B254FC" w:rsidP="00507548">
            <w:pPr>
              <w:spacing w:line="240" w:lineRule="auto"/>
              <w:contextualSpacing w:val="0"/>
              <w:jc w:val="right"/>
            </w:pPr>
            <w:r>
              <w:t>3 800 Kč</w:t>
            </w:r>
          </w:p>
        </w:tc>
      </w:tr>
      <w:tr w:rsidR="00B254FC" w:rsidTr="00507548">
        <w:tc>
          <w:tcPr>
            <w:tcW w:w="4645" w:type="dxa"/>
            <w:tcMar>
              <w:top w:w="100" w:type="dxa"/>
              <w:left w:w="100" w:type="dxa"/>
              <w:bottom w:w="100" w:type="dxa"/>
              <w:right w:w="100" w:type="dxa"/>
            </w:tcMar>
          </w:tcPr>
          <w:p w:rsidR="00B254FC" w:rsidRDefault="00B254FC" w:rsidP="00507548">
            <w:pPr>
              <w:spacing w:line="240" w:lineRule="auto"/>
              <w:contextualSpacing w:val="0"/>
            </w:pPr>
            <w:r>
              <w:t>Služby pro servery</w:t>
            </w:r>
          </w:p>
        </w:tc>
        <w:tc>
          <w:tcPr>
            <w:tcW w:w="2456" w:type="dxa"/>
            <w:tcMar>
              <w:top w:w="100" w:type="dxa"/>
              <w:left w:w="100" w:type="dxa"/>
              <w:bottom w:w="100" w:type="dxa"/>
              <w:right w:w="100" w:type="dxa"/>
            </w:tcMar>
          </w:tcPr>
          <w:p w:rsidR="00B254FC" w:rsidRDefault="00B254FC" w:rsidP="00507548">
            <w:pPr>
              <w:spacing w:line="240" w:lineRule="auto"/>
              <w:contextualSpacing w:val="0"/>
              <w:jc w:val="right"/>
            </w:pPr>
            <w:r>
              <w:t>2 000 Kč</w:t>
            </w:r>
          </w:p>
        </w:tc>
        <w:tc>
          <w:tcPr>
            <w:tcW w:w="2736" w:type="dxa"/>
            <w:tcMar>
              <w:top w:w="100" w:type="dxa"/>
              <w:left w:w="100" w:type="dxa"/>
              <w:bottom w:w="100" w:type="dxa"/>
              <w:right w:w="100" w:type="dxa"/>
            </w:tcMar>
          </w:tcPr>
          <w:p w:rsidR="00B254FC" w:rsidRDefault="00B254FC" w:rsidP="00507548">
            <w:pPr>
              <w:spacing w:line="240" w:lineRule="auto"/>
              <w:contextualSpacing w:val="0"/>
              <w:jc w:val="right"/>
            </w:pPr>
            <w:r>
              <w:t>7 000 Kč</w:t>
            </w:r>
          </w:p>
        </w:tc>
      </w:tr>
      <w:tr w:rsidR="00B254FC" w:rsidTr="00507548">
        <w:tc>
          <w:tcPr>
            <w:tcW w:w="4645" w:type="dxa"/>
            <w:tcMar>
              <w:top w:w="100" w:type="dxa"/>
              <w:left w:w="100" w:type="dxa"/>
              <w:bottom w:w="100" w:type="dxa"/>
              <w:right w:w="100" w:type="dxa"/>
            </w:tcMar>
          </w:tcPr>
          <w:p w:rsidR="00B254FC" w:rsidRDefault="00B254FC" w:rsidP="00507548">
            <w:pPr>
              <w:spacing w:line="240" w:lineRule="auto"/>
              <w:contextualSpacing w:val="0"/>
            </w:pPr>
            <w:r>
              <w:t>Konzultace</w:t>
            </w:r>
          </w:p>
        </w:tc>
        <w:tc>
          <w:tcPr>
            <w:tcW w:w="2456" w:type="dxa"/>
            <w:tcMar>
              <w:top w:w="100" w:type="dxa"/>
              <w:left w:w="100" w:type="dxa"/>
              <w:bottom w:w="100" w:type="dxa"/>
              <w:right w:w="100" w:type="dxa"/>
            </w:tcMar>
          </w:tcPr>
          <w:p w:rsidR="00B254FC" w:rsidRDefault="00B254FC" w:rsidP="00507548">
            <w:pPr>
              <w:spacing w:line="240" w:lineRule="auto"/>
              <w:contextualSpacing w:val="0"/>
              <w:jc w:val="right"/>
            </w:pPr>
            <w:r>
              <w:t>2 800 Kč</w:t>
            </w:r>
          </w:p>
        </w:tc>
        <w:tc>
          <w:tcPr>
            <w:tcW w:w="2736" w:type="dxa"/>
            <w:tcMar>
              <w:top w:w="100" w:type="dxa"/>
              <w:left w:w="100" w:type="dxa"/>
              <w:bottom w:w="100" w:type="dxa"/>
              <w:right w:w="100" w:type="dxa"/>
            </w:tcMar>
          </w:tcPr>
          <w:p w:rsidR="00B254FC" w:rsidRDefault="00B254FC" w:rsidP="00507548">
            <w:pPr>
              <w:spacing w:line="240" w:lineRule="auto"/>
              <w:contextualSpacing w:val="0"/>
              <w:jc w:val="right"/>
            </w:pPr>
            <w:r>
              <w:t>10 000 Kč</w:t>
            </w:r>
          </w:p>
        </w:tc>
      </w:tr>
    </w:tbl>
    <w:p w:rsidR="00B254FC" w:rsidRDefault="00B254FC" w:rsidP="00B254FC">
      <w:pPr>
        <w:contextualSpacing w:val="0"/>
      </w:pPr>
    </w:p>
    <w:tbl>
      <w:tblPr>
        <w:tblW w:w="9837"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821"/>
        <w:gridCol w:w="2016"/>
      </w:tblGrid>
      <w:tr w:rsidR="00B254FC" w:rsidTr="00507548">
        <w:tc>
          <w:tcPr>
            <w:tcW w:w="7821" w:type="dxa"/>
            <w:tcMar>
              <w:top w:w="100" w:type="dxa"/>
              <w:left w:w="100" w:type="dxa"/>
              <w:bottom w:w="100" w:type="dxa"/>
              <w:right w:w="100" w:type="dxa"/>
            </w:tcMar>
          </w:tcPr>
          <w:p w:rsidR="00B254FC" w:rsidRDefault="00B254FC" w:rsidP="00507548">
            <w:pPr>
              <w:spacing w:line="240" w:lineRule="auto"/>
              <w:contextualSpacing w:val="0"/>
              <w:jc w:val="both"/>
            </w:pPr>
            <w:r>
              <w:rPr>
                <w:b/>
              </w:rPr>
              <w:t>Plnění</w:t>
            </w:r>
          </w:p>
        </w:tc>
        <w:tc>
          <w:tcPr>
            <w:tcW w:w="2016" w:type="dxa"/>
            <w:tcMar>
              <w:top w:w="100" w:type="dxa"/>
              <w:left w:w="100" w:type="dxa"/>
              <w:bottom w:w="100" w:type="dxa"/>
              <w:right w:w="100" w:type="dxa"/>
            </w:tcMar>
          </w:tcPr>
          <w:p w:rsidR="00B254FC" w:rsidRDefault="00B254FC" w:rsidP="00507548">
            <w:pPr>
              <w:spacing w:line="240" w:lineRule="auto"/>
              <w:contextualSpacing w:val="0"/>
              <w:jc w:val="right"/>
            </w:pPr>
            <w:r>
              <w:rPr>
                <w:b/>
              </w:rPr>
              <w:t>Cena</w:t>
            </w:r>
          </w:p>
        </w:tc>
      </w:tr>
      <w:tr w:rsidR="00B254FC" w:rsidTr="00507548">
        <w:tc>
          <w:tcPr>
            <w:tcW w:w="7821" w:type="dxa"/>
            <w:tcMar>
              <w:top w:w="100" w:type="dxa"/>
              <w:left w:w="100" w:type="dxa"/>
              <w:bottom w:w="100" w:type="dxa"/>
              <w:right w:w="100" w:type="dxa"/>
            </w:tcMar>
          </w:tcPr>
          <w:p w:rsidR="00B254FC" w:rsidRDefault="00B254FC" w:rsidP="00507548">
            <w:pPr>
              <w:spacing w:line="240" w:lineRule="auto"/>
              <w:contextualSpacing w:val="0"/>
              <w:jc w:val="both"/>
            </w:pPr>
            <w:r>
              <w:t>dopravné autem po Ústí nad Labem (</w:t>
            </w:r>
            <w:r>
              <w:rPr>
                <w:b/>
              </w:rPr>
              <w:t>Sleva 100%</w:t>
            </w:r>
            <w:r>
              <w:t>)</w:t>
            </w:r>
          </w:p>
        </w:tc>
        <w:tc>
          <w:tcPr>
            <w:tcW w:w="2016" w:type="dxa"/>
            <w:tcMar>
              <w:top w:w="100" w:type="dxa"/>
              <w:left w:w="100" w:type="dxa"/>
              <w:bottom w:w="100" w:type="dxa"/>
              <w:right w:w="100" w:type="dxa"/>
            </w:tcMar>
          </w:tcPr>
          <w:p w:rsidR="00B254FC" w:rsidRDefault="00B254FC" w:rsidP="00507548">
            <w:pPr>
              <w:spacing w:line="240" w:lineRule="auto"/>
              <w:contextualSpacing w:val="0"/>
              <w:jc w:val="right"/>
            </w:pPr>
            <w:r>
              <w:t>0 Kč</w:t>
            </w:r>
          </w:p>
        </w:tc>
      </w:tr>
      <w:tr w:rsidR="00B254FC" w:rsidTr="00507548">
        <w:tc>
          <w:tcPr>
            <w:tcW w:w="7821" w:type="dxa"/>
            <w:tcMar>
              <w:top w:w="100" w:type="dxa"/>
              <w:left w:w="100" w:type="dxa"/>
              <w:bottom w:w="100" w:type="dxa"/>
              <w:right w:w="100" w:type="dxa"/>
            </w:tcMar>
          </w:tcPr>
          <w:p w:rsidR="00B254FC" w:rsidRDefault="00B254FC" w:rsidP="00507548">
            <w:pPr>
              <w:spacing w:line="240" w:lineRule="auto"/>
              <w:contextualSpacing w:val="0"/>
              <w:jc w:val="both"/>
            </w:pPr>
            <w:r>
              <w:t>dopravné po ČR</w:t>
            </w:r>
          </w:p>
        </w:tc>
        <w:tc>
          <w:tcPr>
            <w:tcW w:w="2016" w:type="dxa"/>
            <w:tcMar>
              <w:top w:w="100" w:type="dxa"/>
              <w:left w:w="100" w:type="dxa"/>
              <w:bottom w:w="100" w:type="dxa"/>
              <w:right w:w="100" w:type="dxa"/>
            </w:tcMar>
          </w:tcPr>
          <w:p w:rsidR="00B254FC" w:rsidRDefault="00B254FC" w:rsidP="00507548">
            <w:pPr>
              <w:spacing w:line="240" w:lineRule="auto"/>
              <w:contextualSpacing w:val="0"/>
              <w:jc w:val="right"/>
            </w:pPr>
            <w:r>
              <w:t>15 Kč / km</w:t>
            </w:r>
          </w:p>
        </w:tc>
      </w:tr>
      <w:tr w:rsidR="00B254FC" w:rsidTr="00507548">
        <w:tc>
          <w:tcPr>
            <w:tcW w:w="7821" w:type="dxa"/>
            <w:tcMar>
              <w:top w:w="100" w:type="dxa"/>
              <w:left w:w="100" w:type="dxa"/>
              <w:bottom w:w="100" w:type="dxa"/>
              <w:right w:w="100" w:type="dxa"/>
            </w:tcMar>
          </w:tcPr>
          <w:p w:rsidR="00B254FC" w:rsidRDefault="00B254FC" w:rsidP="00507548">
            <w:pPr>
              <w:spacing w:line="240" w:lineRule="auto"/>
              <w:contextualSpacing w:val="0"/>
              <w:jc w:val="both"/>
            </w:pPr>
            <w:r>
              <w:t>ubytování v ČR</w:t>
            </w:r>
          </w:p>
        </w:tc>
        <w:tc>
          <w:tcPr>
            <w:tcW w:w="2016" w:type="dxa"/>
            <w:tcMar>
              <w:top w:w="100" w:type="dxa"/>
              <w:left w:w="100" w:type="dxa"/>
              <w:bottom w:w="100" w:type="dxa"/>
              <w:right w:w="100" w:type="dxa"/>
            </w:tcMar>
          </w:tcPr>
          <w:p w:rsidR="00B254FC" w:rsidRDefault="00B254FC" w:rsidP="00507548">
            <w:pPr>
              <w:spacing w:line="240" w:lineRule="auto"/>
              <w:contextualSpacing w:val="0"/>
              <w:jc w:val="right"/>
            </w:pPr>
            <w:r>
              <w:t>1 500 Kč</w:t>
            </w:r>
          </w:p>
        </w:tc>
      </w:tr>
      <w:tr w:rsidR="00B254FC" w:rsidTr="00507548">
        <w:tc>
          <w:tcPr>
            <w:tcW w:w="7821" w:type="dxa"/>
            <w:tcMar>
              <w:top w:w="100" w:type="dxa"/>
              <w:left w:w="100" w:type="dxa"/>
              <w:bottom w:w="100" w:type="dxa"/>
              <w:right w:w="100" w:type="dxa"/>
            </w:tcMar>
          </w:tcPr>
          <w:p w:rsidR="00B254FC" w:rsidRDefault="00B254FC" w:rsidP="00507548">
            <w:pPr>
              <w:spacing w:line="240" w:lineRule="auto"/>
              <w:contextualSpacing w:val="0"/>
              <w:jc w:val="both"/>
            </w:pPr>
            <w:r>
              <w:t>příplatek za plnění Služeb mimo Pracovní dobu</w:t>
            </w:r>
          </w:p>
        </w:tc>
        <w:tc>
          <w:tcPr>
            <w:tcW w:w="2016" w:type="dxa"/>
            <w:tcMar>
              <w:top w:w="100" w:type="dxa"/>
              <w:left w:w="100" w:type="dxa"/>
              <w:bottom w:w="100" w:type="dxa"/>
              <w:right w:w="100" w:type="dxa"/>
            </w:tcMar>
          </w:tcPr>
          <w:p w:rsidR="00B254FC" w:rsidRDefault="00B254FC" w:rsidP="00507548">
            <w:pPr>
              <w:spacing w:line="240" w:lineRule="auto"/>
              <w:contextualSpacing w:val="0"/>
              <w:jc w:val="right"/>
            </w:pPr>
            <w:r>
              <w:t>50%</w:t>
            </w:r>
          </w:p>
        </w:tc>
      </w:tr>
    </w:tbl>
    <w:p w:rsidR="00B254FC" w:rsidRDefault="00B254FC" w:rsidP="00B254FC">
      <w:pPr>
        <w:pStyle w:val="Nadpis1"/>
        <w:contextualSpacing w:val="0"/>
        <w:jc w:val="both"/>
      </w:pPr>
      <w:r>
        <w:lastRenderedPageBreak/>
        <w:t>Článek IV. Ceník Paušální správy:</w:t>
      </w:r>
    </w:p>
    <w:tbl>
      <w:tblPr>
        <w:tblW w:w="9837"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82"/>
        <w:gridCol w:w="4855"/>
      </w:tblGrid>
      <w:tr w:rsidR="00B254FC" w:rsidTr="00507548">
        <w:tc>
          <w:tcPr>
            <w:tcW w:w="4982" w:type="dxa"/>
            <w:tcMar>
              <w:top w:w="100" w:type="dxa"/>
              <w:left w:w="100" w:type="dxa"/>
              <w:bottom w:w="100" w:type="dxa"/>
              <w:right w:w="100" w:type="dxa"/>
            </w:tcMar>
          </w:tcPr>
          <w:p w:rsidR="00B254FC" w:rsidRDefault="00B254FC" w:rsidP="00507548">
            <w:pPr>
              <w:contextualSpacing w:val="0"/>
            </w:pPr>
            <w:r>
              <w:rPr>
                <w:b/>
              </w:rPr>
              <w:t>Typ služby</w:t>
            </w:r>
          </w:p>
        </w:tc>
        <w:tc>
          <w:tcPr>
            <w:tcW w:w="4855" w:type="dxa"/>
            <w:tcMar>
              <w:top w:w="100" w:type="dxa"/>
              <w:left w:w="100" w:type="dxa"/>
              <w:bottom w:w="100" w:type="dxa"/>
              <w:right w:w="100" w:type="dxa"/>
            </w:tcMar>
          </w:tcPr>
          <w:p w:rsidR="00B254FC" w:rsidRDefault="00B254FC" w:rsidP="00507548">
            <w:pPr>
              <w:contextualSpacing w:val="0"/>
              <w:jc w:val="right"/>
            </w:pPr>
            <w:r>
              <w:rPr>
                <w:b/>
              </w:rPr>
              <w:t>Cena pravidelného plnění / ks</w:t>
            </w:r>
          </w:p>
        </w:tc>
      </w:tr>
      <w:tr w:rsidR="00B254FC" w:rsidTr="00507548">
        <w:tc>
          <w:tcPr>
            <w:tcW w:w="4982" w:type="dxa"/>
            <w:tcMar>
              <w:top w:w="100" w:type="dxa"/>
              <w:left w:w="100" w:type="dxa"/>
              <w:bottom w:w="100" w:type="dxa"/>
              <w:right w:w="100" w:type="dxa"/>
            </w:tcMar>
          </w:tcPr>
          <w:p w:rsidR="00B254FC" w:rsidRDefault="00B254FC" w:rsidP="00507548">
            <w:pPr>
              <w:spacing w:line="240" w:lineRule="auto"/>
              <w:contextualSpacing w:val="0"/>
            </w:pPr>
            <w:r>
              <w:t>Server, Reakční doba Standard</w:t>
            </w:r>
          </w:p>
        </w:tc>
        <w:tc>
          <w:tcPr>
            <w:tcW w:w="4855" w:type="dxa"/>
            <w:tcMar>
              <w:top w:w="100" w:type="dxa"/>
              <w:left w:w="100" w:type="dxa"/>
              <w:bottom w:w="100" w:type="dxa"/>
              <w:right w:w="100" w:type="dxa"/>
            </w:tcMar>
          </w:tcPr>
          <w:p w:rsidR="00B254FC" w:rsidRDefault="00B254FC" w:rsidP="00507548">
            <w:pPr>
              <w:spacing w:line="240" w:lineRule="auto"/>
              <w:contextualSpacing w:val="0"/>
              <w:jc w:val="right"/>
            </w:pPr>
            <w:r>
              <w:t>3 000 Kč</w:t>
            </w:r>
          </w:p>
        </w:tc>
      </w:tr>
      <w:tr w:rsidR="00B254FC" w:rsidTr="00507548">
        <w:tc>
          <w:tcPr>
            <w:tcW w:w="4982" w:type="dxa"/>
            <w:tcMar>
              <w:top w:w="100" w:type="dxa"/>
              <w:left w:w="100" w:type="dxa"/>
              <w:bottom w:w="100" w:type="dxa"/>
              <w:right w:w="100" w:type="dxa"/>
            </w:tcMar>
          </w:tcPr>
          <w:p w:rsidR="00B254FC" w:rsidRDefault="00B254FC" w:rsidP="00507548">
            <w:pPr>
              <w:spacing w:line="240" w:lineRule="auto"/>
              <w:contextualSpacing w:val="0"/>
            </w:pPr>
            <w:r>
              <w:t>Server, Reakční doba Premium</w:t>
            </w:r>
          </w:p>
        </w:tc>
        <w:tc>
          <w:tcPr>
            <w:tcW w:w="4855" w:type="dxa"/>
            <w:tcMar>
              <w:top w:w="100" w:type="dxa"/>
              <w:left w:w="100" w:type="dxa"/>
              <w:bottom w:w="100" w:type="dxa"/>
              <w:right w:w="100" w:type="dxa"/>
            </w:tcMar>
          </w:tcPr>
          <w:p w:rsidR="00B254FC" w:rsidRDefault="00B254FC" w:rsidP="00507548">
            <w:pPr>
              <w:spacing w:line="240" w:lineRule="auto"/>
              <w:contextualSpacing w:val="0"/>
              <w:jc w:val="right"/>
            </w:pPr>
            <w:r>
              <w:t>4 000 Kč</w:t>
            </w:r>
          </w:p>
        </w:tc>
      </w:tr>
      <w:tr w:rsidR="00B254FC" w:rsidTr="00507548">
        <w:tc>
          <w:tcPr>
            <w:tcW w:w="4982" w:type="dxa"/>
            <w:tcMar>
              <w:top w:w="100" w:type="dxa"/>
              <w:left w:w="100" w:type="dxa"/>
              <w:bottom w:w="100" w:type="dxa"/>
              <w:right w:w="100" w:type="dxa"/>
            </w:tcMar>
          </w:tcPr>
          <w:p w:rsidR="00B254FC" w:rsidRDefault="00B254FC" w:rsidP="00507548">
            <w:pPr>
              <w:spacing w:line="240" w:lineRule="auto"/>
              <w:contextualSpacing w:val="0"/>
            </w:pPr>
            <w:r>
              <w:t>Servery, Reakční doba Non-stop</w:t>
            </w:r>
          </w:p>
        </w:tc>
        <w:tc>
          <w:tcPr>
            <w:tcW w:w="4855" w:type="dxa"/>
            <w:tcMar>
              <w:top w:w="100" w:type="dxa"/>
              <w:left w:w="100" w:type="dxa"/>
              <w:bottom w:w="100" w:type="dxa"/>
              <w:right w:w="100" w:type="dxa"/>
            </w:tcMar>
          </w:tcPr>
          <w:p w:rsidR="00B254FC" w:rsidRDefault="00B254FC" w:rsidP="00507548">
            <w:pPr>
              <w:spacing w:line="240" w:lineRule="auto"/>
              <w:contextualSpacing w:val="0"/>
              <w:jc w:val="right"/>
            </w:pPr>
            <w:r>
              <w:t>6 000 Kč</w:t>
            </w:r>
          </w:p>
        </w:tc>
      </w:tr>
      <w:tr w:rsidR="00B254FC" w:rsidTr="00507548">
        <w:trPr>
          <w:trHeight w:val="480"/>
        </w:trPr>
        <w:tc>
          <w:tcPr>
            <w:tcW w:w="4982" w:type="dxa"/>
            <w:tcMar>
              <w:top w:w="100" w:type="dxa"/>
              <w:left w:w="100" w:type="dxa"/>
              <w:bottom w:w="100" w:type="dxa"/>
              <w:right w:w="100" w:type="dxa"/>
            </w:tcMar>
          </w:tcPr>
          <w:p w:rsidR="00B254FC" w:rsidRDefault="00B254FC" w:rsidP="00507548">
            <w:pPr>
              <w:spacing w:line="240" w:lineRule="auto"/>
              <w:contextualSpacing w:val="0"/>
            </w:pPr>
            <w:r>
              <w:t>Ostatní zařízení, Reakční doba Standard</w:t>
            </w:r>
          </w:p>
        </w:tc>
        <w:tc>
          <w:tcPr>
            <w:tcW w:w="4855" w:type="dxa"/>
            <w:tcMar>
              <w:top w:w="100" w:type="dxa"/>
              <w:left w:w="100" w:type="dxa"/>
              <w:bottom w:w="100" w:type="dxa"/>
              <w:right w:w="100" w:type="dxa"/>
            </w:tcMar>
          </w:tcPr>
          <w:p w:rsidR="00B254FC" w:rsidRDefault="00B254FC" w:rsidP="00507548">
            <w:pPr>
              <w:spacing w:line="240" w:lineRule="auto"/>
              <w:contextualSpacing w:val="0"/>
              <w:jc w:val="right"/>
            </w:pPr>
            <w:r>
              <w:t>1 500 Kč</w:t>
            </w:r>
          </w:p>
        </w:tc>
      </w:tr>
    </w:tbl>
    <w:p w:rsidR="00B254FC" w:rsidRDefault="00B254FC" w:rsidP="00B254FC">
      <w:pPr>
        <w:contextualSpacing w:val="0"/>
        <w:jc w:val="both"/>
      </w:pPr>
    </w:p>
    <w:p w:rsidR="00B254FC" w:rsidRDefault="00B254FC" w:rsidP="00B254FC">
      <w:pPr>
        <w:contextualSpacing w:val="0"/>
        <w:jc w:val="both"/>
      </w:pPr>
    </w:p>
    <w:p w:rsidR="00B254FC" w:rsidRDefault="00B254FC" w:rsidP="00B254FC">
      <w:pPr>
        <w:contextualSpacing w:val="0"/>
      </w:pPr>
      <w:r>
        <w:t>V Ústí nad Labem dne 1. ledna. 2017</w:t>
      </w:r>
    </w:p>
    <w:p w:rsidR="00B254FC" w:rsidRDefault="00B254FC" w:rsidP="00B254FC">
      <w:pPr>
        <w:contextualSpacing w:val="0"/>
        <w:jc w:val="both"/>
      </w:pPr>
    </w:p>
    <w:p w:rsidR="00B254FC" w:rsidRDefault="00B254FC" w:rsidP="00B254FC">
      <w:pPr>
        <w:contextualSpacing w:val="0"/>
        <w:jc w:val="both"/>
      </w:pPr>
    </w:p>
    <w:p w:rsidR="00B254FC" w:rsidRDefault="00B254FC" w:rsidP="00B254FC">
      <w:pPr>
        <w:contextualSpacing w:val="0"/>
        <w:jc w:val="both"/>
      </w:pPr>
    </w:p>
    <w:p w:rsidR="00B254FC" w:rsidRDefault="00B254FC" w:rsidP="00B254FC">
      <w:pPr>
        <w:contextualSpacing w:val="0"/>
        <w:jc w:val="both"/>
      </w:pPr>
      <w:r>
        <w:rPr>
          <w:highlight w:val="white"/>
        </w:rPr>
        <w:t>Zákazník</w:t>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t>Poskytovatel</w:t>
      </w:r>
    </w:p>
    <w:p w:rsidR="00B254FC" w:rsidRDefault="00B254FC" w:rsidP="00B254FC">
      <w:pPr>
        <w:contextualSpacing w:val="0"/>
        <w:jc w:val="both"/>
      </w:pPr>
      <w:r>
        <w:rPr>
          <w:highlight w:val="white"/>
        </w:rPr>
        <w:t>VOŠZ a SŠZ, příspěvková organizace</w:t>
      </w:r>
      <w:r>
        <w:rPr>
          <w:highlight w:val="white"/>
        </w:rPr>
        <w:tab/>
      </w:r>
      <w:r>
        <w:rPr>
          <w:highlight w:val="white"/>
        </w:rPr>
        <w:tab/>
      </w:r>
      <w:r>
        <w:rPr>
          <w:highlight w:val="white"/>
        </w:rPr>
        <w:tab/>
        <w:t>Enlogit s.r.o.</w:t>
      </w:r>
    </w:p>
    <w:p w:rsidR="00B254FC" w:rsidRDefault="00B254FC" w:rsidP="00B254FC">
      <w:pPr>
        <w:contextualSpacing w:val="0"/>
        <w:jc w:val="both"/>
      </w:pPr>
      <w:r>
        <w:rPr>
          <w:highlight w:val="white"/>
        </w:rPr>
        <w:t>ředitelka PhDr. Miroslava Zoubková</w:t>
      </w:r>
      <w:r>
        <w:rPr>
          <w:highlight w:val="white"/>
        </w:rPr>
        <w:tab/>
      </w:r>
      <w:r>
        <w:rPr>
          <w:highlight w:val="white"/>
        </w:rPr>
        <w:tab/>
      </w:r>
      <w:r>
        <w:rPr>
          <w:highlight w:val="white"/>
        </w:rPr>
        <w:tab/>
      </w:r>
      <w:r>
        <w:rPr>
          <w:highlight w:val="white"/>
        </w:rPr>
        <w:tab/>
        <w:t>IT operations a service delivery director</w:t>
      </w:r>
    </w:p>
    <w:p w:rsidR="00B254FC" w:rsidRDefault="00B254FC" w:rsidP="00B254FC">
      <w:pPr>
        <w:ind w:left="5760"/>
        <w:contextualSpacing w:val="0"/>
        <w:jc w:val="both"/>
      </w:pPr>
      <w:r>
        <w:rPr>
          <w:highlight w:val="white"/>
        </w:rPr>
        <w:t>Lenka Ledvinová</w:t>
      </w:r>
    </w:p>
    <w:p w:rsidR="00B254FC" w:rsidRDefault="00B254FC" w:rsidP="00B254FC">
      <w:pPr>
        <w:contextualSpacing w:val="0"/>
        <w:jc w:val="both"/>
      </w:pPr>
    </w:p>
    <w:p w:rsidR="00B254FC" w:rsidRDefault="00B254FC">
      <w:pPr>
        <w:ind w:left="5760"/>
        <w:contextualSpacing w:val="0"/>
        <w:jc w:val="both"/>
      </w:pPr>
    </w:p>
    <w:p w:rsidR="00B254FC" w:rsidRDefault="00B254FC">
      <w:pPr>
        <w:ind w:left="5760"/>
        <w:contextualSpacing w:val="0"/>
        <w:jc w:val="both"/>
      </w:pPr>
    </w:p>
    <w:p w:rsidR="00B254FC" w:rsidRDefault="00B254FC">
      <w:pPr>
        <w:ind w:left="5760"/>
        <w:contextualSpacing w:val="0"/>
        <w:jc w:val="both"/>
      </w:pPr>
    </w:p>
    <w:p w:rsidR="00B254FC" w:rsidRDefault="00B254FC">
      <w:pPr>
        <w:ind w:left="5760"/>
        <w:contextualSpacing w:val="0"/>
        <w:jc w:val="both"/>
      </w:pPr>
    </w:p>
    <w:p w:rsidR="00B254FC" w:rsidRDefault="00B254FC">
      <w:pPr>
        <w:ind w:left="5760"/>
        <w:contextualSpacing w:val="0"/>
        <w:jc w:val="both"/>
      </w:pPr>
    </w:p>
    <w:p w:rsidR="00B254FC" w:rsidRDefault="00B254FC">
      <w:pPr>
        <w:ind w:left="5760"/>
        <w:contextualSpacing w:val="0"/>
        <w:jc w:val="both"/>
      </w:pPr>
    </w:p>
    <w:p w:rsidR="00B254FC" w:rsidRDefault="00B254FC">
      <w:pPr>
        <w:ind w:left="5760"/>
        <w:contextualSpacing w:val="0"/>
        <w:jc w:val="both"/>
      </w:pPr>
    </w:p>
    <w:p w:rsidR="00B254FC" w:rsidRDefault="00B254FC">
      <w:pPr>
        <w:ind w:left="5760"/>
        <w:contextualSpacing w:val="0"/>
        <w:jc w:val="both"/>
      </w:pPr>
    </w:p>
    <w:p w:rsidR="00B254FC" w:rsidRDefault="00B254FC">
      <w:pPr>
        <w:ind w:left="5760"/>
        <w:contextualSpacing w:val="0"/>
        <w:jc w:val="both"/>
      </w:pPr>
    </w:p>
    <w:p w:rsidR="00B254FC" w:rsidRDefault="00B254FC">
      <w:pPr>
        <w:ind w:left="5760"/>
        <w:contextualSpacing w:val="0"/>
        <w:jc w:val="both"/>
      </w:pPr>
    </w:p>
    <w:p w:rsidR="00B254FC" w:rsidRDefault="00B254FC">
      <w:pPr>
        <w:ind w:left="5760"/>
        <w:contextualSpacing w:val="0"/>
        <w:jc w:val="both"/>
      </w:pPr>
    </w:p>
    <w:p w:rsidR="00B254FC" w:rsidRDefault="00B254FC">
      <w:pPr>
        <w:ind w:left="5760"/>
        <w:contextualSpacing w:val="0"/>
        <w:jc w:val="both"/>
      </w:pPr>
    </w:p>
    <w:p w:rsidR="00B254FC" w:rsidRDefault="00B254FC">
      <w:pPr>
        <w:ind w:left="5760"/>
        <w:contextualSpacing w:val="0"/>
        <w:jc w:val="both"/>
      </w:pPr>
    </w:p>
    <w:p w:rsidR="00B254FC" w:rsidRDefault="00B254FC">
      <w:pPr>
        <w:ind w:left="5760"/>
        <w:contextualSpacing w:val="0"/>
        <w:jc w:val="both"/>
      </w:pPr>
    </w:p>
    <w:p w:rsidR="00B254FC" w:rsidRDefault="00B254FC">
      <w:pPr>
        <w:ind w:left="5760"/>
        <w:contextualSpacing w:val="0"/>
        <w:jc w:val="both"/>
      </w:pPr>
    </w:p>
    <w:p w:rsidR="00B254FC" w:rsidRDefault="00B254FC">
      <w:pPr>
        <w:ind w:left="5760"/>
        <w:contextualSpacing w:val="0"/>
        <w:jc w:val="both"/>
      </w:pPr>
    </w:p>
    <w:p w:rsidR="00B254FC" w:rsidRDefault="00B254FC">
      <w:pPr>
        <w:ind w:left="5760"/>
        <w:contextualSpacing w:val="0"/>
        <w:jc w:val="both"/>
      </w:pPr>
    </w:p>
    <w:p w:rsidR="00B254FC" w:rsidRDefault="00B254FC">
      <w:pPr>
        <w:ind w:left="5760"/>
        <w:contextualSpacing w:val="0"/>
        <w:jc w:val="both"/>
      </w:pPr>
    </w:p>
    <w:p w:rsidR="00B254FC" w:rsidRDefault="00B254FC">
      <w:pPr>
        <w:ind w:left="5760"/>
        <w:contextualSpacing w:val="0"/>
        <w:jc w:val="both"/>
      </w:pPr>
    </w:p>
    <w:p w:rsidR="00B254FC" w:rsidRDefault="00B254FC">
      <w:pPr>
        <w:ind w:left="5760"/>
        <w:contextualSpacing w:val="0"/>
        <w:jc w:val="both"/>
      </w:pPr>
    </w:p>
    <w:p w:rsidR="00B254FC" w:rsidRDefault="00B254FC">
      <w:pPr>
        <w:ind w:left="5760"/>
        <w:contextualSpacing w:val="0"/>
        <w:jc w:val="both"/>
      </w:pPr>
    </w:p>
    <w:p w:rsidR="00B254FC" w:rsidRDefault="00B254FC">
      <w:pPr>
        <w:ind w:left="5760"/>
        <w:contextualSpacing w:val="0"/>
        <w:jc w:val="both"/>
      </w:pPr>
    </w:p>
    <w:p w:rsidR="00B254FC" w:rsidRDefault="00B254FC">
      <w:pPr>
        <w:ind w:left="5760"/>
        <w:contextualSpacing w:val="0"/>
        <w:jc w:val="both"/>
      </w:pPr>
    </w:p>
    <w:p w:rsidR="00B254FC" w:rsidRDefault="00B254FC">
      <w:pPr>
        <w:ind w:left="5760"/>
        <w:contextualSpacing w:val="0"/>
        <w:jc w:val="both"/>
      </w:pPr>
    </w:p>
    <w:p w:rsidR="00B254FC" w:rsidRDefault="00B254FC">
      <w:pPr>
        <w:ind w:left="5760"/>
        <w:contextualSpacing w:val="0"/>
        <w:jc w:val="both"/>
      </w:pPr>
    </w:p>
    <w:p w:rsidR="00B254FC" w:rsidRDefault="00B254FC">
      <w:pPr>
        <w:ind w:left="5760"/>
        <w:contextualSpacing w:val="0"/>
        <w:jc w:val="both"/>
      </w:pPr>
    </w:p>
    <w:p w:rsidR="00B254FC" w:rsidRDefault="00B254FC">
      <w:pPr>
        <w:ind w:left="5760"/>
        <w:contextualSpacing w:val="0"/>
        <w:jc w:val="both"/>
      </w:pPr>
    </w:p>
    <w:p w:rsidR="00B254FC" w:rsidRDefault="00B254FC">
      <w:pPr>
        <w:ind w:left="5760"/>
        <w:contextualSpacing w:val="0"/>
        <w:jc w:val="both"/>
      </w:pPr>
    </w:p>
    <w:p w:rsidR="00B254FC" w:rsidRDefault="00B254FC">
      <w:pPr>
        <w:ind w:left="5760"/>
        <w:contextualSpacing w:val="0"/>
        <w:jc w:val="both"/>
      </w:pPr>
    </w:p>
    <w:p w:rsidR="00B254FC" w:rsidRDefault="00B254FC">
      <w:pPr>
        <w:ind w:left="5760"/>
        <w:contextualSpacing w:val="0"/>
        <w:jc w:val="both"/>
      </w:pPr>
    </w:p>
    <w:p w:rsidR="00B254FC" w:rsidRDefault="00B254FC">
      <w:pPr>
        <w:ind w:left="5760"/>
        <w:contextualSpacing w:val="0"/>
        <w:jc w:val="both"/>
      </w:pPr>
    </w:p>
    <w:p w:rsidR="00B254FC" w:rsidRDefault="00B254FC">
      <w:pPr>
        <w:ind w:left="5760"/>
        <w:contextualSpacing w:val="0"/>
        <w:jc w:val="both"/>
      </w:pPr>
    </w:p>
    <w:p w:rsidR="00B254FC" w:rsidRDefault="00B254FC">
      <w:pPr>
        <w:ind w:left="5760"/>
        <w:contextualSpacing w:val="0"/>
        <w:jc w:val="both"/>
      </w:pPr>
    </w:p>
    <w:p w:rsidR="00B254FC" w:rsidRDefault="00B254FC">
      <w:pPr>
        <w:ind w:left="5760"/>
        <w:contextualSpacing w:val="0"/>
        <w:jc w:val="both"/>
      </w:pPr>
    </w:p>
    <w:p w:rsidR="00B254FC" w:rsidRDefault="00B254FC">
      <w:pPr>
        <w:ind w:left="5760"/>
        <w:contextualSpacing w:val="0"/>
        <w:jc w:val="both"/>
      </w:pPr>
    </w:p>
    <w:p w:rsidR="00B254FC" w:rsidRDefault="00B254FC">
      <w:pPr>
        <w:ind w:left="5760"/>
        <w:contextualSpacing w:val="0"/>
        <w:jc w:val="both"/>
      </w:pPr>
    </w:p>
    <w:p w:rsidR="00B254FC" w:rsidRDefault="00B254FC">
      <w:pPr>
        <w:ind w:left="5760"/>
        <w:contextualSpacing w:val="0"/>
        <w:jc w:val="both"/>
      </w:pPr>
    </w:p>
    <w:p w:rsidR="00B254FC" w:rsidRDefault="00B254FC">
      <w:pPr>
        <w:ind w:left="5760"/>
        <w:contextualSpacing w:val="0"/>
        <w:jc w:val="both"/>
      </w:pPr>
    </w:p>
    <w:p w:rsidR="00B254FC" w:rsidRDefault="00B254FC" w:rsidP="00B254FC">
      <w:pPr>
        <w:pStyle w:val="Nzev"/>
        <w:contextualSpacing w:val="0"/>
        <w:jc w:val="both"/>
      </w:pPr>
      <w:r>
        <w:rPr>
          <w:sz w:val="48"/>
          <w:szCs w:val="48"/>
        </w:rPr>
        <w:t>VŠEOBECNÉ OBCHODNÍ PODMÍNKY</w:t>
      </w:r>
    </w:p>
    <w:p w:rsidR="00B254FC" w:rsidRDefault="00B254FC" w:rsidP="00B254FC">
      <w:pPr>
        <w:pStyle w:val="Podnadpis"/>
        <w:contextualSpacing w:val="0"/>
        <w:jc w:val="both"/>
      </w:pPr>
      <w:r>
        <w:rPr>
          <w:sz w:val="22"/>
          <w:szCs w:val="22"/>
        </w:rPr>
        <w:t xml:space="preserve">příloha, která je nedílnou součástí smlouvy označené </w:t>
      </w:r>
      <w:r>
        <w:rPr>
          <w:sz w:val="22"/>
          <w:szCs w:val="22"/>
          <w:highlight w:val="white"/>
        </w:rPr>
        <w:t>označená 2017-01-VOSZaSSZ</w:t>
      </w:r>
      <w:r>
        <w:rPr>
          <w:sz w:val="22"/>
          <w:szCs w:val="22"/>
        </w:rPr>
        <w:t>, dále jen Smlouvy.</w:t>
      </w:r>
    </w:p>
    <w:p w:rsidR="00B254FC" w:rsidRDefault="00B254FC" w:rsidP="00B254FC">
      <w:pPr>
        <w:pStyle w:val="Nadpis1"/>
        <w:contextualSpacing w:val="0"/>
        <w:jc w:val="both"/>
      </w:pPr>
      <w:r>
        <w:t>Článek I. Používané pojmy</w:t>
      </w:r>
    </w:p>
    <w:p w:rsidR="00B254FC" w:rsidRDefault="00B254FC" w:rsidP="00B254FC">
      <w:pPr>
        <w:numPr>
          <w:ilvl w:val="0"/>
          <w:numId w:val="16"/>
        </w:numPr>
        <w:tabs>
          <w:tab w:val="left" w:pos="360"/>
          <w:tab w:val="left" w:pos="720"/>
        </w:tabs>
        <w:ind w:hanging="360"/>
        <w:jc w:val="both"/>
      </w:pPr>
      <w:r>
        <w:t>Pro účely Smlouvy jsou definovány následující pojmy:</w:t>
      </w:r>
    </w:p>
    <w:p w:rsidR="00B254FC" w:rsidRDefault="00B254FC" w:rsidP="00B254FC">
      <w:pPr>
        <w:numPr>
          <w:ilvl w:val="0"/>
          <w:numId w:val="16"/>
        </w:numPr>
        <w:tabs>
          <w:tab w:val="left" w:pos="360"/>
          <w:tab w:val="left" w:pos="720"/>
        </w:tabs>
        <w:ind w:hanging="360"/>
        <w:jc w:val="both"/>
      </w:pPr>
      <w:r>
        <w:rPr>
          <w:b/>
        </w:rPr>
        <w:t>IT</w:t>
      </w:r>
      <w:r>
        <w:t xml:space="preserve"> jsou informační technologie. </w:t>
      </w:r>
      <w:r>
        <w:rPr>
          <w:b/>
        </w:rPr>
        <w:t>ICT</w:t>
      </w:r>
      <w:r>
        <w:t xml:space="preserve"> jsou informační a komunikační technologie, zahrnují i IT.</w:t>
      </w:r>
    </w:p>
    <w:p w:rsidR="00B254FC" w:rsidRDefault="00B254FC" w:rsidP="00B254FC">
      <w:pPr>
        <w:numPr>
          <w:ilvl w:val="0"/>
          <w:numId w:val="16"/>
        </w:numPr>
        <w:tabs>
          <w:tab w:val="left" w:pos="360"/>
          <w:tab w:val="left" w:pos="720"/>
        </w:tabs>
        <w:ind w:hanging="360"/>
        <w:jc w:val="both"/>
      </w:pPr>
      <w:r>
        <w:t xml:space="preserve">Služby v oblasti správy sítí a dat k ICT systémům jsou souhrnně nazývány </w:t>
      </w:r>
      <w:r>
        <w:rPr>
          <w:b/>
        </w:rPr>
        <w:t>Služby</w:t>
      </w:r>
      <w:r>
        <w:t>, přičemž se jedná o činnosti, které podrobně vymezuje Smlouva a tyto všeobecné obchodní podmínky, vyjma prodeje zboží.</w:t>
      </w:r>
    </w:p>
    <w:p w:rsidR="00B254FC" w:rsidRDefault="00B254FC" w:rsidP="00B254FC">
      <w:pPr>
        <w:numPr>
          <w:ilvl w:val="0"/>
          <w:numId w:val="16"/>
        </w:numPr>
        <w:tabs>
          <w:tab w:val="left" w:pos="360"/>
          <w:tab w:val="left" w:pos="720"/>
        </w:tabs>
        <w:ind w:hanging="360"/>
        <w:jc w:val="both"/>
      </w:pPr>
      <w:r>
        <w:t xml:space="preserve">Ucelený soubor Služeb poskytnutých mimo běžný provoz, jejichž cílem je rozsáhlejší změna IT zákazníka, se nazývá </w:t>
      </w:r>
      <w:r>
        <w:rPr>
          <w:b/>
        </w:rPr>
        <w:t>Projekt</w:t>
      </w:r>
      <w:r>
        <w:t>.</w:t>
      </w:r>
    </w:p>
    <w:p w:rsidR="00B254FC" w:rsidRDefault="00B254FC" w:rsidP="00B254FC">
      <w:pPr>
        <w:numPr>
          <w:ilvl w:val="0"/>
          <w:numId w:val="16"/>
        </w:numPr>
        <w:tabs>
          <w:tab w:val="left" w:pos="360"/>
          <w:tab w:val="left" w:pos="720"/>
        </w:tabs>
        <w:ind w:hanging="360"/>
        <w:jc w:val="both"/>
      </w:pPr>
      <w:r>
        <w:t xml:space="preserve">Služba poskytnutá vzdáleně, bez osobní přítomnosti Poskytovatele na místě určeném Zákazníkem, zejména pomocí webového rozhraní, e-mailu, telefonu, nástrojů vzdáleného připojení a diagnostiky (např. pomocí síťových komunikačních protokolů RDP, VNC, SSH, iLOM), se nazývá Služba </w:t>
      </w:r>
      <w:r>
        <w:rPr>
          <w:b/>
        </w:rPr>
        <w:t>Na dálku</w:t>
      </w:r>
      <w:r>
        <w:t>.</w:t>
      </w:r>
    </w:p>
    <w:p w:rsidR="00B254FC" w:rsidRDefault="00B254FC" w:rsidP="00B254FC">
      <w:pPr>
        <w:numPr>
          <w:ilvl w:val="0"/>
          <w:numId w:val="16"/>
        </w:numPr>
        <w:tabs>
          <w:tab w:val="left" w:pos="360"/>
          <w:tab w:val="left" w:pos="720"/>
        </w:tabs>
        <w:ind w:hanging="360"/>
        <w:jc w:val="both"/>
      </w:pPr>
      <w:r>
        <w:t xml:space="preserve">Služba poskytnutá na místě určeném Zákazníkem za osobní přítomnosti Poskytovatele, se nazývá Služba </w:t>
      </w:r>
      <w:r>
        <w:rPr>
          <w:b/>
        </w:rPr>
        <w:t>Na místě</w:t>
      </w:r>
      <w:r>
        <w:t>.</w:t>
      </w:r>
    </w:p>
    <w:p w:rsidR="00B254FC" w:rsidRDefault="00B254FC" w:rsidP="00B254FC">
      <w:pPr>
        <w:numPr>
          <w:ilvl w:val="0"/>
          <w:numId w:val="16"/>
        </w:numPr>
        <w:tabs>
          <w:tab w:val="left" w:pos="360"/>
          <w:tab w:val="left" w:pos="720"/>
        </w:tabs>
        <w:ind w:hanging="360"/>
        <w:jc w:val="both"/>
      </w:pPr>
      <w:r>
        <w:t xml:space="preserve">Služba, při které pracovník Poskytovatele sám neprovádí technický zásah, ale Zákazníkovi poskytuje rady, doporučení a názory, přičemž technická realizace je na Zákazníkovi, se nazývá </w:t>
      </w:r>
      <w:r>
        <w:rPr>
          <w:b/>
        </w:rPr>
        <w:t>Konzultace</w:t>
      </w:r>
      <w:r>
        <w:t>.</w:t>
      </w:r>
    </w:p>
    <w:p w:rsidR="00B254FC" w:rsidRDefault="00B254FC" w:rsidP="00B254FC">
      <w:pPr>
        <w:numPr>
          <w:ilvl w:val="0"/>
          <w:numId w:val="16"/>
        </w:numPr>
        <w:tabs>
          <w:tab w:val="left" w:pos="360"/>
          <w:tab w:val="left" w:pos="720"/>
        </w:tabs>
        <w:ind w:hanging="360"/>
        <w:jc w:val="both"/>
      </w:pPr>
      <w:r>
        <w:rPr>
          <w:b/>
        </w:rPr>
        <w:t>Software</w:t>
      </w:r>
      <w:r>
        <w:t xml:space="preserve"> je programové vybavení počítačů.</w:t>
      </w:r>
    </w:p>
    <w:p w:rsidR="00B254FC" w:rsidRDefault="00B254FC" w:rsidP="00B254FC">
      <w:pPr>
        <w:numPr>
          <w:ilvl w:val="0"/>
          <w:numId w:val="16"/>
        </w:numPr>
        <w:tabs>
          <w:tab w:val="left" w:pos="360"/>
          <w:tab w:val="left" w:pos="720"/>
        </w:tabs>
        <w:ind w:hanging="360"/>
        <w:jc w:val="both"/>
      </w:pPr>
      <w:r>
        <w:rPr>
          <w:b/>
        </w:rPr>
        <w:t>Hardware</w:t>
      </w:r>
      <w:r>
        <w:t xml:space="preserve"> jsou elektronické součástky a technické vybavení počítačů, umožňující provoz Software. Není-li v konkrétním případě řečeno jinak, myslí se jím fyzicky existující hardware (narozdíl od </w:t>
      </w:r>
      <w:r>
        <w:rPr>
          <w:b/>
        </w:rPr>
        <w:t>virtuálního hardware</w:t>
      </w:r>
      <w:r>
        <w:t>, který fyzicky neexistuje, ale je simulován pomocí software tzv. virtualizace).</w:t>
      </w:r>
    </w:p>
    <w:p w:rsidR="00B254FC" w:rsidRDefault="00B254FC" w:rsidP="00B254FC">
      <w:pPr>
        <w:numPr>
          <w:ilvl w:val="0"/>
          <w:numId w:val="16"/>
        </w:numPr>
        <w:tabs>
          <w:tab w:val="left" w:pos="360"/>
          <w:tab w:val="left" w:pos="720"/>
        </w:tabs>
        <w:ind w:hanging="360"/>
        <w:jc w:val="both"/>
      </w:pPr>
      <w:r>
        <w:rPr>
          <w:b/>
        </w:rPr>
        <w:t>Informační služba</w:t>
      </w:r>
      <w:r>
        <w:t xml:space="preserve"> je programové vybavení, typicky víceuživatelské, které umožňuje zpracovávat informace a data uživatelům počítačové sítě, například se jedná o systémy pro řízení výroby, databáze, systémy pro komunikaci pomocí elektronické pošty a internetu atd.</w:t>
      </w:r>
    </w:p>
    <w:p w:rsidR="00B254FC" w:rsidRDefault="00B254FC" w:rsidP="00B254FC">
      <w:pPr>
        <w:numPr>
          <w:ilvl w:val="0"/>
          <w:numId w:val="16"/>
        </w:numPr>
        <w:tabs>
          <w:tab w:val="left" w:pos="360"/>
          <w:tab w:val="left" w:pos="720"/>
        </w:tabs>
        <w:ind w:hanging="360"/>
        <w:jc w:val="both"/>
      </w:pPr>
      <w:r>
        <w:rPr>
          <w:b/>
        </w:rPr>
        <w:t>PC</w:t>
      </w:r>
      <w:r>
        <w:t xml:space="preserve"> je osobní počítač uživatele počítačové sítě. Za PC se pro účely této Smlouvy považují i notebooky (tj. přenosné osobní počítače) a tablety (tj. přenosné osobní počítače ve tvaru desky s dotykovou obrazovkou).</w:t>
      </w:r>
    </w:p>
    <w:p w:rsidR="00B254FC" w:rsidRDefault="00B254FC" w:rsidP="00B254FC">
      <w:pPr>
        <w:numPr>
          <w:ilvl w:val="0"/>
          <w:numId w:val="16"/>
        </w:numPr>
        <w:tabs>
          <w:tab w:val="left" w:pos="360"/>
          <w:tab w:val="left" w:pos="720"/>
        </w:tabs>
        <w:ind w:hanging="360"/>
        <w:jc w:val="both"/>
      </w:pPr>
      <w:r>
        <w:rPr>
          <w:b/>
        </w:rPr>
        <w:t>Server</w:t>
      </w:r>
      <w:r>
        <w:t xml:space="preserve"> je počítač, typicky víceuživatelský, který provozuje Informační služby pro uživatele </w:t>
      </w:r>
      <w:r>
        <w:lastRenderedPageBreak/>
        <w:t>počítačové sítě.</w:t>
      </w:r>
    </w:p>
    <w:p w:rsidR="00B254FC" w:rsidRDefault="00B254FC" w:rsidP="00B254FC">
      <w:pPr>
        <w:numPr>
          <w:ilvl w:val="0"/>
          <w:numId w:val="16"/>
        </w:numPr>
        <w:tabs>
          <w:tab w:val="left" w:pos="360"/>
          <w:tab w:val="left" w:pos="720"/>
        </w:tabs>
        <w:ind w:hanging="360"/>
        <w:jc w:val="both"/>
      </w:pPr>
      <w:r>
        <w:rPr>
          <w:b/>
        </w:rPr>
        <w:t>Systém</w:t>
      </w:r>
      <w:r>
        <w:t xml:space="preserve"> je funkční celek Hardware a Software, obvykle PC nebo Server.</w:t>
      </w:r>
    </w:p>
    <w:p w:rsidR="00B254FC" w:rsidRDefault="00B254FC" w:rsidP="00B254FC">
      <w:pPr>
        <w:numPr>
          <w:ilvl w:val="0"/>
          <w:numId w:val="16"/>
        </w:numPr>
        <w:tabs>
          <w:tab w:val="left" w:pos="360"/>
          <w:tab w:val="left" w:pos="720"/>
        </w:tabs>
        <w:ind w:hanging="360"/>
        <w:jc w:val="both"/>
      </w:pPr>
      <w:r>
        <w:rPr>
          <w:b/>
          <w:highlight w:val="white"/>
        </w:rPr>
        <w:t>Incident</w:t>
      </w:r>
      <w:r>
        <w:rPr>
          <w:i/>
          <w:highlight w:val="white"/>
        </w:rPr>
        <w:t xml:space="preserve"> </w:t>
      </w:r>
      <w:r>
        <w:rPr>
          <w:highlight w:val="white"/>
        </w:rPr>
        <w:t>je neplánované přerušení funkčnosti Informační služby nebo snížení kvality její funkčnosti (například delší než obvyklá odezva uživateli), případně selhání součásti Informační služby bez ohledu na to, zda má vliv na funkčnost.</w:t>
      </w:r>
    </w:p>
    <w:p w:rsidR="00B254FC" w:rsidRDefault="00B254FC" w:rsidP="00B254FC">
      <w:pPr>
        <w:numPr>
          <w:ilvl w:val="0"/>
          <w:numId w:val="16"/>
        </w:numPr>
        <w:tabs>
          <w:tab w:val="left" w:pos="360"/>
          <w:tab w:val="left" w:pos="720"/>
        </w:tabs>
        <w:ind w:hanging="360"/>
        <w:jc w:val="both"/>
      </w:pPr>
      <w:r>
        <w:rPr>
          <w:b/>
          <w:highlight w:val="white"/>
        </w:rPr>
        <w:t>Upgrade</w:t>
      </w:r>
      <w:r>
        <w:rPr>
          <w:highlight w:val="white"/>
        </w:rPr>
        <w:t xml:space="preserve"> je instalace podstatně nové verze Software, obvykle přinášející novou funkcionalitu, včetně převodu dat ze staré verze. Za Upgrade se nepovažuje instalace opravy aktuální verze Software, které ve formě opravných balíčků (nazývaných různými výrobci např. “aktualizace”, “hotfix” nebo “bugfix”) vydávají výrobci Software, a které kromě opravy chyb obvykle nepřinášejí novou funkcionalitu.</w:t>
      </w:r>
    </w:p>
    <w:p w:rsidR="00B254FC" w:rsidRDefault="00B254FC" w:rsidP="00B254FC">
      <w:pPr>
        <w:numPr>
          <w:ilvl w:val="0"/>
          <w:numId w:val="16"/>
        </w:numPr>
        <w:tabs>
          <w:tab w:val="left" w:pos="360"/>
          <w:tab w:val="left" w:pos="720"/>
        </w:tabs>
        <w:ind w:hanging="360"/>
        <w:jc w:val="both"/>
      </w:pPr>
      <w:r>
        <w:rPr>
          <w:b/>
        </w:rPr>
        <w:t>UPS</w:t>
      </w:r>
      <w:r>
        <w:t xml:space="preserve"> je zařízení, poskytující po určitou dobu napájení elektrickou energií i při výpadku běžné elektrické sítě.</w:t>
      </w:r>
    </w:p>
    <w:p w:rsidR="00B254FC" w:rsidRDefault="00B254FC" w:rsidP="00B254FC">
      <w:pPr>
        <w:numPr>
          <w:ilvl w:val="0"/>
          <w:numId w:val="16"/>
        </w:numPr>
        <w:tabs>
          <w:tab w:val="left" w:pos="360"/>
          <w:tab w:val="left" w:pos="720"/>
        </w:tabs>
        <w:ind w:hanging="360"/>
        <w:jc w:val="both"/>
      </w:pPr>
      <w:r>
        <w:t xml:space="preserve">Pracoviště Poskytovatele, které přijímá a vyřizuje požadavky Zákazníka na plnění této smlouvy, se nazývá </w:t>
      </w:r>
      <w:r>
        <w:rPr>
          <w:b/>
        </w:rPr>
        <w:t>Helpdesk</w:t>
      </w:r>
      <w:r>
        <w:t>.</w:t>
      </w:r>
    </w:p>
    <w:p w:rsidR="00B254FC" w:rsidRDefault="00B254FC" w:rsidP="00B254FC">
      <w:pPr>
        <w:numPr>
          <w:ilvl w:val="0"/>
          <w:numId w:val="16"/>
        </w:numPr>
        <w:tabs>
          <w:tab w:val="left" w:pos="360"/>
          <w:tab w:val="left" w:pos="720"/>
        </w:tabs>
        <w:ind w:hanging="360"/>
        <w:jc w:val="both"/>
      </w:pPr>
      <w:r>
        <w:rPr>
          <w:b/>
        </w:rPr>
        <w:t>Pracovní dny</w:t>
      </w:r>
      <w:r>
        <w:t xml:space="preserve"> jsou všechny dny mimo dnů pracovního klidu (viz zákon 245/2000 Sb.)</w:t>
      </w:r>
    </w:p>
    <w:p w:rsidR="00B254FC" w:rsidRDefault="00B254FC" w:rsidP="00B254FC">
      <w:pPr>
        <w:numPr>
          <w:ilvl w:val="0"/>
          <w:numId w:val="16"/>
        </w:numPr>
        <w:tabs>
          <w:tab w:val="left" w:pos="360"/>
          <w:tab w:val="left" w:pos="720"/>
        </w:tabs>
        <w:ind w:hanging="360"/>
        <w:jc w:val="both"/>
      </w:pPr>
      <w:r>
        <w:t xml:space="preserve">Doba pracovních dnů od 8:00 do 17:00 středoevropského letního času se nazývá </w:t>
      </w:r>
      <w:r>
        <w:rPr>
          <w:b/>
        </w:rPr>
        <w:t>Pracovní doba</w:t>
      </w:r>
      <w:r>
        <w:t>.</w:t>
      </w:r>
    </w:p>
    <w:p w:rsidR="00B254FC" w:rsidRDefault="00B254FC" w:rsidP="00B254FC">
      <w:pPr>
        <w:numPr>
          <w:ilvl w:val="0"/>
          <w:numId w:val="16"/>
        </w:numPr>
        <w:tabs>
          <w:tab w:val="left" w:pos="360"/>
          <w:tab w:val="left" w:pos="720"/>
        </w:tabs>
        <w:ind w:hanging="360"/>
        <w:jc w:val="both"/>
      </w:pPr>
      <w:r>
        <w:rPr>
          <w:b/>
        </w:rPr>
        <w:t>Pracovní hodiny</w:t>
      </w:r>
      <w:r>
        <w:t xml:space="preserve"> jsou hodiny v Pracovní době.</w:t>
      </w:r>
    </w:p>
    <w:p w:rsidR="00B254FC" w:rsidRDefault="00B254FC" w:rsidP="00B254FC">
      <w:pPr>
        <w:numPr>
          <w:ilvl w:val="0"/>
          <w:numId w:val="16"/>
        </w:numPr>
        <w:tabs>
          <w:tab w:val="left" w:pos="360"/>
          <w:tab w:val="left" w:pos="720"/>
        </w:tabs>
        <w:ind w:hanging="360"/>
        <w:jc w:val="both"/>
      </w:pPr>
      <w:r>
        <w:rPr>
          <w:b/>
        </w:rPr>
        <w:t>Zahájením plnění</w:t>
      </w:r>
      <w:r>
        <w:t xml:space="preserve"> se myslí zahájení servisních úkonů i prováděných na dálku, směřujících k uspokojení požadavku Zákazníka, nebo výjezd Poskytovatele z místa, kde se v době přijetí požadavku nachází, na místo určené Zákazníkem.</w:t>
      </w:r>
    </w:p>
    <w:p w:rsidR="00B254FC" w:rsidRDefault="00B254FC" w:rsidP="00B254FC">
      <w:pPr>
        <w:pStyle w:val="Nadpis1"/>
        <w:contextualSpacing w:val="0"/>
        <w:jc w:val="both"/>
      </w:pPr>
      <w:r>
        <w:t>Článek II. Rozlišení služeb</w:t>
      </w:r>
    </w:p>
    <w:p w:rsidR="00B254FC" w:rsidRDefault="00B254FC" w:rsidP="00B254FC">
      <w:pPr>
        <w:numPr>
          <w:ilvl w:val="0"/>
          <w:numId w:val="17"/>
        </w:numPr>
        <w:tabs>
          <w:tab w:val="left" w:pos="360"/>
          <w:tab w:val="left" w:pos="720"/>
        </w:tabs>
        <w:ind w:hanging="360"/>
        <w:jc w:val="both"/>
      </w:pPr>
      <w:r>
        <w:t>Služby se pro účely této Smlouvy rozlišují do tří kategorií. Kategorii stanovuje Poskytovatel.</w:t>
      </w:r>
    </w:p>
    <w:tbl>
      <w:tblPr>
        <w:tblW w:w="9853"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05"/>
        <w:gridCol w:w="8548"/>
      </w:tblGrid>
      <w:tr w:rsidR="00B254FC" w:rsidTr="00507548">
        <w:tc>
          <w:tcPr>
            <w:tcW w:w="1305" w:type="dxa"/>
            <w:shd w:val="clear" w:color="auto" w:fill="F2F2F2"/>
            <w:tcMar>
              <w:left w:w="108" w:type="dxa"/>
              <w:right w:w="108" w:type="dxa"/>
            </w:tcMar>
          </w:tcPr>
          <w:p w:rsidR="00B254FC" w:rsidRDefault="00B254FC" w:rsidP="00507548">
            <w:pPr>
              <w:contextualSpacing w:val="0"/>
              <w:jc w:val="both"/>
            </w:pPr>
            <w:r>
              <w:rPr>
                <w:b/>
              </w:rPr>
              <w:t>kategorie</w:t>
            </w:r>
          </w:p>
        </w:tc>
        <w:tc>
          <w:tcPr>
            <w:tcW w:w="8548" w:type="dxa"/>
            <w:shd w:val="clear" w:color="auto" w:fill="F2F2F2"/>
            <w:tcMar>
              <w:left w:w="108" w:type="dxa"/>
              <w:right w:w="108" w:type="dxa"/>
            </w:tcMar>
          </w:tcPr>
          <w:p w:rsidR="00B254FC" w:rsidRDefault="00B254FC" w:rsidP="00507548">
            <w:pPr>
              <w:contextualSpacing w:val="0"/>
              <w:jc w:val="both"/>
            </w:pPr>
            <w:r>
              <w:rPr>
                <w:b/>
              </w:rPr>
              <w:t>technologie</w:t>
            </w:r>
          </w:p>
        </w:tc>
      </w:tr>
      <w:tr w:rsidR="00B254FC" w:rsidTr="00507548">
        <w:tc>
          <w:tcPr>
            <w:tcW w:w="1305" w:type="dxa"/>
            <w:tcMar>
              <w:left w:w="108" w:type="dxa"/>
              <w:right w:w="108" w:type="dxa"/>
            </w:tcMar>
          </w:tcPr>
          <w:p w:rsidR="00B254FC" w:rsidRDefault="00B254FC" w:rsidP="00507548">
            <w:pPr>
              <w:contextualSpacing w:val="0"/>
              <w:jc w:val="both"/>
            </w:pPr>
            <w:r>
              <w:t>PC</w:t>
            </w:r>
          </w:p>
        </w:tc>
        <w:tc>
          <w:tcPr>
            <w:tcW w:w="8548" w:type="dxa"/>
            <w:tcMar>
              <w:left w:w="108" w:type="dxa"/>
              <w:right w:w="108" w:type="dxa"/>
            </w:tcMar>
          </w:tcPr>
          <w:p w:rsidR="00B254FC" w:rsidRDefault="00B254FC" w:rsidP="00B254FC">
            <w:pPr>
              <w:numPr>
                <w:ilvl w:val="0"/>
                <w:numId w:val="18"/>
              </w:numPr>
              <w:tabs>
                <w:tab w:val="left" w:pos="0"/>
                <w:tab w:val="left" w:pos="360"/>
              </w:tabs>
              <w:ind w:hanging="360"/>
              <w:jc w:val="both"/>
            </w:pPr>
            <w:r>
              <w:t>Analýza, návrh, instalace, nastavení, řešení problémů a správa PC, zejména software Microsoft Windows XP, Windows 7, Windows 8 (a pozdějších verzí) a běžných uživatelských aplikací PC;</w:t>
            </w:r>
          </w:p>
          <w:p w:rsidR="00B254FC" w:rsidRDefault="00B254FC" w:rsidP="00B254FC">
            <w:pPr>
              <w:numPr>
                <w:ilvl w:val="0"/>
                <w:numId w:val="18"/>
              </w:numPr>
              <w:tabs>
                <w:tab w:val="left" w:pos="0"/>
                <w:tab w:val="left" w:pos="360"/>
              </w:tabs>
              <w:ind w:hanging="360"/>
              <w:jc w:val="both"/>
            </w:pPr>
            <w:r>
              <w:t>Instalace a správa antivirových programů pro PC;</w:t>
            </w:r>
          </w:p>
          <w:p w:rsidR="00B254FC" w:rsidRDefault="00B254FC" w:rsidP="00B254FC">
            <w:pPr>
              <w:numPr>
                <w:ilvl w:val="0"/>
                <w:numId w:val="18"/>
              </w:numPr>
              <w:tabs>
                <w:tab w:val="left" w:pos="0"/>
                <w:tab w:val="left" w:pos="360"/>
              </w:tabs>
              <w:ind w:hanging="360"/>
              <w:jc w:val="both"/>
            </w:pPr>
            <w:r>
              <w:t>Správa uživatelů a přístupových práv na PC;</w:t>
            </w:r>
          </w:p>
          <w:p w:rsidR="00B254FC" w:rsidRDefault="00B254FC" w:rsidP="00B254FC">
            <w:pPr>
              <w:numPr>
                <w:ilvl w:val="0"/>
                <w:numId w:val="18"/>
              </w:numPr>
              <w:tabs>
                <w:tab w:val="left" w:pos="0"/>
                <w:tab w:val="left" w:pos="360"/>
              </w:tabs>
              <w:ind w:hanging="360"/>
              <w:jc w:val="both"/>
            </w:pPr>
            <w:r>
              <w:t>a další činnosti prováděné na PC, nejsou-li touto Smlouvou definovány jinak</w:t>
            </w:r>
          </w:p>
        </w:tc>
      </w:tr>
      <w:tr w:rsidR="00B254FC" w:rsidTr="00507548">
        <w:tc>
          <w:tcPr>
            <w:tcW w:w="1305" w:type="dxa"/>
            <w:tcMar>
              <w:left w:w="108" w:type="dxa"/>
              <w:right w:w="108" w:type="dxa"/>
            </w:tcMar>
          </w:tcPr>
          <w:p w:rsidR="00B254FC" w:rsidRDefault="00B254FC" w:rsidP="00507548">
            <w:pPr>
              <w:contextualSpacing w:val="0"/>
              <w:jc w:val="both"/>
            </w:pPr>
            <w:r>
              <w:t>Server</w:t>
            </w:r>
          </w:p>
        </w:tc>
        <w:tc>
          <w:tcPr>
            <w:tcW w:w="8548" w:type="dxa"/>
            <w:tcMar>
              <w:left w:w="108" w:type="dxa"/>
              <w:right w:w="108" w:type="dxa"/>
            </w:tcMar>
          </w:tcPr>
          <w:p w:rsidR="00B254FC" w:rsidRDefault="00B254FC" w:rsidP="00B254FC">
            <w:pPr>
              <w:numPr>
                <w:ilvl w:val="0"/>
                <w:numId w:val="10"/>
              </w:numPr>
              <w:tabs>
                <w:tab w:val="left" w:pos="0"/>
                <w:tab w:val="left" w:pos="360"/>
              </w:tabs>
              <w:ind w:hanging="360"/>
              <w:jc w:val="both"/>
            </w:pPr>
            <w:r>
              <w:t>Analýza, návrh, instalace, nastavení, řešení problémů a správa Hardware a Software serverů, síťových technologií a zařízení na ukládání dat, zejména programy a systémy Linux, Microsoft Windows Server 2003/2008 (a pozdějších verzí) a dalšího serverového software, síťových UPS, serverových aplikací (například systémů Microsoft Exchange, SQL Server, Apache, Samba, MySQL, PostgreSQL apod.)</w:t>
            </w:r>
          </w:p>
          <w:p w:rsidR="00B254FC" w:rsidRDefault="00B254FC" w:rsidP="00B254FC">
            <w:pPr>
              <w:numPr>
                <w:ilvl w:val="0"/>
                <w:numId w:val="10"/>
              </w:numPr>
              <w:tabs>
                <w:tab w:val="left" w:pos="0"/>
                <w:tab w:val="left" w:pos="360"/>
              </w:tabs>
              <w:ind w:hanging="360"/>
              <w:jc w:val="both"/>
            </w:pPr>
            <w:r>
              <w:t>Zálohování a obnova dat na Serverech</w:t>
            </w:r>
          </w:p>
          <w:p w:rsidR="00B254FC" w:rsidRDefault="00B254FC" w:rsidP="00B254FC">
            <w:pPr>
              <w:numPr>
                <w:ilvl w:val="0"/>
                <w:numId w:val="10"/>
              </w:numPr>
              <w:tabs>
                <w:tab w:val="left" w:pos="0"/>
                <w:tab w:val="left" w:pos="360"/>
              </w:tabs>
              <w:ind w:hanging="360"/>
              <w:jc w:val="both"/>
            </w:pPr>
            <w:r>
              <w:t>Správa uživatelů a přístupových práv na Serverech</w:t>
            </w:r>
          </w:p>
          <w:p w:rsidR="00B254FC" w:rsidRDefault="00B254FC" w:rsidP="00B254FC">
            <w:pPr>
              <w:numPr>
                <w:ilvl w:val="0"/>
                <w:numId w:val="10"/>
              </w:numPr>
              <w:tabs>
                <w:tab w:val="left" w:pos="0"/>
                <w:tab w:val="left" w:pos="360"/>
              </w:tabs>
              <w:ind w:hanging="360"/>
              <w:jc w:val="both"/>
            </w:pPr>
            <w:r>
              <w:t>Projektové řízení a management IT</w:t>
            </w:r>
          </w:p>
          <w:p w:rsidR="00B254FC" w:rsidRDefault="00B254FC" w:rsidP="00B254FC">
            <w:pPr>
              <w:numPr>
                <w:ilvl w:val="0"/>
                <w:numId w:val="10"/>
              </w:numPr>
              <w:tabs>
                <w:tab w:val="left" w:pos="0"/>
                <w:tab w:val="left" w:pos="360"/>
              </w:tabs>
              <w:ind w:hanging="360"/>
              <w:jc w:val="both"/>
            </w:pPr>
            <w:r>
              <w:t>Drobné programátorské práce</w:t>
            </w:r>
          </w:p>
          <w:p w:rsidR="00B254FC" w:rsidRDefault="00B254FC" w:rsidP="00B254FC">
            <w:pPr>
              <w:numPr>
                <w:ilvl w:val="0"/>
                <w:numId w:val="10"/>
              </w:numPr>
              <w:tabs>
                <w:tab w:val="left" w:pos="0"/>
                <w:tab w:val="left" w:pos="360"/>
              </w:tabs>
              <w:ind w:hanging="360"/>
              <w:jc w:val="both"/>
            </w:pPr>
            <w:r>
              <w:t>a další činnosti prováděné na Serverech, nejsou-li touto smlouvou definovány jinak</w:t>
            </w:r>
          </w:p>
        </w:tc>
      </w:tr>
      <w:tr w:rsidR="00B254FC" w:rsidTr="00507548">
        <w:tc>
          <w:tcPr>
            <w:tcW w:w="1305" w:type="dxa"/>
            <w:tcMar>
              <w:left w:w="108" w:type="dxa"/>
              <w:right w:w="108" w:type="dxa"/>
            </w:tcMar>
          </w:tcPr>
          <w:p w:rsidR="00B254FC" w:rsidRDefault="00B254FC" w:rsidP="00507548">
            <w:pPr>
              <w:contextualSpacing w:val="0"/>
              <w:jc w:val="both"/>
            </w:pPr>
            <w:r>
              <w:t>Konzultace</w:t>
            </w:r>
          </w:p>
        </w:tc>
        <w:tc>
          <w:tcPr>
            <w:tcW w:w="8548" w:type="dxa"/>
            <w:tcMar>
              <w:left w:w="108" w:type="dxa"/>
              <w:right w:w="108" w:type="dxa"/>
            </w:tcMar>
          </w:tcPr>
          <w:p w:rsidR="00B254FC" w:rsidRDefault="00B254FC" w:rsidP="00B254FC">
            <w:pPr>
              <w:numPr>
                <w:ilvl w:val="0"/>
                <w:numId w:val="11"/>
              </w:numPr>
              <w:tabs>
                <w:tab w:val="left" w:pos="0"/>
                <w:tab w:val="left" w:pos="360"/>
              </w:tabs>
              <w:ind w:hanging="360"/>
              <w:jc w:val="both"/>
            </w:pPr>
            <w:r>
              <w:t>Konzultace, například v oblasti koncepce a strategie IT, řízení rizik, bezpečnosti IT, analýz rizik, plánů obnovy činnosti po havárii</w:t>
            </w:r>
          </w:p>
          <w:p w:rsidR="00B254FC" w:rsidRDefault="00B254FC" w:rsidP="00B254FC">
            <w:pPr>
              <w:numPr>
                <w:ilvl w:val="0"/>
                <w:numId w:val="11"/>
              </w:numPr>
              <w:tabs>
                <w:tab w:val="left" w:pos="0"/>
                <w:tab w:val="left" w:pos="360"/>
              </w:tabs>
              <w:ind w:hanging="360"/>
              <w:jc w:val="both"/>
            </w:pPr>
            <w:r>
              <w:t>a další poradenské činnosti, nejsou-li touto Smlouvou definovány jinak</w:t>
            </w:r>
          </w:p>
        </w:tc>
      </w:tr>
    </w:tbl>
    <w:p w:rsidR="00B254FC" w:rsidRDefault="00B254FC" w:rsidP="00B254FC">
      <w:pPr>
        <w:pStyle w:val="Nadpis1"/>
        <w:contextualSpacing w:val="0"/>
        <w:jc w:val="both"/>
      </w:pPr>
      <w:r>
        <w:lastRenderedPageBreak/>
        <w:t>Článek III. Způsob zadávání a přijímání požadavků</w:t>
      </w:r>
    </w:p>
    <w:p w:rsidR="00B254FC" w:rsidRDefault="00B254FC" w:rsidP="00B254FC">
      <w:pPr>
        <w:numPr>
          <w:ilvl w:val="0"/>
          <w:numId w:val="12"/>
        </w:numPr>
        <w:tabs>
          <w:tab w:val="left" w:pos="360"/>
          <w:tab w:val="left" w:pos="720"/>
        </w:tabs>
        <w:ind w:hanging="360"/>
        <w:jc w:val="both"/>
      </w:pPr>
      <w:r>
        <w:t>Zákazník sděluje požadavky na Služby a Poskytovatel tyto požadavky přijímá takto:</w:t>
      </w:r>
    </w:p>
    <w:p w:rsidR="00B254FC" w:rsidRDefault="00B254FC" w:rsidP="00B254FC">
      <w:pPr>
        <w:numPr>
          <w:ilvl w:val="1"/>
          <w:numId w:val="12"/>
        </w:numPr>
        <w:tabs>
          <w:tab w:val="left" w:pos="1080"/>
          <w:tab w:val="left" w:pos="1440"/>
        </w:tabs>
        <w:ind w:hanging="360"/>
        <w:jc w:val="both"/>
      </w:pPr>
      <w:r>
        <w:t xml:space="preserve">ve webovém systému </w:t>
      </w:r>
      <w:r>
        <w:rPr>
          <w:b/>
        </w:rPr>
        <w:t>podpora.enlogit.com</w:t>
      </w:r>
      <w:r>
        <w:t xml:space="preserve"> pomocí jména a hesla přiděleného Zákazníkovi;</w:t>
      </w:r>
    </w:p>
    <w:p w:rsidR="00B254FC" w:rsidRDefault="00B254FC" w:rsidP="00B254FC">
      <w:pPr>
        <w:numPr>
          <w:ilvl w:val="1"/>
          <w:numId w:val="12"/>
        </w:numPr>
        <w:tabs>
          <w:tab w:val="left" w:pos="1080"/>
          <w:tab w:val="left" w:pos="1440"/>
        </w:tabs>
        <w:ind w:hanging="360"/>
        <w:jc w:val="both"/>
      </w:pPr>
      <w:r>
        <w:t xml:space="preserve">nebo na e-mailové adrese </w:t>
      </w:r>
      <w:hyperlink r:id="rId7">
        <w:r>
          <w:rPr>
            <w:b/>
            <w:color w:val="1155CC"/>
            <w:u w:val="single"/>
          </w:rPr>
          <w:t>podpora@enlogit.com</w:t>
        </w:r>
      </w:hyperlink>
      <w:r>
        <w:t>;</w:t>
      </w:r>
    </w:p>
    <w:p w:rsidR="00B254FC" w:rsidRDefault="00B254FC" w:rsidP="00B254FC">
      <w:pPr>
        <w:numPr>
          <w:ilvl w:val="1"/>
          <w:numId w:val="12"/>
        </w:numPr>
        <w:tabs>
          <w:tab w:val="left" w:pos="1080"/>
          <w:tab w:val="left" w:pos="1440"/>
        </w:tabs>
        <w:ind w:hanging="360"/>
        <w:jc w:val="both"/>
      </w:pPr>
      <w:r>
        <w:t xml:space="preserve">nebo na telefonním čísle </w:t>
      </w:r>
      <w:r>
        <w:rPr>
          <w:b/>
        </w:rPr>
        <w:t>776 384 357</w:t>
      </w:r>
      <w:r>
        <w:t xml:space="preserve"> (77-NETHELP na alfanumerické klávesnici některých telefonů),</w:t>
      </w:r>
    </w:p>
    <w:p w:rsidR="00B254FC" w:rsidRDefault="00B254FC" w:rsidP="00B254FC">
      <w:pPr>
        <w:numPr>
          <w:ilvl w:val="0"/>
          <w:numId w:val="12"/>
        </w:numPr>
        <w:tabs>
          <w:tab w:val="left" w:pos="360"/>
          <w:tab w:val="left" w:pos="720"/>
        </w:tabs>
        <w:ind w:hanging="360"/>
        <w:jc w:val="both"/>
      </w:pPr>
      <w:r>
        <w:t>Poskytovatel není povinen reagovat na požadavky zadané jiným způsobem.</w:t>
      </w:r>
    </w:p>
    <w:p w:rsidR="00B254FC" w:rsidRDefault="00B254FC" w:rsidP="00B254FC">
      <w:pPr>
        <w:numPr>
          <w:ilvl w:val="0"/>
          <w:numId w:val="12"/>
        </w:numPr>
        <w:tabs>
          <w:tab w:val="left" w:pos="360"/>
          <w:tab w:val="left" w:pos="720"/>
        </w:tabs>
        <w:ind w:hanging="360"/>
        <w:jc w:val="both"/>
      </w:pPr>
      <w:r>
        <w:t>Zákazník Poskytovateli oznámí osoby, oprávněné Poskytovateli jménem Zákazníka zadávat požadavky. Poskytovatel není povinen přijmout požadavky, zadané jinými osobami. Poskytovatel je oprávněn v případě pochybností zpětným dotazem na oprávněné osoby Zákazníka ověřit oprávněnost takových požadavků, které mohou ohrozit funkčnost nebo bezpečnost ICT zákazníka. Rozhodne-li se Poskytovatel požadavek ověřit, lhůty, které by se mohly podle ostatních ujednání této smlouvy na zahájení plnění vztahovat, se počítají od ověření požadavku.</w:t>
      </w:r>
    </w:p>
    <w:p w:rsidR="00B254FC" w:rsidRDefault="00B254FC" w:rsidP="00B254FC">
      <w:pPr>
        <w:numPr>
          <w:ilvl w:val="0"/>
          <w:numId w:val="12"/>
        </w:numPr>
        <w:tabs>
          <w:tab w:val="left" w:pos="360"/>
          <w:tab w:val="left" w:pos="720"/>
        </w:tabs>
        <w:ind w:hanging="360"/>
        <w:jc w:val="both"/>
      </w:pPr>
      <w:r>
        <w:t>Pokud je požadavek zadán automaticky dohledovým systémem (viz např. bod V.3 níže), nakládá se s ním jako s požadavkem, který zadal Zákazník.</w:t>
      </w:r>
    </w:p>
    <w:p w:rsidR="00B254FC" w:rsidRDefault="00B254FC" w:rsidP="00B254FC">
      <w:pPr>
        <w:pStyle w:val="Nadpis1"/>
        <w:contextualSpacing w:val="0"/>
        <w:jc w:val="both"/>
      </w:pPr>
      <w:r>
        <w:t>Článek IV. Priority požadavků</w:t>
      </w:r>
    </w:p>
    <w:p w:rsidR="00B254FC" w:rsidRDefault="00B254FC" w:rsidP="00B254FC">
      <w:pPr>
        <w:numPr>
          <w:ilvl w:val="0"/>
          <w:numId w:val="13"/>
        </w:numPr>
        <w:tabs>
          <w:tab w:val="left" w:pos="360"/>
          <w:tab w:val="left" w:pos="720"/>
        </w:tabs>
        <w:ind w:hanging="360"/>
        <w:jc w:val="both"/>
      </w:pPr>
      <w:r>
        <w:t>Zákazník je oprávněn označit své požadavky úrovní priority, a to tak, že:</w:t>
      </w:r>
    </w:p>
    <w:p w:rsidR="00B254FC" w:rsidRDefault="00B254FC" w:rsidP="00B254FC">
      <w:pPr>
        <w:numPr>
          <w:ilvl w:val="1"/>
          <w:numId w:val="13"/>
        </w:numPr>
        <w:tabs>
          <w:tab w:val="left" w:pos="1080"/>
          <w:tab w:val="left" w:pos="1440"/>
        </w:tabs>
        <w:ind w:hanging="360"/>
        <w:jc w:val="both"/>
      </w:pPr>
      <w:r>
        <w:t>ve formuláři webového systému podpora.enlogit.com vybere pro položku „Priorita“ hodnotu „normální“, „vysoká“ nebo „kritická“;</w:t>
      </w:r>
    </w:p>
    <w:p w:rsidR="00B254FC" w:rsidRDefault="00B254FC" w:rsidP="00B254FC">
      <w:pPr>
        <w:numPr>
          <w:ilvl w:val="1"/>
          <w:numId w:val="13"/>
        </w:numPr>
        <w:tabs>
          <w:tab w:val="left" w:pos="1080"/>
          <w:tab w:val="left" w:pos="1440"/>
        </w:tabs>
        <w:ind w:hanging="360"/>
        <w:jc w:val="both"/>
      </w:pPr>
      <w:r>
        <w:t>nebo do předmětu e-mailu zaslaného na adresu podpora@enlogit.com uvede slovo „urgent“ (možné uvést i společně s dalšími slovy), chce-li požadavek označit prioritou „kritická“, nebo telefonicky či osobně sdělí prioritu pracovníkovi Poskytovatele.</w:t>
      </w:r>
    </w:p>
    <w:p w:rsidR="00B254FC" w:rsidRDefault="00B254FC" w:rsidP="00B254FC">
      <w:pPr>
        <w:numPr>
          <w:ilvl w:val="0"/>
          <w:numId w:val="13"/>
        </w:numPr>
        <w:tabs>
          <w:tab w:val="left" w:pos="360"/>
          <w:tab w:val="left" w:pos="720"/>
        </w:tabs>
        <w:ind w:hanging="360"/>
        <w:jc w:val="both"/>
      </w:pPr>
      <w:r>
        <w:t>Úrovně priority jsou definovány takto:</w:t>
      </w:r>
    </w:p>
    <w:p w:rsidR="00B254FC" w:rsidRDefault="00B254FC" w:rsidP="00B254FC">
      <w:pPr>
        <w:numPr>
          <w:ilvl w:val="1"/>
          <w:numId w:val="13"/>
        </w:numPr>
        <w:tabs>
          <w:tab w:val="left" w:pos="1080"/>
          <w:tab w:val="left" w:pos="1440"/>
        </w:tabs>
        <w:ind w:hanging="360"/>
        <w:jc w:val="both"/>
      </w:pPr>
      <w:r>
        <w:rPr>
          <w:b/>
        </w:rPr>
        <w:t>Normální</w:t>
      </w:r>
      <w:r>
        <w:t>, určena pro neurgentní požadavky, dotazy, běžnou údržbu a incidenty, neohrožující provoz Zákazníka;</w:t>
      </w:r>
    </w:p>
    <w:p w:rsidR="00B254FC" w:rsidRDefault="00B254FC" w:rsidP="00B254FC">
      <w:pPr>
        <w:numPr>
          <w:ilvl w:val="1"/>
          <w:numId w:val="13"/>
        </w:numPr>
        <w:tabs>
          <w:tab w:val="left" w:pos="1080"/>
          <w:tab w:val="left" w:pos="1440"/>
        </w:tabs>
        <w:ind w:hanging="360"/>
        <w:jc w:val="both"/>
      </w:pPr>
      <w:r>
        <w:rPr>
          <w:b/>
        </w:rPr>
        <w:t>Vysoká</w:t>
      </w:r>
      <w:r>
        <w:t>, určena pro služby, které spěchají, a incidenty, které omezují provoz Zákazníka, ale lze je obejít pomocí dočasného opatření (tzv. „workaround“) anebo omezení není zásadní;</w:t>
      </w:r>
    </w:p>
    <w:p w:rsidR="00B254FC" w:rsidRDefault="00B254FC" w:rsidP="00B254FC">
      <w:pPr>
        <w:numPr>
          <w:ilvl w:val="1"/>
          <w:numId w:val="13"/>
        </w:numPr>
        <w:tabs>
          <w:tab w:val="left" w:pos="1080"/>
          <w:tab w:val="left" w:pos="1440"/>
        </w:tabs>
        <w:ind w:hanging="360"/>
        <w:jc w:val="both"/>
      </w:pPr>
      <w:r>
        <w:rPr>
          <w:b/>
        </w:rPr>
        <w:t>Kritická</w:t>
      </w:r>
      <w:r>
        <w:t>, určena pro požadavky, u kterých hrozí nebezpečí z prodlení, a incidenty, jejichž vinou Zákazník nemůže pokračovat ve svém podnikání nebo je jeho podnikání významně omezeno.</w:t>
      </w:r>
    </w:p>
    <w:p w:rsidR="00B254FC" w:rsidRDefault="00B254FC" w:rsidP="00B254FC">
      <w:pPr>
        <w:numPr>
          <w:ilvl w:val="0"/>
          <w:numId w:val="13"/>
        </w:numPr>
        <w:tabs>
          <w:tab w:val="left" w:pos="360"/>
          <w:tab w:val="left" w:pos="720"/>
        </w:tabs>
        <w:ind w:hanging="360"/>
        <w:jc w:val="both"/>
      </w:pPr>
      <w:r>
        <w:t>Poskytovatel je oprávněn prioritu jednostranně změnit, pokud charakter požadavku neodpovídá definici dané touto Smlouvou.</w:t>
      </w:r>
    </w:p>
    <w:p w:rsidR="00B254FC" w:rsidRDefault="00B254FC" w:rsidP="00B254FC">
      <w:pPr>
        <w:pStyle w:val="Nadpis1"/>
        <w:contextualSpacing w:val="0"/>
        <w:jc w:val="both"/>
      </w:pPr>
      <w:r>
        <w:t>Článek V. Podmínky plnění Služeb</w:t>
      </w:r>
    </w:p>
    <w:p w:rsidR="00B254FC" w:rsidRDefault="00B254FC" w:rsidP="00B254FC">
      <w:pPr>
        <w:numPr>
          <w:ilvl w:val="0"/>
          <w:numId w:val="14"/>
        </w:numPr>
        <w:tabs>
          <w:tab w:val="left" w:pos="360"/>
          <w:tab w:val="left" w:pos="720"/>
        </w:tabs>
        <w:ind w:hanging="360"/>
        <w:jc w:val="both"/>
      </w:pPr>
      <w:r>
        <w:t>Okolnosti a lhůty plnění jsou určeny ve Specifikaci každé Smlouvy buď pro každý Systém zvlášť nebo souhrnně.</w:t>
      </w:r>
    </w:p>
    <w:p w:rsidR="00B254FC" w:rsidRDefault="00B254FC" w:rsidP="00B254FC">
      <w:pPr>
        <w:numPr>
          <w:ilvl w:val="0"/>
          <w:numId w:val="14"/>
        </w:numPr>
        <w:tabs>
          <w:tab w:val="left" w:pos="360"/>
          <w:tab w:val="left" w:pos="720"/>
        </w:tabs>
        <w:ind w:hanging="360"/>
        <w:jc w:val="both"/>
      </w:pPr>
      <w:r>
        <w:t>Reakční doby jsou definovány takto:</w:t>
      </w:r>
    </w:p>
    <w:p w:rsidR="00B254FC" w:rsidRDefault="00B254FC" w:rsidP="00B254FC">
      <w:pPr>
        <w:numPr>
          <w:ilvl w:val="1"/>
          <w:numId w:val="14"/>
        </w:numPr>
        <w:tabs>
          <w:tab w:val="left" w:pos="1080"/>
          <w:tab w:val="left" w:pos="1440"/>
        </w:tabs>
        <w:ind w:hanging="360"/>
        <w:jc w:val="both"/>
      </w:pPr>
      <w:r>
        <w:rPr>
          <w:b/>
        </w:rPr>
        <w:t>Reakční doba Non-stop</w:t>
      </w:r>
    </w:p>
    <w:p w:rsidR="00B254FC" w:rsidRDefault="00B254FC" w:rsidP="00B254FC">
      <w:pPr>
        <w:numPr>
          <w:ilvl w:val="2"/>
          <w:numId w:val="14"/>
        </w:numPr>
        <w:tabs>
          <w:tab w:val="left" w:pos="1800"/>
          <w:tab w:val="left" w:pos="2160"/>
        </w:tabs>
        <w:ind w:hanging="360"/>
        <w:jc w:val="both"/>
      </w:pPr>
      <w:r>
        <w:t>Reakční doba Non-stop může být v různých dokumentech označována i jako “24x7x4”.</w:t>
      </w:r>
    </w:p>
    <w:p w:rsidR="00B254FC" w:rsidRDefault="00B254FC" w:rsidP="00B254FC">
      <w:pPr>
        <w:numPr>
          <w:ilvl w:val="2"/>
          <w:numId w:val="14"/>
        </w:numPr>
        <w:tabs>
          <w:tab w:val="left" w:pos="1800"/>
          <w:tab w:val="left" w:pos="2160"/>
        </w:tabs>
        <w:ind w:hanging="360"/>
        <w:jc w:val="both"/>
      </w:pPr>
      <w:r>
        <w:t xml:space="preserve">Pokud je pro daný Systém sjednána Reakční doba Non-stop, Helpdesk </w:t>
      </w:r>
      <w:r>
        <w:lastRenderedPageBreak/>
        <w:t>přijímá požadavky Zákazníka nepřetržitě.</w:t>
      </w:r>
    </w:p>
    <w:p w:rsidR="00B254FC" w:rsidRDefault="00B254FC" w:rsidP="00B254FC">
      <w:pPr>
        <w:numPr>
          <w:ilvl w:val="2"/>
          <w:numId w:val="14"/>
        </w:numPr>
        <w:tabs>
          <w:tab w:val="left" w:pos="1800"/>
          <w:tab w:val="left" w:pos="2160"/>
        </w:tabs>
        <w:ind w:hanging="360"/>
        <w:jc w:val="both"/>
      </w:pPr>
      <w:r>
        <w:t>U Reakčního doby Non-stop se sjednávají tyto lhůty plnění:</w:t>
      </w:r>
    </w:p>
    <w:tbl>
      <w:tblPr>
        <w:tblW w:w="9837"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08"/>
        <w:gridCol w:w="8529"/>
      </w:tblGrid>
      <w:tr w:rsidR="00B254FC" w:rsidTr="00507548">
        <w:tc>
          <w:tcPr>
            <w:tcW w:w="1308" w:type="dxa"/>
            <w:tcMar>
              <w:top w:w="100" w:type="dxa"/>
              <w:left w:w="100" w:type="dxa"/>
              <w:bottom w:w="100" w:type="dxa"/>
              <w:right w:w="100" w:type="dxa"/>
            </w:tcMar>
          </w:tcPr>
          <w:p w:rsidR="00B254FC" w:rsidRDefault="00B254FC" w:rsidP="00507548">
            <w:pPr>
              <w:spacing w:line="240" w:lineRule="auto"/>
              <w:contextualSpacing w:val="0"/>
              <w:jc w:val="both"/>
            </w:pPr>
            <w:r>
              <w:rPr>
                <w:b/>
                <w:sz w:val="16"/>
                <w:szCs w:val="16"/>
              </w:rPr>
              <w:t>Priorita požadavku</w:t>
            </w:r>
          </w:p>
        </w:tc>
        <w:tc>
          <w:tcPr>
            <w:tcW w:w="8529" w:type="dxa"/>
            <w:tcMar>
              <w:top w:w="100" w:type="dxa"/>
              <w:left w:w="100" w:type="dxa"/>
              <w:bottom w:w="100" w:type="dxa"/>
              <w:right w:w="100" w:type="dxa"/>
            </w:tcMar>
          </w:tcPr>
          <w:p w:rsidR="00B254FC" w:rsidRDefault="00B254FC" w:rsidP="00507548">
            <w:pPr>
              <w:spacing w:line="240" w:lineRule="auto"/>
              <w:contextualSpacing w:val="0"/>
              <w:jc w:val="both"/>
            </w:pPr>
            <w:r>
              <w:rPr>
                <w:b/>
                <w:sz w:val="16"/>
                <w:szCs w:val="16"/>
              </w:rPr>
              <w:t>Lhůty a další okolnosti plnění</w:t>
            </w:r>
          </w:p>
        </w:tc>
      </w:tr>
      <w:tr w:rsidR="00B254FC" w:rsidTr="00507548">
        <w:tc>
          <w:tcPr>
            <w:tcW w:w="1308" w:type="dxa"/>
            <w:tcMar>
              <w:top w:w="100" w:type="dxa"/>
              <w:left w:w="100" w:type="dxa"/>
              <w:bottom w:w="100" w:type="dxa"/>
              <w:right w:w="100" w:type="dxa"/>
            </w:tcMar>
          </w:tcPr>
          <w:p w:rsidR="00B254FC" w:rsidRDefault="00B254FC" w:rsidP="00507548">
            <w:pPr>
              <w:spacing w:line="240" w:lineRule="auto"/>
              <w:contextualSpacing w:val="0"/>
              <w:jc w:val="both"/>
            </w:pPr>
            <w:r>
              <w:rPr>
                <w:sz w:val="16"/>
                <w:szCs w:val="16"/>
              </w:rPr>
              <w:t>Kritická</w:t>
            </w:r>
          </w:p>
        </w:tc>
        <w:tc>
          <w:tcPr>
            <w:tcW w:w="8529" w:type="dxa"/>
            <w:tcMar>
              <w:top w:w="100" w:type="dxa"/>
              <w:left w:w="100" w:type="dxa"/>
              <w:bottom w:w="100" w:type="dxa"/>
              <w:right w:w="100" w:type="dxa"/>
            </w:tcMar>
          </w:tcPr>
          <w:p w:rsidR="00B254FC" w:rsidRDefault="00B254FC" w:rsidP="00507548">
            <w:pPr>
              <w:spacing w:line="240" w:lineRule="auto"/>
              <w:contextualSpacing w:val="0"/>
              <w:jc w:val="both"/>
            </w:pPr>
            <w:r>
              <w:rPr>
                <w:sz w:val="16"/>
                <w:szCs w:val="16"/>
              </w:rPr>
              <w:t>Poskytovatel se zavazuje zahájit plnění bez zbytečného odkladu, nejpozději však do 4 hodin od přijetí. Požadavky se plní i mimo pracovní dobu.</w:t>
            </w:r>
          </w:p>
        </w:tc>
      </w:tr>
      <w:tr w:rsidR="00B254FC" w:rsidTr="00507548">
        <w:tc>
          <w:tcPr>
            <w:tcW w:w="1308" w:type="dxa"/>
            <w:tcMar>
              <w:top w:w="100" w:type="dxa"/>
              <w:left w:w="100" w:type="dxa"/>
              <w:bottom w:w="100" w:type="dxa"/>
              <w:right w:w="100" w:type="dxa"/>
            </w:tcMar>
          </w:tcPr>
          <w:p w:rsidR="00B254FC" w:rsidRDefault="00B254FC" w:rsidP="00507548">
            <w:pPr>
              <w:spacing w:line="240" w:lineRule="auto"/>
              <w:contextualSpacing w:val="0"/>
              <w:jc w:val="both"/>
            </w:pPr>
            <w:r>
              <w:rPr>
                <w:sz w:val="16"/>
                <w:szCs w:val="16"/>
              </w:rPr>
              <w:t>Vysoká</w:t>
            </w:r>
          </w:p>
        </w:tc>
        <w:tc>
          <w:tcPr>
            <w:tcW w:w="8529" w:type="dxa"/>
            <w:tcMar>
              <w:top w:w="100" w:type="dxa"/>
              <w:left w:w="100" w:type="dxa"/>
              <w:bottom w:w="100" w:type="dxa"/>
              <w:right w:w="100" w:type="dxa"/>
            </w:tcMar>
          </w:tcPr>
          <w:p w:rsidR="00B254FC" w:rsidRDefault="00B254FC" w:rsidP="00507548">
            <w:pPr>
              <w:spacing w:line="240" w:lineRule="auto"/>
              <w:contextualSpacing w:val="0"/>
              <w:jc w:val="both"/>
            </w:pPr>
            <w:r>
              <w:rPr>
                <w:sz w:val="16"/>
                <w:szCs w:val="16"/>
              </w:rPr>
              <w:t>Poskytovatel se zavazuje zahájit plnění bez zbytečného odkladu, přičemž přednost mají požadavky s prioritami “kritická” i od jiných zákazníků Poskytovatele. Požadavky se plní v pracovní době.</w:t>
            </w:r>
          </w:p>
        </w:tc>
      </w:tr>
      <w:tr w:rsidR="00B254FC" w:rsidTr="00507548">
        <w:tc>
          <w:tcPr>
            <w:tcW w:w="1308" w:type="dxa"/>
            <w:tcMar>
              <w:top w:w="100" w:type="dxa"/>
              <w:left w:w="100" w:type="dxa"/>
              <w:bottom w:w="100" w:type="dxa"/>
              <w:right w:w="100" w:type="dxa"/>
            </w:tcMar>
          </w:tcPr>
          <w:p w:rsidR="00B254FC" w:rsidRDefault="00B254FC" w:rsidP="00507548">
            <w:pPr>
              <w:spacing w:line="240" w:lineRule="auto"/>
              <w:contextualSpacing w:val="0"/>
              <w:jc w:val="both"/>
            </w:pPr>
            <w:r>
              <w:rPr>
                <w:sz w:val="16"/>
                <w:szCs w:val="16"/>
              </w:rPr>
              <w:t>Normální</w:t>
            </w:r>
          </w:p>
        </w:tc>
        <w:tc>
          <w:tcPr>
            <w:tcW w:w="8529" w:type="dxa"/>
            <w:tcMar>
              <w:top w:w="100" w:type="dxa"/>
              <w:left w:w="100" w:type="dxa"/>
              <w:bottom w:w="100" w:type="dxa"/>
              <w:right w:w="100" w:type="dxa"/>
            </w:tcMar>
          </w:tcPr>
          <w:p w:rsidR="00B254FC" w:rsidRDefault="00B254FC" w:rsidP="00507548">
            <w:pPr>
              <w:tabs>
                <w:tab w:val="left" w:pos="709"/>
              </w:tabs>
              <w:contextualSpacing w:val="0"/>
              <w:jc w:val="both"/>
            </w:pPr>
            <w:r>
              <w:rPr>
                <w:sz w:val="16"/>
                <w:szCs w:val="16"/>
              </w:rPr>
              <w:t>Poskytovatel se zavazuje zahájit plnění bez zbytečného odkladu, přičemž přednost mají požadavky s prioritami “vysoká” a “kritická” i od jiných zákazníků Poskytovatele. Požadavky s prioritou „normální“ plní Poskytovatel v Pracovní době.</w:t>
            </w:r>
          </w:p>
        </w:tc>
      </w:tr>
    </w:tbl>
    <w:p w:rsidR="00B254FC" w:rsidRDefault="00B254FC" w:rsidP="00B254FC">
      <w:pPr>
        <w:contextualSpacing w:val="0"/>
        <w:jc w:val="both"/>
      </w:pPr>
    </w:p>
    <w:p w:rsidR="00B254FC" w:rsidRDefault="00B254FC" w:rsidP="00B254FC">
      <w:pPr>
        <w:numPr>
          <w:ilvl w:val="1"/>
          <w:numId w:val="14"/>
        </w:numPr>
        <w:tabs>
          <w:tab w:val="left" w:pos="1080"/>
          <w:tab w:val="left" w:pos="1440"/>
        </w:tabs>
        <w:ind w:hanging="360"/>
        <w:jc w:val="both"/>
      </w:pPr>
      <w:r>
        <w:rPr>
          <w:b/>
        </w:rPr>
        <w:t>Reakční doba Premium</w:t>
      </w:r>
    </w:p>
    <w:p w:rsidR="00B254FC" w:rsidRDefault="00B254FC" w:rsidP="00B254FC">
      <w:pPr>
        <w:numPr>
          <w:ilvl w:val="2"/>
          <w:numId w:val="14"/>
        </w:numPr>
        <w:tabs>
          <w:tab w:val="left" w:pos="1800"/>
          <w:tab w:val="left" w:pos="2160"/>
        </w:tabs>
        <w:ind w:hanging="360"/>
        <w:jc w:val="both"/>
      </w:pPr>
      <w:r>
        <w:t>Reakční doba Premium může být v různých dokumentech označována i jako “9x5x4”.</w:t>
      </w:r>
    </w:p>
    <w:p w:rsidR="00B254FC" w:rsidRDefault="00B254FC" w:rsidP="00B254FC">
      <w:pPr>
        <w:numPr>
          <w:ilvl w:val="2"/>
          <w:numId w:val="14"/>
        </w:numPr>
        <w:tabs>
          <w:tab w:val="left" w:pos="1800"/>
          <w:tab w:val="left" w:pos="2160"/>
        </w:tabs>
        <w:ind w:hanging="360"/>
        <w:jc w:val="both"/>
      </w:pPr>
      <w:r>
        <w:t>Pokud je pro daný Systém sjednána Reakční doba Premium, Helpdesk přijímá požadavky Zákazníka během Pracovní doby.</w:t>
      </w:r>
    </w:p>
    <w:p w:rsidR="00B254FC" w:rsidRDefault="00B254FC" w:rsidP="00B254FC">
      <w:pPr>
        <w:numPr>
          <w:ilvl w:val="2"/>
          <w:numId w:val="14"/>
        </w:numPr>
        <w:tabs>
          <w:tab w:val="left" w:pos="1800"/>
          <w:tab w:val="left" w:pos="2160"/>
        </w:tabs>
        <w:ind w:hanging="360"/>
        <w:jc w:val="both"/>
      </w:pPr>
      <w:r>
        <w:t>U Reakční doby Premium se sjednávají tyto lhůty plnění:</w:t>
      </w:r>
    </w:p>
    <w:tbl>
      <w:tblPr>
        <w:tblW w:w="9837"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82"/>
        <w:gridCol w:w="8655"/>
      </w:tblGrid>
      <w:tr w:rsidR="00B254FC" w:rsidTr="00507548">
        <w:tc>
          <w:tcPr>
            <w:tcW w:w="1182" w:type="dxa"/>
            <w:tcMar>
              <w:top w:w="100" w:type="dxa"/>
              <w:left w:w="100" w:type="dxa"/>
              <w:bottom w:w="100" w:type="dxa"/>
              <w:right w:w="100" w:type="dxa"/>
            </w:tcMar>
          </w:tcPr>
          <w:p w:rsidR="00B254FC" w:rsidRDefault="00B254FC" w:rsidP="00507548">
            <w:pPr>
              <w:contextualSpacing w:val="0"/>
              <w:jc w:val="both"/>
            </w:pPr>
            <w:r>
              <w:rPr>
                <w:b/>
                <w:sz w:val="16"/>
                <w:szCs w:val="16"/>
              </w:rPr>
              <w:t>Priorita požadavku</w:t>
            </w:r>
          </w:p>
        </w:tc>
        <w:tc>
          <w:tcPr>
            <w:tcW w:w="8655" w:type="dxa"/>
            <w:tcMar>
              <w:top w:w="100" w:type="dxa"/>
              <w:left w:w="100" w:type="dxa"/>
              <w:bottom w:w="100" w:type="dxa"/>
              <w:right w:w="100" w:type="dxa"/>
            </w:tcMar>
          </w:tcPr>
          <w:p w:rsidR="00B254FC" w:rsidRDefault="00B254FC" w:rsidP="00507548">
            <w:pPr>
              <w:contextualSpacing w:val="0"/>
              <w:jc w:val="both"/>
            </w:pPr>
            <w:r>
              <w:rPr>
                <w:b/>
                <w:sz w:val="16"/>
                <w:szCs w:val="16"/>
              </w:rPr>
              <w:t>Lhůty a další okolnosti plnění</w:t>
            </w:r>
          </w:p>
        </w:tc>
      </w:tr>
      <w:tr w:rsidR="00B254FC" w:rsidTr="00507548">
        <w:tc>
          <w:tcPr>
            <w:tcW w:w="1182" w:type="dxa"/>
            <w:tcMar>
              <w:top w:w="100" w:type="dxa"/>
              <w:left w:w="100" w:type="dxa"/>
              <w:bottom w:w="100" w:type="dxa"/>
              <w:right w:w="100" w:type="dxa"/>
            </w:tcMar>
          </w:tcPr>
          <w:p w:rsidR="00B254FC" w:rsidRDefault="00B254FC" w:rsidP="00507548">
            <w:pPr>
              <w:contextualSpacing w:val="0"/>
              <w:jc w:val="both"/>
            </w:pPr>
            <w:r>
              <w:rPr>
                <w:sz w:val="16"/>
                <w:szCs w:val="16"/>
              </w:rPr>
              <w:t>Kritická</w:t>
            </w:r>
          </w:p>
        </w:tc>
        <w:tc>
          <w:tcPr>
            <w:tcW w:w="8655" w:type="dxa"/>
            <w:tcMar>
              <w:top w:w="100" w:type="dxa"/>
              <w:left w:w="100" w:type="dxa"/>
              <w:bottom w:w="100" w:type="dxa"/>
              <w:right w:w="100" w:type="dxa"/>
            </w:tcMar>
          </w:tcPr>
          <w:p w:rsidR="00B254FC" w:rsidRDefault="00B254FC" w:rsidP="00507548">
            <w:pPr>
              <w:contextualSpacing w:val="0"/>
              <w:jc w:val="both"/>
            </w:pPr>
            <w:r>
              <w:rPr>
                <w:sz w:val="16"/>
                <w:szCs w:val="16"/>
              </w:rPr>
              <w:t>Poskytovatel se zavazuje zahájit plnění bez zbytečného odkladu, nejpozději však do 4 hodin od přijetí. Pokud byl požadavek přijat méně než 4 hodiny před koncem Pracovní doby, běh této lhůty se uplynutím Pracovní doby přerušuje a začíná znovu běžet až počátkem další Pracovní doby. Pokud je požadavek Poskytovateli doručen mimo Pracovní dobu, lhůta začíná běžet až začátkem nejbližší následující Pracovní doby.</w:t>
            </w:r>
          </w:p>
          <w:p w:rsidR="00B254FC" w:rsidRDefault="00B254FC" w:rsidP="00507548">
            <w:pPr>
              <w:contextualSpacing w:val="0"/>
              <w:jc w:val="both"/>
            </w:pPr>
          </w:p>
          <w:p w:rsidR="00B254FC" w:rsidRDefault="00B254FC" w:rsidP="00507548">
            <w:pPr>
              <w:contextualSpacing w:val="0"/>
              <w:jc w:val="both"/>
            </w:pPr>
            <w:r>
              <w:rPr>
                <w:sz w:val="16"/>
                <w:szCs w:val="16"/>
              </w:rPr>
              <w:t>Požadavky s prioritou „kritická“ plní Poskytovatel v Pracovní době.</w:t>
            </w:r>
          </w:p>
        </w:tc>
      </w:tr>
      <w:tr w:rsidR="00B254FC" w:rsidTr="00507548">
        <w:tc>
          <w:tcPr>
            <w:tcW w:w="1182" w:type="dxa"/>
            <w:tcMar>
              <w:top w:w="100" w:type="dxa"/>
              <w:left w:w="100" w:type="dxa"/>
              <w:bottom w:w="100" w:type="dxa"/>
              <w:right w:w="100" w:type="dxa"/>
            </w:tcMar>
          </w:tcPr>
          <w:p w:rsidR="00B254FC" w:rsidRDefault="00B254FC" w:rsidP="00507548">
            <w:pPr>
              <w:contextualSpacing w:val="0"/>
              <w:jc w:val="both"/>
            </w:pPr>
            <w:r>
              <w:rPr>
                <w:sz w:val="16"/>
                <w:szCs w:val="16"/>
              </w:rPr>
              <w:t>Vysoká</w:t>
            </w:r>
          </w:p>
        </w:tc>
        <w:tc>
          <w:tcPr>
            <w:tcW w:w="8655" w:type="dxa"/>
            <w:tcMar>
              <w:top w:w="100" w:type="dxa"/>
              <w:left w:w="100" w:type="dxa"/>
              <w:bottom w:w="100" w:type="dxa"/>
              <w:right w:w="100" w:type="dxa"/>
            </w:tcMar>
          </w:tcPr>
          <w:p w:rsidR="00B254FC" w:rsidRDefault="00B254FC" w:rsidP="00507548">
            <w:pPr>
              <w:contextualSpacing w:val="0"/>
              <w:jc w:val="both"/>
            </w:pPr>
            <w:r>
              <w:rPr>
                <w:sz w:val="16"/>
                <w:szCs w:val="16"/>
              </w:rPr>
              <w:t>Poskytovatel se zavazuje zahájit plnění bez zbytečného odkladu, přičemž přednost mají požadavky s prioritami “kritická” i od jiných zákazníků Poskytovatele. Požadavky se plní v pracovní době.</w:t>
            </w:r>
          </w:p>
        </w:tc>
      </w:tr>
      <w:tr w:rsidR="00B254FC" w:rsidTr="00507548">
        <w:tc>
          <w:tcPr>
            <w:tcW w:w="1182" w:type="dxa"/>
            <w:tcMar>
              <w:top w:w="100" w:type="dxa"/>
              <w:left w:w="100" w:type="dxa"/>
              <w:bottom w:w="100" w:type="dxa"/>
              <w:right w:w="100" w:type="dxa"/>
            </w:tcMar>
          </w:tcPr>
          <w:p w:rsidR="00B254FC" w:rsidRDefault="00B254FC" w:rsidP="00507548">
            <w:pPr>
              <w:contextualSpacing w:val="0"/>
              <w:jc w:val="both"/>
            </w:pPr>
            <w:r>
              <w:rPr>
                <w:sz w:val="16"/>
                <w:szCs w:val="16"/>
              </w:rPr>
              <w:t>Normální</w:t>
            </w:r>
          </w:p>
        </w:tc>
        <w:tc>
          <w:tcPr>
            <w:tcW w:w="8655" w:type="dxa"/>
            <w:tcMar>
              <w:top w:w="100" w:type="dxa"/>
              <w:left w:w="100" w:type="dxa"/>
              <w:bottom w:w="100" w:type="dxa"/>
              <w:right w:w="100" w:type="dxa"/>
            </w:tcMar>
          </w:tcPr>
          <w:p w:rsidR="00B254FC" w:rsidRDefault="00B254FC" w:rsidP="00507548">
            <w:pPr>
              <w:tabs>
                <w:tab w:val="left" w:pos="709"/>
              </w:tabs>
              <w:contextualSpacing w:val="0"/>
              <w:jc w:val="both"/>
            </w:pPr>
            <w:r>
              <w:rPr>
                <w:sz w:val="16"/>
                <w:szCs w:val="16"/>
              </w:rPr>
              <w:t>Poskytovatel se zavazuje zahájit plnění bez zbytečného odkladu, přičemž přednost mají požadavky s prioritami “vysoká” a “kritická” i od jiných zákazníků Poskytovatele. Požadavky s prioritou „normální“ plní Poskytovatel v Pracovní době.</w:t>
            </w:r>
          </w:p>
        </w:tc>
      </w:tr>
    </w:tbl>
    <w:p w:rsidR="00B254FC" w:rsidRDefault="00B254FC" w:rsidP="00B254FC">
      <w:pPr>
        <w:contextualSpacing w:val="0"/>
        <w:jc w:val="both"/>
      </w:pPr>
    </w:p>
    <w:p w:rsidR="00B254FC" w:rsidRDefault="00B254FC" w:rsidP="00B254FC">
      <w:pPr>
        <w:numPr>
          <w:ilvl w:val="1"/>
          <w:numId w:val="14"/>
        </w:numPr>
        <w:tabs>
          <w:tab w:val="left" w:pos="1080"/>
          <w:tab w:val="left" w:pos="1440"/>
        </w:tabs>
        <w:ind w:hanging="360"/>
        <w:jc w:val="both"/>
      </w:pPr>
      <w:r>
        <w:rPr>
          <w:b/>
        </w:rPr>
        <w:t>Reakční doba Standard</w:t>
      </w:r>
    </w:p>
    <w:p w:rsidR="00B254FC" w:rsidRDefault="00B254FC" w:rsidP="00B254FC">
      <w:pPr>
        <w:numPr>
          <w:ilvl w:val="2"/>
          <w:numId w:val="14"/>
        </w:numPr>
        <w:tabs>
          <w:tab w:val="left" w:pos="1800"/>
          <w:tab w:val="left" w:pos="2160"/>
        </w:tabs>
        <w:ind w:hanging="360"/>
        <w:jc w:val="both"/>
      </w:pPr>
      <w:r>
        <w:t>Reakční doba Standard může být v různých dokumentech označována i jako “9x5x2D”.</w:t>
      </w:r>
    </w:p>
    <w:p w:rsidR="00B254FC" w:rsidRDefault="00B254FC" w:rsidP="00B254FC">
      <w:pPr>
        <w:numPr>
          <w:ilvl w:val="2"/>
          <w:numId w:val="14"/>
        </w:numPr>
        <w:tabs>
          <w:tab w:val="left" w:pos="1800"/>
          <w:tab w:val="left" w:pos="2160"/>
        </w:tabs>
        <w:ind w:hanging="360"/>
        <w:jc w:val="both"/>
      </w:pPr>
      <w:r>
        <w:t>Pokud je pro daný Systém sjednána Reakční doba Standard, Helpdesk přijímá požadavky Zákazníka během Pracovní doby.</w:t>
      </w:r>
    </w:p>
    <w:p w:rsidR="00B254FC" w:rsidRDefault="00B254FC" w:rsidP="00B254FC">
      <w:pPr>
        <w:numPr>
          <w:ilvl w:val="2"/>
          <w:numId w:val="14"/>
        </w:numPr>
        <w:tabs>
          <w:tab w:val="left" w:pos="1800"/>
          <w:tab w:val="left" w:pos="2160"/>
        </w:tabs>
        <w:ind w:hanging="360"/>
        <w:jc w:val="both"/>
      </w:pPr>
      <w:r>
        <w:t>U Reakční doby Standard se sjednávají tyto lhůty plnění:</w:t>
      </w:r>
    </w:p>
    <w:tbl>
      <w:tblPr>
        <w:tblW w:w="9837"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67"/>
        <w:gridCol w:w="8570"/>
      </w:tblGrid>
      <w:tr w:rsidR="00B254FC" w:rsidTr="00507548">
        <w:tc>
          <w:tcPr>
            <w:tcW w:w="1267" w:type="dxa"/>
            <w:tcMar>
              <w:top w:w="100" w:type="dxa"/>
              <w:left w:w="100" w:type="dxa"/>
              <w:bottom w:w="100" w:type="dxa"/>
              <w:right w:w="100" w:type="dxa"/>
            </w:tcMar>
          </w:tcPr>
          <w:p w:rsidR="00B254FC" w:rsidRDefault="00B254FC" w:rsidP="00507548">
            <w:pPr>
              <w:contextualSpacing w:val="0"/>
              <w:jc w:val="both"/>
            </w:pPr>
            <w:r>
              <w:rPr>
                <w:b/>
                <w:sz w:val="16"/>
                <w:szCs w:val="16"/>
              </w:rPr>
              <w:t>Priorita požadavku</w:t>
            </w:r>
          </w:p>
        </w:tc>
        <w:tc>
          <w:tcPr>
            <w:tcW w:w="8570" w:type="dxa"/>
            <w:tcMar>
              <w:top w:w="100" w:type="dxa"/>
              <w:left w:w="100" w:type="dxa"/>
              <w:bottom w:w="100" w:type="dxa"/>
              <w:right w:w="100" w:type="dxa"/>
            </w:tcMar>
          </w:tcPr>
          <w:p w:rsidR="00B254FC" w:rsidRDefault="00B254FC" w:rsidP="00507548">
            <w:pPr>
              <w:contextualSpacing w:val="0"/>
              <w:jc w:val="both"/>
            </w:pPr>
            <w:r>
              <w:rPr>
                <w:b/>
                <w:sz w:val="16"/>
                <w:szCs w:val="16"/>
              </w:rPr>
              <w:t>Lhůty a další okolnosti plnění</w:t>
            </w:r>
          </w:p>
        </w:tc>
      </w:tr>
      <w:tr w:rsidR="00B254FC" w:rsidTr="00507548">
        <w:tc>
          <w:tcPr>
            <w:tcW w:w="1267" w:type="dxa"/>
            <w:tcMar>
              <w:top w:w="100" w:type="dxa"/>
              <w:left w:w="100" w:type="dxa"/>
              <w:bottom w:w="100" w:type="dxa"/>
              <w:right w:w="100" w:type="dxa"/>
            </w:tcMar>
          </w:tcPr>
          <w:p w:rsidR="00B254FC" w:rsidRDefault="00B254FC" w:rsidP="00507548">
            <w:pPr>
              <w:contextualSpacing w:val="0"/>
              <w:jc w:val="both"/>
            </w:pPr>
            <w:r>
              <w:rPr>
                <w:sz w:val="16"/>
                <w:szCs w:val="16"/>
              </w:rPr>
              <w:t>Kritická</w:t>
            </w:r>
          </w:p>
        </w:tc>
        <w:tc>
          <w:tcPr>
            <w:tcW w:w="8570" w:type="dxa"/>
            <w:tcMar>
              <w:top w:w="100" w:type="dxa"/>
              <w:left w:w="100" w:type="dxa"/>
              <w:bottom w:w="100" w:type="dxa"/>
              <w:right w:w="100" w:type="dxa"/>
            </w:tcMar>
          </w:tcPr>
          <w:p w:rsidR="00B254FC" w:rsidRDefault="00B254FC" w:rsidP="00507548">
            <w:pPr>
              <w:contextualSpacing w:val="0"/>
              <w:jc w:val="both"/>
            </w:pPr>
            <w:r>
              <w:rPr>
                <w:sz w:val="16"/>
                <w:szCs w:val="16"/>
              </w:rPr>
              <w:t>Poskytovatel se zavazuje zahájit plnění bez zbytečného odkladu, nejpozději však musí být plnění zahájeno do dvou pracovních dnů od přijetí. Pokud je požadavek Poskytovateli doručen mimo Pracovní dobu, lhůta začíná běžet až začátkem nejbližší následující Pracovní doby.</w:t>
            </w:r>
          </w:p>
          <w:p w:rsidR="00B254FC" w:rsidRDefault="00B254FC" w:rsidP="00507548">
            <w:pPr>
              <w:contextualSpacing w:val="0"/>
              <w:jc w:val="both"/>
            </w:pPr>
          </w:p>
          <w:p w:rsidR="00B254FC" w:rsidRDefault="00B254FC" w:rsidP="00507548">
            <w:pPr>
              <w:contextualSpacing w:val="0"/>
              <w:jc w:val="both"/>
            </w:pPr>
            <w:r>
              <w:rPr>
                <w:sz w:val="16"/>
                <w:szCs w:val="16"/>
              </w:rPr>
              <w:t>Požadavky s prioritou „kritická“ plní Poskytovatel v Pracovní době.</w:t>
            </w:r>
          </w:p>
        </w:tc>
      </w:tr>
      <w:tr w:rsidR="00B254FC" w:rsidTr="00507548">
        <w:tc>
          <w:tcPr>
            <w:tcW w:w="1267" w:type="dxa"/>
            <w:tcMar>
              <w:top w:w="100" w:type="dxa"/>
              <w:left w:w="100" w:type="dxa"/>
              <w:bottom w:w="100" w:type="dxa"/>
              <w:right w:w="100" w:type="dxa"/>
            </w:tcMar>
          </w:tcPr>
          <w:p w:rsidR="00B254FC" w:rsidRDefault="00B254FC" w:rsidP="00507548">
            <w:pPr>
              <w:contextualSpacing w:val="0"/>
              <w:jc w:val="both"/>
            </w:pPr>
            <w:r>
              <w:rPr>
                <w:sz w:val="16"/>
                <w:szCs w:val="16"/>
              </w:rPr>
              <w:t>Vysoká</w:t>
            </w:r>
          </w:p>
        </w:tc>
        <w:tc>
          <w:tcPr>
            <w:tcW w:w="8570" w:type="dxa"/>
            <w:tcMar>
              <w:top w:w="100" w:type="dxa"/>
              <w:left w:w="100" w:type="dxa"/>
              <w:bottom w:w="100" w:type="dxa"/>
              <w:right w:w="100" w:type="dxa"/>
            </w:tcMar>
          </w:tcPr>
          <w:p w:rsidR="00B254FC" w:rsidRDefault="00B254FC" w:rsidP="00507548">
            <w:pPr>
              <w:contextualSpacing w:val="0"/>
              <w:jc w:val="both"/>
            </w:pPr>
            <w:r>
              <w:rPr>
                <w:sz w:val="16"/>
                <w:szCs w:val="16"/>
              </w:rPr>
              <w:t>Poskytovatel se zavazuje zahájit plnění bez zbytečného odkladu, přičemž přednost mají požadavky s prioritami “kritická” i od jiných zákazníků Poskytovatele. Požadavky se plní v pracovní době.</w:t>
            </w:r>
          </w:p>
        </w:tc>
      </w:tr>
      <w:tr w:rsidR="00B254FC" w:rsidTr="00507548">
        <w:tc>
          <w:tcPr>
            <w:tcW w:w="1267" w:type="dxa"/>
            <w:tcMar>
              <w:top w:w="100" w:type="dxa"/>
              <w:left w:w="100" w:type="dxa"/>
              <w:bottom w:w="100" w:type="dxa"/>
              <w:right w:w="100" w:type="dxa"/>
            </w:tcMar>
          </w:tcPr>
          <w:p w:rsidR="00B254FC" w:rsidRDefault="00B254FC" w:rsidP="00507548">
            <w:pPr>
              <w:contextualSpacing w:val="0"/>
              <w:jc w:val="both"/>
            </w:pPr>
            <w:r>
              <w:rPr>
                <w:sz w:val="16"/>
                <w:szCs w:val="16"/>
              </w:rPr>
              <w:t>Normální</w:t>
            </w:r>
          </w:p>
        </w:tc>
        <w:tc>
          <w:tcPr>
            <w:tcW w:w="8570" w:type="dxa"/>
            <w:tcMar>
              <w:top w:w="100" w:type="dxa"/>
              <w:left w:w="100" w:type="dxa"/>
              <w:bottom w:w="100" w:type="dxa"/>
              <w:right w:w="100" w:type="dxa"/>
            </w:tcMar>
          </w:tcPr>
          <w:p w:rsidR="00B254FC" w:rsidRDefault="00B254FC" w:rsidP="00507548">
            <w:pPr>
              <w:tabs>
                <w:tab w:val="left" w:pos="709"/>
              </w:tabs>
              <w:contextualSpacing w:val="0"/>
              <w:jc w:val="both"/>
            </w:pPr>
            <w:r>
              <w:rPr>
                <w:sz w:val="16"/>
                <w:szCs w:val="16"/>
              </w:rPr>
              <w:t>Poskytovatel se zavazuje zahájit plnění bez zbytečného odkladu, přičemž přednost mají požadavky s prioritami “vysoká” a “kritická” i od jiných zákazníků Poskytovatele. Požadavky s prioritou „normální“ plní Poskytovatel v Pracovní době.</w:t>
            </w:r>
          </w:p>
        </w:tc>
      </w:tr>
    </w:tbl>
    <w:p w:rsidR="00B254FC" w:rsidRDefault="00B254FC" w:rsidP="00B254FC">
      <w:pPr>
        <w:contextualSpacing w:val="0"/>
        <w:jc w:val="both"/>
      </w:pPr>
    </w:p>
    <w:p w:rsidR="00B254FC" w:rsidRDefault="00B254FC" w:rsidP="00B254FC">
      <w:pPr>
        <w:numPr>
          <w:ilvl w:val="0"/>
          <w:numId w:val="14"/>
        </w:numPr>
        <w:tabs>
          <w:tab w:val="left" w:pos="360"/>
          <w:tab w:val="left" w:pos="720"/>
        </w:tabs>
        <w:ind w:hanging="360"/>
        <w:jc w:val="both"/>
      </w:pPr>
      <w:r>
        <w:rPr>
          <w:b/>
        </w:rPr>
        <w:t>Služba Dohled</w:t>
      </w:r>
    </w:p>
    <w:p w:rsidR="00B254FC" w:rsidRDefault="00B254FC" w:rsidP="00B254FC">
      <w:pPr>
        <w:numPr>
          <w:ilvl w:val="1"/>
          <w:numId w:val="14"/>
        </w:numPr>
        <w:tabs>
          <w:tab w:val="left" w:pos="1080"/>
          <w:tab w:val="left" w:pos="1440"/>
        </w:tabs>
        <w:ind w:hanging="360"/>
        <w:jc w:val="both"/>
      </w:pPr>
      <w:r>
        <w:t>Pokud je pro daný Systém sjednána služba Dohled, Poskytovatel se zavazuje pomocí svého software provádět automatický monitoring vybraných parametrů Systémů (viz další odstavec).</w:t>
      </w:r>
    </w:p>
    <w:p w:rsidR="00B254FC" w:rsidRDefault="00B254FC" w:rsidP="00B254FC">
      <w:pPr>
        <w:numPr>
          <w:ilvl w:val="1"/>
          <w:numId w:val="14"/>
        </w:numPr>
        <w:tabs>
          <w:tab w:val="left" w:pos="1080"/>
          <w:tab w:val="left" w:pos="1440"/>
        </w:tabs>
        <w:ind w:hanging="360"/>
        <w:jc w:val="both"/>
      </w:pPr>
      <w:r>
        <w:t>V případě výskytu závady automatický monitoring Poskytovatele oznámí závadu na Helpdesk a na Zákazníkem stanovené e-mailové adresy.</w:t>
      </w:r>
    </w:p>
    <w:p w:rsidR="00B254FC" w:rsidRDefault="00B254FC" w:rsidP="00B254FC">
      <w:pPr>
        <w:numPr>
          <w:ilvl w:val="1"/>
          <w:numId w:val="14"/>
        </w:numPr>
        <w:tabs>
          <w:tab w:val="left" w:pos="1080"/>
          <w:tab w:val="left" w:pos="1440"/>
        </w:tabs>
        <w:ind w:hanging="360"/>
        <w:jc w:val="both"/>
      </w:pPr>
      <w:r>
        <w:t>Vzhledem ke složitosti Systémů nelze sledovat všechny parametry, proto si Poskytovatel a Zákazník samostatnou dohodou odsouhlasí seznam sledovaných parametrů, které se Poskytovatel zavazuje monitorovat. Nelze vyloučit, že se závada projeví mimo tyto sledované parametry.</w:t>
      </w:r>
    </w:p>
    <w:p w:rsidR="00B254FC" w:rsidRDefault="00B254FC" w:rsidP="00B254FC">
      <w:pPr>
        <w:numPr>
          <w:ilvl w:val="1"/>
          <w:numId w:val="14"/>
        </w:numPr>
        <w:tabs>
          <w:tab w:val="left" w:pos="1080"/>
          <w:tab w:val="left" w:pos="1440"/>
        </w:tabs>
        <w:ind w:hanging="360"/>
        <w:jc w:val="both"/>
      </w:pPr>
      <w:r>
        <w:t>Zákazník se zavazuje Poskytovateli poskytnout pro tuto službu součinnost přinejmenším zpřístupněním Systému, pro který je služba Dohled sjednána, Poskytovateli pomocí počítačové sítě.</w:t>
      </w:r>
    </w:p>
    <w:p w:rsidR="00B254FC" w:rsidRDefault="00B254FC" w:rsidP="00B254FC">
      <w:pPr>
        <w:numPr>
          <w:ilvl w:val="0"/>
          <w:numId w:val="14"/>
        </w:numPr>
        <w:tabs>
          <w:tab w:val="left" w:pos="360"/>
          <w:tab w:val="left" w:pos="720"/>
        </w:tabs>
        <w:ind w:hanging="360"/>
        <w:jc w:val="both"/>
      </w:pPr>
      <w:r>
        <w:rPr>
          <w:b/>
        </w:rPr>
        <w:t>Služba Profylaxe</w:t>
      </w:r>
    </w:p>
    <w:p w:rsidR="00B254FC" w:rsidRDefault="00B254FC" w:rsidP="00B254FC">
      <w:pPr>
        <w:numPr>
          <w:ilvl w:val="1"/>
          <w:numId w:val="14"/>
        </w:numPr>
        <w:tabs>
          <w:tab w:val="left" w:pos="1080"/>
          <w:tab w:val="left" w:pos="1440"/>
        </w:tabs>
        <w:ind w:hanging="360"/>
        <w:jc w:val="both"/>
      </w:pPr>
      <w:r>
        <w:t>Pokud je pro daný Systém sjednána služba Profylaxe, Poskytovatel se zavazuje provádět instalaci opravných aktualizací Software, vydávaných výrobcem Software, a přenastavení daného Systému podle nejnovějších informací z oblasti bezpečnosti dat, a to nejméně 4x v kalendářním roce v intervalech přibližně tří měsíců.</w:t>
      </w:r>
    </w:p>
    <w:p w:rsidR="00B254FC" w:rsidRDefault="00B254FC" w:rsidP="00B254FC">
      <w:pPr>
        <w:numPr>
          <w:ilvl w:val="1"/>
          <w:numId w:val="14"/>
        </w:numPr>
        <w:tabs>
          <w:tab w:val="left" w:pos="1080"/>
          <w:tab w:val="left" w:pos="1440"/>
        </w:tabs>
        <w:ind w:hanging="360"/>
        <w:jc w:val="both"/>
      </w:pPr>
      <w:r>
        <w:t>Součástí služby Profylaxe není Upgrade.</w:t>
      </w:r>
    </w:p>
    <w:p w:rsidR="00B254FC" w:rsidRDefault="00B254FC" w:rsidP="00B254FC">
      <w:pPr>
        <w:numPr>
          <w:ilvl w:val="1"/>
          <w:numId w:val="14"/>
        </w:numPr>
        <w:tabs>
          <w:tab w:val="left" w:pos="1080"/>
          <w:tab w:val="left" w:pos="1440"/>
        </w:tabs>
        <w:ind w:hanging="360"/>
        <w:jc w:val="both"/>
      </w:pPr>
      <w:r>
        <w:t>Poskytovatel se dále zavazuje u Systémů, pro které je služba Profylaxe sjednána a mají nastavený zálohovací systém, provádět pravidelné kontroly, zda zálohovací systém zapisuje zálohy.</w:t>
      </w:r>
    </w:p>
    <w:p w:rsidR="00B254FC" w:rsidRDefault="00B254FC" w:rsidP="00B254FC">
      <w:pPr>
        <w:numPr>
          <w:ilvl w:val="1"/>
          <w:numId w:val="14"/>
        </w:numPr>
        <w:tabs>
          <w:tab w:val="left" w:pos="1080"/>
          <w:tab w:val="left" w:pos="1440"/>
        </w:tabs>
        <w:ind w:hanging="360"/>
        <w:jc w:val="both"/>
      </w:pPr>
      <w:r>
        <w:t>Vzhledem ke složitosti Systémů nelze garantovat službou Profylaxe, že záloha bude dostačující pro obnovu Systému ze zálohy. Poskytovatel doporučuje Zákazníkovi provádět pravidelné testy obnovy, ty však nejsou součástí této Smlouvy.</w:t>
      </w:r>
    </w:p>
    <w:p w:rsidR="00B254FC" w:rsidRDefault="00B254FC" w:rsidP="00B254FC">
      <w:pPr>
        <w:numPr>
          <w:ilvl w:val="1"/>
          <w:numId w:val="14"/>
        </w:numPr>
        <w:tabs>
          <w:tab w:val="left" w:pos="1080"/>
          <w:tab w:val="left" w:pos="1440"/>
        </w:tabs>
        <w:ind w:hanging="360"/>
        <w:jc w:val="both"/>
      </w:pPr>
      <w:r>
        <w:t>Poskytovatel Zákazníka upozorňuje na závady, pokud nějaké v průběhu kontrol zjistí.</w:t>
      </w:r>
    </w:p>
    <w:p w:rsidR="00B254FC" w:rsidRDefault="00B254FC" w:rsidP="00B254FC">
      <w:pPr>
        <w:numPr>
          <w:ilvl w:val="0"/>
          <w:numId w:val="14"/>
        </w:numPr>
        <w:tabs>
          <w:tab w:val="left" w:pos="360"/>
          <w:tab w:val="left" w:pos="720"/>
        </w:tabs>
        <w:ind w:hanging="360"/>
        <w:jc w:val="both"/>
      </w:pPr>
      <w:r>
        <w:rPr>
          <w:b/>
        </w:rPr>
        <w:t>Služba Paušální správa</w:t>
      </w:r>
    </w:p>
    <w:p w:rsidR="00B254FC" w:rsidRDefault="00B254FC" w:rsidP="00B254FC">
      <w:pPr>
        <w:numPr>
          <w:ilvl w:val="1"/>
          <w:numId w:val="14"/>
        </w:numPr>
        <w:tabs>
          <w:tab w:val="left" w:pos="1080"/>
          <w:tab w:val="left" w:pos="1440"/>
        </w:tabs>
        <w:ind w:hanging="360"/>
        <w:jc w:val="both"/>
      </w:pPr>
      <w:r>
        <w:t>Pokud je pro daný Systém sjednána služba Paušální správa, Poskytovatel provádí činnosti pro daný Systém v rámci ceny za pravidelné plnění dle bodu III.1 této Smlouvy, a to za následujících podmínek:</w:t>
      </w:r>
    </w:p>
    <w:p w:rsidR="00B254FC" w:rsidRDefault="00B254FC" w:rsidP="00B254FC">
      <w:pPr>
        <w:numPr>
          <w:ilvl w:val="2"/>
          <w:numId w:val="14"/>
        </w:numPr>
        <w:tabs>
          <w:tab w:val="left" w:pos="1800"/>
          <w:tab w:val="left" w:pos="2160"/>
        </w:tabs>
        <w:ind w:hanging="360"/>
        <w:jc w:val="both"/>
      </w:pPr>
      <w:r>
        <w:t>součástí je udržení funkčního stavu Systému, případně vyřešení Incidentů (pokud nevyplývají ze situací, pro které Zákazník neakceptoval předchozí doporučení Poskytovatele), zejména</w:t>
      </w:r>
    </w:p>
    <w:p w:rsidR="00B254FC" w:rsidRDefault="00B254FC" w:rsidP="00B254FC">
      <w:pPr>
        <w:numPr>
          <w:ilvl w:val="3"/>
          <w:numId w:val="14"/>
        </w:numPr>
        <w:tabs>
          <w:tab w:val="left" w:pos="2520"/>
          <w:tab w:val="left" w:pos="2880"/>
        </w:tabs>
        <w:ind w:hanging="360"/>
        <w:jc w:val="both"/>
      </w:pPr>
      <w:r>
        <w:t>řešení požadavků na přenastavení Software a Hardware, vyjma Upgrade, instalace a nastavení nového Software;</w:t>
      </w:r>
    </w:p>
    <w:p w:rsidR="00B254FC" w:rsidRDefault="00B254FC" w:rsidP="00B254FC">
      <w:pPr>
        <w:numPr>
          <w:ilvl w:val="3"/>
          <w:numId w:val="14"/>
        </w:numPr>
        <w:tabs>
          <w:tab w:val="left" w:pos="2520"/>
          <w:tab w:val="left" w:pos="2880"/>
        </w:tabs>
        <w:ind w:hanging="360"/>
        <w:jc w:val="both"/>
      </w:pPr>
      <w:r>
        <w:t>řešení Incidentů se Software a Hardware, vyjma plateb za Software a Hardware, zejména náhradní díly;</w:t>
      </w:r>
    </w:p>
    <w:p w:rsidR="00B254FC" w:rsidRDefault="00B254FC" w:rsidP="00B254FC">
      <w:pPr>
        <w:numPr>
          <w:ilvl w:val="3"/>
          <w:numId w:val="14"/>
        </w:numPr>
        <w:tabs>
          <w:tab w:val="left" w:pos="2520"/>
          <w:tab w:val="left" w:pos="2880"/>
        </w:tabs>
        <w:ind w:hanging="360"/>
        <w:jc w:val="both"/>
      </w:pPr>
      <w:r>
        <w:t>správa uživatelských účtů;</w:t>
      </w:r>
    </w:p>
    <w:p w:rsidR="00B254FC" w:rsidRDefault="00B254FC" w:rsidP="00B254FC">
      <w:pPr>
        <w:numPr>
          <w:ilvl w:val="3"/>
          <w:numId w:val="14"/>
        </w:numPr>
        <w:tabs>
          <w:tab w:val="left" w:pos="2520"/>
          <w:tab w:val="left" w:pos="2880"/>
        </w:tabs>
        <w:ind w:hanging="360"/>
        <w:jc w:val="both"/>
      </w:pPr>
      <w:r>
        <w:t>obnova dat ze zálohy;</w:t>
      </w:r>
    </w:p>
    <w:p w:rsidR="00B254FC" w:rsidRDefault="00B254FC" w:rsidP="00B254FC">
      <w:pPr>
        <w:numPr>
          <w:ilvl w:val="3"/>
          <w:numId w:val="14"/>
        </w:numPr>
        <w:tabs>
          <w:tab w:val="left" w:pos="2520"/>
          <w:tab w:val="left" w:pos="2880"/>
        </w:tabs>
        <w:ind w:hanging="360"/>
        <w:jc w:val="both"/>
      </w:pPr>
      <w:r>
        <w:t>Konzultace;</w:t>
      </w:r>
    </w:p>
    <w:p w:rsidR="00B254FC" w:rsidRDefault="00B254FC" w:rsidP="00B254FC">
      <w:pPr>
        <w:numPr>
          <w:ilvl w:val="2"/>
          <w:numId w:val="14"/>
        </w:numPr>
        <w:tabs>
          <w:tab w:val="left" w:pos="1800"/>
          <w:tab w:val="left" w:pos="2160"/>
        </w:tabs>
        <w:ind w:hanging="360"/>
        <w:jc w:val="both"/>
      </w:pPr>
      <w:r>
        <w:t>součástí je služba Dohled, jedná-li se o Server;</w:t>
      </w:r>
    </w:p>
    <w:p w:rsidR="00B254FC" w:rsidRDefault="00B254FC" w:rsidP="00B254FC">
      <w:pPr>
        <w:numPr>
          <w:ilvl w:val="2"/>
          <w:numId w:val="14"/>
        </w:numPr>
        <w:tabs>
          <w:tab w:val="left" w:pos="1800"/>
          <w:tab w:val="left" w:pos="2160"/>
        </w:tabs>
        <w:ind w:hanging="360"/>
        <w:jc w:val="both"/>
      </w:pPr>
      <w:r>
        <w:t>součástí je služba Profylaxe;</w:t>
      </w:r>
    </w:p>
    <w:p w:rsidR="00B254FC" w:rsidRDefault="00B254FC" w:rsidP="00B254FC">
      <w:pPr>
        <w:numPr>
          <w:ilvl w:val="2"/>
          <w:numId w:val="14"/>
        </w:numPr>
        <w:tabs>
          <w:tab w:val="left" w:pos="1800"/>
          <w:tab w:val="left" w:pos="2160"/>
        </w:tabs>
        <w:ind w:hanging="360"/>
        <w:jc w:val="both"/>
      </w:pPr>
      <w:r>
        <w:t>Poskytovatel sám dle zvážení situace určuje, zda je Služba poskytnuta Na dálku nebo Na místě, rovněž určuje způsob technologického provedení a čas poskytnutí Služby, přitom je však nadále vázán lhůtami podle Reakční doby sjednané pro daný Systém;</w:t>
      </w:r>
    </w:p>
    <w:p w:rsidR="00B254FC" w:rsidRDefault="00B254FC" w:rsidP="00B254FC">
      <w:pPr>
        <w:numPr>
          <w:ilvl w:val="2"/>
          <w:numId w:val="14"/>
        </w:numPr>
        <w:tabs>
          <w:tab w:val="left" w:pos="1800"/>
          <w:tab w:val="left" w:pos="2160"/>
        </w:tabs>
        <w:ind w:hanging="360"/>
        <w:jc w:val="both"/>
      </w:pPr>
      <w:r>
        <w:t>Služby jsou poskytnuty v pracovní době, pokud se Poskytovatel nerozhodne jinak.</w:t>
      </w:r>
    </w:p>
    <w:p w:rsidR="00B254FC" w:rsidRDefault="00B254FC" w:rsidP="00B254FC">
      <w:pPr>
        <w:numPr>
          <w:ilvl w:val="1"/>
          <w:numId w:val="14"/>
        </w:numPr>
        <w:tabs>
          <w:tab w:val="left" w:pos="1080"/>
          <w:tab w:val="left" w:pos="1440"/>
        </w:tabs>
        <w:ind w:hanging="360"/>
        <w:jc w:val="both"/>
      </w:pPr>
      <w:r>
        <w:lastRenderedPageBreak/>
        <w:t>V rámci ceny za pravidelné plnění nejsou hrazeny tyto Služby:</w:t>
      </w:r>
    </w:p>
    <w:p w:rsidR="00B254FC" w:rsidRDefault="00B254FC" w:rsidP="00B254FC">
      <w:pPr>
        <w:numPr>
          <w:ilvl w:val="2"/>
          <w:numId w:val="14"/>
        </w:numPr>
        <w:tabs>
          <w:tab w:val="left" w:pos="1800"/>
          <w:tab w:val="left" w:pos="2160"/>
        </w:tabs>
        <w:ind w:hanging="360"/>
        <w:jc w:val="both"/>
      </w:pPr>
      <w:r>
        <w:t>upgrade Systému nebo Software;</w:t>
      </w:r>
    </w:p>
    <w:p w:rsidR="00B254FC" w:rsidRDefault="00B254FC" w:rsidP="00B254FC">
      <w:pPr>
        <w:numPr>
          <w:ilvl w:val="2"/>
          <w:numId w:val="14"/>
        </w:numPr>
        <w:tabs>
          <w:tab w:val="left" w:pos="1800"/>
          <w:tab w:val="left" w:pos="2160"/>
        </w:tabs>
        <w:ind w:hanging="360"/>
        <w:jc w:val="both"/>
      </w:pPr>
      <w:r>
        <w:t>Služby poskytnuté v místě nebo čase nebo způsobem technického provedení určeným Zákazníkem;</w:t>
      </w:r>
    </w:p>
    <w:p w:rsidR="00B254FC" w:rsidRDefault="00B254FC" w:rsidP="00B254FC">
      <w:pPr>
        <w:numPr>
          <w:ilvl w:val="2"/>
          <w:numId w:val="14"/>
        </w:numPr>
        <w:tabs>
          <w:tab w:val="left" w:pos="1800"/>
          <w:tab w:val="left" w:pos="2160"/>
        </w:tabs>
        <w:ind w:hanging="360"/>
        <w:jc w:val="both"/>
      </w:pPr>
      <w:r>
        <w:t>Služby poskytnuté mimo pracovní dobu, byť se jedná o požadavky s prioritou “kritická”, pokud se Poskytovatel nerozhodl jinak;</w:t>
      </w:r>
    </w:p>
    <w:p w:rsidR="00B254FC" w:rsidRDefault="00B254FC" w:rsidP="00B254FC">
      <w:pPr>
        <w:numPr>
          <w:ilvl w:val="2"/>
          <w:numId w:val="14"/>
        </w:numPr>
        <w:tabs>
          <w:tab w:val="left" w:pos="1800"/>
          <w:tab w:val="left" w:pos="2160"/>
        </w:tabs>
        <w:ind w:hanging="360"/>
        <w:jc w:val="both"/>
      </w:pPr>
      <w:r>
        <w:t>Služby řešící problémy vyplývající ze situací, pro které Zákazník neakceptoval předchozí doporučení Poskytovatele;</w:t>
      </w:r>
    </w:p>
    <w:p w:rsidR="00B254FC" w:rsidRDefault="00B254FC" w:rsidP="00B254FC">
      <w:pPr>
        <w:numPr>
          <w:ilvl w:val="2"/>
          <w:numId w:val="14"/>
        </w:numPr>
        <w:tabs>
          <w:tab w:val="left" w:pos="1800"/>
          <w:tab w:val="left" w:pos="2160"/>
        </w:tabs>
        <w:ind w:hanging="360"/>
        <w:jc w:val="both"/>
      </w:pPr>
      <w:r>
        <w:t>Služby poskytnuté v souvislosti se Software a Hardware, zahrnutým do výjimek (podle bodu I.3 Specifikace nebo jiného sdělení);</w:t>
      </w:r>
    </w:p>
    <w:p w:rsidR="00B254FC" w:rsidRDefault="00B254FC" w:rsidP="00B254FC">
      <w:pPr>
        <w:numPr>
          <w:ilvl w:val="2"/>
          <w:numId w:val="14"/>
        </w:numPr>
        <w:tabs>
          <w:tab w:val="left" w:pos="1800"/>
          <w:tab w:val="left" w:pos="2160"/>
        </w:tabs>
        <w:ind w:hanging="360"/>
        <w:jc w:val="both"/>
      </w:pPr>
      <w:r>
        <w:t>jiné služby výslovně neuvedené v bodu V.5.a.</w:t>
      </w:r>
    </w:p>
    <w:p w:rsidR="00B254FC" w:rsidRDefault="00B254FC" w:rsidP="00B254FC">
      <w:pPr>
        <w:numPr>
          <w:ilvl w:val="1"/>
          <w:numId w:val="14"/>
        </w:numPr>
        <w:tabs>
          <w:tab w:val="left" w:pos="1080"/>
          <w:tab w:val="left" w:pos="1440"/>
        </w:tabs>
        <w:ind w:hanging="360"/>
        <w:jc w:val="both"/>
      </w:pPr>
      <w:r>
        <w:t>Služby uvedené v bodu V.5.b mohou být poskytnuty na základě požadavku Zákazníka a jsou hrazeny samostatně jako nepravidelné činnosti dle bodu III.2 Smlouvy.</w:t>
      </w:r>
    </w:p>
    <w:p w:rsidR="00B254FC" w:rsidRDefault="00B254FC" w:rsidP="00B254FC">
      <w:pPr>
        <w:numPr>
          <w:ilvl w:val="0"/>
          <w:numId w:val="14"/>
        </w:numPr>
        <w:tabs>
          <w:tab w:val="left" w:pos="360"/>
          <w:tab w:val="left" w:pos="720"/>
        </w:tabs>
        <w:ind w:hanging="360"/>
        <w:jc w:val="both"/>
      </w:pPr>
      <w:r>
        <w:rPr>
          <w:b/>
        </w:rPr>
        <w:t>Služba Kredit</w:t>
      </w:r>
    </w:p>
    <w:p w:rsidR="00B254FC" w:rsidRDefault="00B254FC" w:rsidP="00B254FC">
      <w:pPr>
        <w:numPr>
          <w:ilvl w:val="1"/>
          <w:numId w:val="14"/>
        </w:numPr>
        <w:tabs>
          <w:tab w:val="left" w:pos="1080"/>
          <w:tab w:val="left" w:pos="1440"/>
        </w:tabs>
        <w:ind w:hanging="360"/>
        <w:jc w:val="both"/>
      </w:pPr>
      <w:r>
        <w:t>Pro zvláštní případy lze sjednat v rámci ceny za pravidelné plnění její složku, která připadne na tzv. Kredit, který bude sloužit k úhradě jinak samostatně účtovatelných plateb. Podrobností upraví samostatná dohoda.</w:t>
      </w:r>
    </w:p>
    <w:p w:rsidR="00B254FC" w:rsidRDefault="00B254FC" w:rsidP="00B254FC">
      <w:pPr>
        <w:pStyle w:val="Nadpis1"/>
        <w:contextualSpacing w:val="0"/>
        <w:jc w:val="both"/>
      </w:pPr>
      <w:r>
        <w:t>Článek VI. Další ustanovení</w:t>
      </w:r>
    </w:p>
    <w:p w:rsidR="00B254FC" w:rsidRDefault="00B254FC" w:rsidP="00B254FC">
      <w:pPr>
        <w:numPr>
          <w:ilvl w:val="0"/>
          <w:numId w:val="15"/>
        </w:numPr>
        <w:tabs>
          <w:tab w:val="left" w:pos="360"/>
          <w:tab w:val="left" w:pos="720"/>
        </w:tabs>
        <w:ind w:hanging="360"/>
        <w:jc w:val="both"/>
      </w:pPr>
      <w:r>
        <w:t>Časovými jednotkami, užívanými ve smluvních vztazích mezi Poskytovatelem a Zákazníkem, se myslí každá, byť i započatá jednotka.</w:t>
      </w:r>
    </w:p>
    <w:p w:rsidR="00B254FC" w:rsidRDefault="00B254FC" w:rsidP="00B254FC">
      <w:pPr>
        <w:numPr>
          <w:ilvl w:val="0"/>
          <w:numId w:val="15"/>
        </w:numPr>
        <w:tabs>
          <w:tab w:val="left" w:pos="360"/>
          <w:tab w:val="left" w:pos="720"/>
        </w:tabs>
        <w:ind w:hanging="360"/>
        <w:jc w:val="both"/>
      </w:pPr>
      <w:r>
        <w:t>Je-li časovou jednotkou “půlden”, myslí se tím 4 po sobě jdoucí hodiny v Pracovní době.</w:t>
      </w:r>
    </w:p>
    <w:p w:rsidR="00B254FC" w:rsidRDefault="00B254FC" w:rsidP="00B254FC">
      <w:pPr>
        <w:numPr>
          <w:ilvl w:val="0"/>
          <w:numId w:val="15"/>
        </w:numPr>
        <w:tabs>
          <w:tab w:val="left" w:pos="360"/>
          <w:tab w:val="left" w:pos="720"/>
        </w:tabs>
        <w:ind w:hanging="360"/>
        <w:jc w:val="both"/>
      </w:pPr>
      <w:r>
        <w:t>U lhůt určených podle hodin se do běhu lhůty nezapočítává hodina, ve které nastane skutečnost, která běh lhůty zakládá, a lhůta počíná běžet hodinou následující.</w:t>
      </w:r>
    </w:p>
    <w:p w:rsidR="00B254FC" w:rsidRDefault="00B254FC" w:rsidP="00B254FC">
      <w:pPr>
        <w:numPr>
          <w:ilvl w:val="0"/>
          <w:numId w:val="15"/>
        </w:numPr>
        <w:tabs>
          <w:tab w:val="left" w:pos="360"/>
          <w:tab w:val="left" w:pos="720"/>
        </w:tabs>
        <w:ind w:hanging="360"/>
        <w:jc w:val="both"/>
      </w:pPr>
      <w:r>
        <w:t>Obdobně u lhůt určených podle dnů se do běhu lhůty nezapočítává den, ve kterém nastala skutečnost, která běh lhůty zakládá, a lhůta počíná běžet dnem následujícím.</w:t>
      </w:r>
    </w:p>
    <w:p w:rsidR="00B254FC" w:rsidRDefault="00B254FC" w:rsidP="00B254FC">
      <w:pPr>
        <w:numPr>
          <w:ilvl w:val="0"/>
          <w:numId w:val="15"/>
        </w:numPr>
        <w:tabs>
          <w:tab w:val="left" w:pos="360"/>
          <w:tab w:val="left" w:pos="720"/>
        </w:tabs>
        <w:ind w:hanging="360"/>
        <w:jc w:val="both"/>
      </w:pPr>
      <w:r>
        <w:t>Poskytnuté plnění je evidováno ve výkazech webového systému podpora.enlogit.com. Poskytovatel umožní Zákazníkovi přístup do tohoto systému a umožní kontrolu výkazů. Zákazník má právo Poskytovateli sdělit proti výkazu za příslušný měsíc námitku do 10 dnů po konci kalendářního měsíce, ve kterém bylo plnění poskytnuto, jinak se výkaz považuje za správný.</w:t>
      </w:r>
    </w:p>
    <w:p w:rsidR="00B254FC" w:rsidRDefault="00B254FC" w:rsidP="00B254FC">
      <w:pPr>
        <w:numPr>
          <w:ilvl w:val="0"/>
          <w:numId w:val="15"/>
        </w:numPr>
        <w:tabs>
          <w:tab w:val="left" w:pos="360"/>
          <w:tab w:val="left" w:pos="720"/>
        </w:tabs>
        <w:ind w:hanging="360"/>
        <w:jc w:val="both"/>
      </w:pPr>
      <w:r>
        <w:t>Pokud i přes velmi vysokou péči o kvalitu služeb poskytovatele vznikne vada na poskytnutém plnění, Poskytovatel Zákazníkovi neúčtuje uznané reklamace a odstranění případných vad na poskytnutém plnění a Zákazník není povinen za ně platit. To neplatí, jde-li o řešení situací vzniklých v souvislosti s porušením povinností Zákazníka.</w:t>
      </w:r>
    </w:p>
    <w:p w:rsidR="00B254FC" w:rsidRDefault="00B254FC" w:rsidP="00B254FC">
      <w:pPr>
        <w:numPr>
          <w:ilvl w:val="0"/>
          <w:numId w:val="15"/>
        </w:numPr>
        <w:tabs>
          <w:tab w:val="left" w:pos="360"/>
          <w:tab w:val="left" w:pos="720"/>
        </w:tabs>
        <w:ind w:hanging="360"/>
        <w:jc w:val="both"/>
      </w:pPr>
      <w:r>
        <w:t>Záruka za zboží se řídí záručními podmínkami jeho výrobce platnými v době prodeje. Není-li záruka stanovena, řídí se obecně platnými právními předpisy v době jeho prodeje, zejména Obchodním zákoníkem, nedohodnou-li se smluvní strany jinak.</w:t>
      </w:r>
    </w:p>
    <w:p w:rsidR="00B254FC" w:rsidRDefault="00B254FC" w:rsidP="00B254FC">
      <w:pPr>
        <w:contextualSpacing w:val="0"/>
        <w:jc w:val="both"/>
      </w:pPr>
    </w:p>
    <w:p w:rsidR="00B254FC" w:rsidRDefault="00B254FC">
      <w:pPr>
        <w:ind w:left="5760"/>
        <w:contextualSpacing w:val="0"/>
        <w:jc w:val="both"/>
      </w:pPr>
    </w:p>
    <w:sectPr w:rsidR="00B254FC">
      <w:headerReference w:type="even" r:id="rId8"/>
      <w:headerReference w:type="default" r:id="rId9"/>
      <w:footerReference w:type="even" r:id="rId10"/>
      <w:footerReference w:type="default" r:id="rId11"/>
      <w:headerReference w:type="first" r:id="rId12"/>
      <w:footerReference w:type="first" r:id="rId13"/>
      <w:pgSz w:w="11905" w:h="16837"/>
      <w:pgMar w:top="709" w:right="1134" w:bottom="993" w:left="1134"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1610" w:rsidRDefault="008B1610">
      <w:pPr>
        <w:spacing w:line="240" w:lineRule="auto"/>
      </w:pPr>
      <w:r>
        <w:separator/>
      </w:r>
    </w:p>
  </w:endnote>
  <w:endnote w:type="continuationSeparator" w:id="0">
    <w:p w:rsidR="008B1610" w:rsidRDefault="008B16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4FC" w:rsidRDefault="00B254FC">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1E7" w:rsidRDefault="006A51BB">
    <w:pPr>
      <w:spacing w:line="240" w:lineRule="auto"/>
      <w:contextualSpacing w:val="0"/>
      <w:jc w:val="right"/>
      <w:rPr>
        <w:sz w:val="20"/>
        <w:szCs w:val="20"/>
      </w:rPr>
    </w:pPr>
    <w:r>
      <w:fldChar w:fldCharType="begin"/>
    </w:r>
    <w:r>
      <w:instrText>PAGE</w:instrText>
    </w:r>
    <w:r>
      <w:fldChar w:fldCharType="separate"/>
    </w:r>
    <w:r w:rsidR="00111F12">
      <w:rPr>
        <w:noProof/>
      </w:rPr>
      <w:t>2</w:t>
    </w:r>
    <w:r>
      <w:fldChar w:fldCharType="end"/>
    </w:r>
    <w:r w:rsidR="00B254FC">
      <w:rPr>
        <w:sz w:val="20"/>
        <w:szCs w:val="20"/>
      </w:rPr>
      <w:t>/13</w:t>
    </w:r>
  </w:p>
  <w:p w:rsidR="00B254FC" w:rsidRDefault="00B254FC">
    <w:pPr>
      <w:spacing w:line="240" w:lineRule="auto"/>
      <w:contextualSpacing w:val="0"/>
      <w:jc w:val="righ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4FC" w:rsidRDefault="00B254FC">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1610" w:rsidRDefault="008B1610">
      <w:pPr>
        <w:spacing w:line="240" w:lineRule="auto"/>
      </w:pPr>
      <w:r>
        <w:separator/>
      </w:r>
    </w:p>
  </w:footnote>
  <w:footnote w:type="continuationSeparator" w:id="0">
    <w:p w:rsidR="008B1610" w:rsidRDefault="008B161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4FC" w:rsidRDefault="00B254FC">
    <w:pPr>
      <w:pStyle w:val="Zhlav"/>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4FC" w:rsidRDefault="00B254FC">
    <w:pPr>
      <w:pStyle w:val="Zhlav"/>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4FC" w:rsidRDefault="00B254FC">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00CE6"/>
    <w:multiLevelType w:val="multilevel"/>
    <w:tmpl w:val="EC96D9C0"/>
    <w:lvl w:ilvl="0">
      <w:start w:val="1"/>
      <w:numFmt w:val="decimal"/>
      <w:lvlText w:val="%1."/>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szCs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szCs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szCs w:val="22"/>
        <w:u w:val="none"/>
        <w:vertAlign w:val="baseline"/>
      </w:rPr>
    </w:lvl>
  </w:abstractNum>
  <w:abstractNum w:abstractNumId="1" w15:restartNumberingAfterBreak="0">
    <w:nsid w:val="062B5533"/>
    <w:multiLevelType w:val="multilevel"/>
    <w:tmpl w:val="AD7E690C"/>
    <w:lvl w:ilvl="0">
      <w:start w:val="1"/>
      <w:numFmt w:val="decimal"/>
      <w:lvlText w:val="%1."/>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szCs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szCs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szCs w:val="22"/>
        <w:u w:val="none"/>
        <w:vertAlign w:val="baseline"/>
      </w:rPr>
    </w:lvl>
  </w:abstractNum>
  <w:abstractNum w:abstractNumId="2" w15:restartNumberingAfterBreak="0">
    <w:nsid w:val="0F7F3EF3"/>
    <w:multiLevelType w:val="multilevel"/>
    <w:tmpl w:val="49A011AE"/>
    <w:lvl w:ilvl="0">
      <w:start w:val="1"/>
      <w:numFmt w:val="decimal"/>
      <w:lvlText w:val="%1."/>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szCs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szCs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szCs w:val="22"/>
        <w:u w:val="none"/>
        <w:vertAlign w:val="baseline"/>
      </w:rPr>
    </w:lvl>
  </w:abstractNum>
  <w:abstractNum w:abstractNumId="3" w15:restartNumberingAfterBreak="0">
    <w:nsid w:val="1CEF2ACB"/>
    <w:multiLevelType w:val="multilevel"/>
    <w:tmpl w:val="CB089746"/>
    <w:lvl w:ilvl="0">
      <w:start w:val="1"/>
      <w:numFmt w:val="decimal"/>
      <w:lvlText w:val="%1."/>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szCs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szCs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szCs w:val="22"/>
        <w:u w:val="none"/>
        <w:vertAlign w:val="baseline"/>
      </w:rPr>
    </w:lvl>
  </w:abstractNum>
  <w:abstractNum w:abstractNumId="4" w15:restartNumberingAfterBreak="0">
    <w:nsid w:val="1E113BF7"/>
    <w:multiLevelType w:val="multilevel"/>
    <w:tmpl w:val="4CDC146E"/>
    <w:lvl w:ilvl="0">
      <w:start w:val="1"/>
      <w:numFmt w:val="decimal"/>
      <w:lvlText w:val="%1."/>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szCs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szCs w:val="22"/>
        <w:u w:val="none"/>
        <w:vertAlign w:val="baseline"/>
      </w:rPr>
    </w:lvl>
  </w:abstractNum>
  <w:abstractNum w:abstractNumId="5" w15:restartNumberingAfterBreak="0">
    <w:nsid w:val="1F5F3658"/>
    <w:multiLevelType w:val="multilevel"/>
    <w:tmpl w:val="0E66C348"/>
    <w:lvl w:ilvl="0">
      <w:start w:val="1"/>
      <w:numFmt w:val="decimal"/>
      <w:lvlText w:val="%1."/>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szCs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szCs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szCs w:val="22"/>
        <w:u w:val="none"/>
        <w:vertAlign w:val="baseline"/>
      </w:rPr>
    </w:lvl>
  </w:abstractNum>
  <w:abstractNum w:abstractNumId="6" w15:restartNumberingAfterBreak="0">
    <w:nsid w:val="223F00AD"/>
    <w:multiLevelType w:val="multilevel"/>
    <w:tmpl w:val="38B24E50"/>
    <w:lvl w:ilvl="0">
      <w:start w:val="1"/>
      <w:numFmt w:val="bullet"/>
      <w:lvlText w:val="●"/>
      <w:lvlJc w:val="left"/>
      <w:pPr>
        <w:ind w:left="360" w:firstLine="0"/>
      </w:pPr>
      <w:rPr>
        <w:rFonts w:ascii="Arial" w:eastAsia="Arial" w:hAnsi="Arial" w:cs="Arial"/>
        <w:b w:val="0"/>
        <w:i w:val="0"/>
        <w:smallCaps w:val="0"/>
        <w:strike w:val="0"/>
        <w:color w:val="000000"/>
        <w:sz w:val="20"/>
        <w:szCs w:val="20"/>
        <w:u w:val="none"/>
        <w:vertAlign w:val="baseline"/>
      </w:rPr>
    </w:lvl>
    <w:lvl w:ilvl="1">
      <w:start w:val="1"/>
      <w:numFmt w:val="bullet"/>
      <w:lvlText w:val="○"/>
      <w:lvlJc w:val="left"/>
      <w:pPr>
        <w:ind w:left="1080" w:firstLine="0"/>
      </w:pPr>
      <w:rPr>
        <w:rFonts w:ascii="Arial" w:eastAsia="Arial" w:hAnsi="Arial" w:cs="Arial"/>
        <w:b w:val="0"/>
        <w:i w:val="0"/>
        <w:smallCaps w:val="0"/>
        <w:strike w:val="0"/>
        <w:color w:val="000000"/>
        <w:sz w:val="20"/>
        <w:szCs w:val="20"/>
        <w:u w:val="none"/>
        <w:vertAlign w:val="baseline"/>
      </w:rPr>
    </w:lvl>
    <w:lvl w:ilvl="2">
      <w:start w:val="1"/>
      <w:numFmt w:val="bullet"/>
      <w:lvlText w:val="■"/>
      <w:lvlJc w:val="left"/>
      <w:pPr>
        <w:ind w:left="1800" w:firstLine="0"/>
      </w:pPr>
      <w:rPr>
        <w:rFonts w:ascii="Arial" w:eastAsia="Arial" w:hAnsi="Arial" w:cs="Arial"/>
        <w:b w:val="0"/>
        <w:i w:val="0"/>
        <w:smallCaps w:val="0"/>
        <w:strike w:val="0"/>
        <w:color w:val="000000"/>
        <w:sz w:val="20"/>
        <w:szCs w:val="20"/>
        <w:u w:val="none"/>
        <w:vertAlign w:val="baseline"/>
      </w:rPr>
    </w:lvl>
    <w:lvl w:ilvl="3">
      <w:start w:val="1"/>
      <w:numFmt w:val="bullet"/>
      <w:lvlText w:val="●"/>
      <w:lvlJc w:val="left"/>
      <w:pPr>
        <w:ind w:left="2520" w:firstLine="0"/>
      </w:pPr>
      <w:rPr>
        <w:rFonts w:ascii="Arial" w:eastAsia="Arial" w:hAnsi="Arial" w:cs="Arial"/>
        <w:b w:val="0"/>
        <w:i w:val="0"/>
        <w:smallCaps w:val="0"/>
        <w:strike w:val="0"/>
        <w:color w:val="000000"/>
        <w:sz w:val="20"/>
        <w:szCs w:val="20"/>
        <w:u w:val="none"/>
        <w:vertAlign w:val="baseline"/>
      </w:rPr>
    </w:lvl>
    <w:lvl w:ilvl="4">
      <w:start w:val="1"/>
      <w:numFmt w:val="bullet"/>
      <w:lvlText w:val="○"/>
      <w:lvlJc w:val="left"/>
      <w:pPr>
        <w:ind w:left="3240" w:firstLine="0"/>
      </w:pPr>
      <w:rPr>
        <w:rFonts w:ascii="Arial" w:eastAsia="Arial" w:hAnsi="Arial" w:cs="Arial"/>
        <w:b w:val="0"/>
        <w:i w:val="0"/>
        <w:smallCaps w:val="0"/>
        <w:strike w:val="0"/>
        <w:color w:val="000000"/>
        <w:sz w:val="20"/>
        <w:szCs w:val="20"/>
        <w:u w:val="none"/>
        <w:vertAlign w:val="baseline"/>
      </w:rPr>
    </w:lvl>
    <w:lvl w:ilvl="5">
      <w:start w:val="1"/>
      <w:numFmt w:val="bullet"/>
      <w:lvlText w:val="■"/>
      <w:lvlJc w:val="left"/>
      <w:pPr>
        <w:ind w:left="3960" w:firstLine="0"/>
      </w:pPr>
      <w:rPr>
        <w:rFonts w:ascii="Arial" w:eastAsia="Arial" w:hAnsi="Arial" w:cs="Arial"/>
        <w:b w:val="0"/>
        <w:i w:val="0"/>
        <w:smallCaps w:val="0"/>
        <w:strike w:val="0"/>
        <w:color w:val="000000"/>
        <w:sz w:val="20"/>
        <w:szCs w:val="20"/>
        <w:u w:val="none"/>
        <w:vertAlign w:val="baseline"/>
      </w:rPr>
    </w:lvl>
    <w:lvl w:ilvl="6">
      <w:start w:val="1"/>
      <w:numFmt w:val="bullet"/>
      <w:lvlText w:val="●"/>
      <w:lvlJc w:val="left"/>
      <w:pPr>
        <w:ind w:left="4680" w:firstLine="0"/>
      </w:pPr>
      <w:rPr>
        <w:rFonts w:ascii="Arial" w:eastAsia="Arial" w:hAnsi="Arial" w:cs="Arial"/>
        <w:b w:val="0"/>
        <w:i w:val="0"/>
        <w:smallCaps w:val="0"/>
        <w:strike w:val="0"/>
        <w:color w:val="000000"/>
        <w:sz w:val="20"/>
        <w:szCs w:val="20"/>
        <w:u w:val="none"/>
        <w:vertAlign w:val="baseline"/>
      </w:rPr>
    </w:lvl>
    <w:lvl w:ilvl="7">
      <w:start w:val="1"/>
      <w:numFmt w:val="bullet"/>
      <w:lvlText w:val="○"/>
      <w:lvlJc w:val="left"/>
      <w:pPr>
        <w:ind w:left="5400" w:firstLine="0"/>
      </w:pPr>
      <w:rPr>
        <w:rFonts w:ascii="Arial" w:eastAsia="Arial" w:hAnsi="Arial" w:cs="Arial"/>
        <w:b w:val="0"/>
        <w:i w:val="0"/>
        <w:smallCaps w:val="0"/>
        <w:strike w:val="0"/>
        <w:color w:val="000000"/>
        <w:sz w:val="20"/>
        <w:szCs w:val="20"/>
        <w:u w:val="none"/>
        <w:vertAlign w:val="baseline"/>
      </w:rPr>
    </w:lvl>
    <w:lvl w:ilvl="8">
      <w:start w:val="1"/>
      <w:numFmt w:val="bullet"/>
      <w:lvlText w:val="■"/>
      <w:lvlJc w:val="left"/>
      <w:pPr>
        <w:ind w:left="6120" w:firstLine="0"/>
      </w:pPr>
      <w:rPr>
        <w:rFonts w:ascii="Arial" w:eastAsia="Arial" w:hAnsi="Arial" w:cs="Arial"/>
        <w:b w:val="0"/>
        <w:i w:val="0"/>
        <w:smallCaps w:val="0"/>
        <w:strike w:val="0"/>
        <w:color w:val="000000"/>
        <w:sz w:val="20"/>
        <w:szCs w:val="20"/>
        <w:u w:val="none"/>
        <w:vertAlign w:val="baseline"/>
      </w:rPr>
    </w:lvl>
  </w:abstractNum>
  <w:abstractNum w:abstractNumId="7" w15:restartNumberingAfterBreak="0">
    <w:nsid w:val="366F6E48"/>
    <w:multiLevelType w:val="multilevel"/>
    <w:tmpl w:val="032027AC"/>
    <w:lvl w:ilvl="0">
      <w:start w:val="1"/>
      <w:numFmt w:val="decimal"/>
      <w:lvlText w:val="%1."/>
      <w:lvlJc w:val="left"/>
      <w:pPr>
        <w:ind w:left="720" w:firstLine="360"/>
      </w:pPr>
      <w:rPr>
        <w:rFonts w:ascii="Arial" w:eastAsia="Arial" w:hAnsi="Arial" w:cs="Arial"/>
        <w:b w:val="0"/>
        <w:i w:val="0"/>
        <w:smallCaps w:val="0"/>
        <w:strike w:val="0"/>
        <w:color w:val="000000"/>
        <w:sz w:val="20"/>
        <w:szCs w:val="20"/>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0"/>
        <w:szCs w:val="20"/>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0"/>
        <w:szCs w:val="20"/>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0"/>
        <w:szCs w:val="20"/>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0"/>
        <w:szCs w:val="20"/>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0"/>
        <w:szCs w:val="20"/>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0"/>
        <w:szCs w:val="20"/>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0"/>
        <w:szCs w:val="20"/>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0"/>
        <w:szCs w:val="20"/>
        <w:u w:val="none"/>
        <w:vertAlign w:val="baseline"/>
      </w:rPr>
    </w:lvl>
  </w:abstractNum>
  <w:abstractNum w:abstractNumId="8" w15:restartNumberingAfterBreak="0">
    <w:nsid w:val="39577A0C"/>
    <w:multiLevelType w:val="multilevel"/>
    <w:tmpl w:val="D7322C6C"/>
    <w:lvl w:ilvl="0">
      <w:start w:val="1"/>
      <w:numFmt w:val="decimal"/>
      <w:lvlText w:val="%1."/>
      <w:lvlJc w:val="left"/>
      <w:pPr>
        <w:ind w:left="720" w:firstLine="360"/>
      </w:pPr>
      <w:rPr>
        <w:rFonts w:ascii="Arial" w:eastAsia="Arial" w:hAnsi="Arial" w:cs="Arial"/>
        <w:b w:val="0"/>
        <w:i w:val="0"/>
        <w:smallCaps w:val="0"/>
        <w:strike w:val="0"/>
        <w:color w:val="000000"/>
        <w:sz w:val="20"/>
        <w:szCs w:val="20"/>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0"/>
        <w:szCs w:val="20"/>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0"/>
        <w:szCs w:val="20"/>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0"/>
        <w:szCs w:val="20"/>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0"/>
        <w:szCs w:val="20"/>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0"/>
        <w:szCs w:val="20"/>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0"/>
        <w:szCs w:val="20"/>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0"/>
        <w:szCs w:val="20"/>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0"/>
        <w:szCs w:val="20"/>
        <w:u w:val="none"/>
        <w:vertAlign w:val="baseline"/>
      </w:rPr>
    </w:lvl>
  </w:abstractNum>
  <w:abstractNum w:abstractNumId="9" w15:restartNumberingAfterBreak="0">
    <w:nsid w:val="40AF4945"/>
    <w:multiLevelType w:val="multilevel"/>
    <w:tmpl w:val="1ACE99D4"/>
    <w:lvl w:ilvl="0">
      <w:start w:val="1"/>
      <w:numFmt w:val="decimal"/>
      <w:lvlText w:val="%1."/>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szCs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szCs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szCs w:val="22"/>
        <w:u w:val="none"/>
        <w:vertAlign w:val="baseline"/>
      </w:rPr>
    </w:lvl>
  </w:abstractNum>
  <w:abstractNum w:abstractNumId="10" w15:restartNumberingAfterBreak="0">
    <w:nsid w:val="44EB4087"/>
    <w:multiLevelType w:val="multilevel"/>
    <w:tmpl w:val="66EAB3F4"/>
    <w:lvl w:ilvl="0">
      <w:start w:val="1"/>
      <w:numFmt w:val="bullet"/>
      <w:lvlText w:val="●"/>
      <w:lvlJc w:val="left"/>
      <w:pPr>
        <w:ind w:left="360" w:firstLine="0"/>
      </w:pPr>
      <w:rPr>
        <w:rFonts w:ascii="Arial" w:eastAsia="Arial" w:hAnsi="Arial" w:cs="Arial"/>
        <w:b w:val="0"/>
        <w:i w:val="0"/>
        <w:smallCaps w:val="0"/>
        <w:strike w:val="0"/>
        <w:color w:val="000000"/>
        <w:sz w:val="20"/>
        <w:szCs w:val="20"/>
        <w:u w:val="none"/>
        <w:vertAlign w:val="baseline"/>
      </w:rPr>
    </w:lvl>
    <w:lvl w:ilvl="1">
      <w:start w:val="1"/>
      <w:numFmt w:val="bullet"/>
      <w:lvlText w:val="○"/>
      <w:lvlJc w:val="left"/>
      <w:pPr>
        <w:ind w:left="1080" w:firstLine="0"/>
      </w:pPr>
      <w:rPr>
        <w:rFonts w:ascii="Arial" w:eastAsia="Arial" w:hAnsi="Arial" w:cs="Arial"/>
        <w:b w:val="0"/>
        <w:i w:val="0"/>
        <w:smallCaps w:val="0"/>
        <w:strike w:val="0"/>
        <w:color w:val="000000"/>
        <w:sz w:val="20"/>
        <w:szCs w:val="20"/>
        <w:u w:val="none"/>
        <w:vertAlign w:val="baseline"/>
      </w:rPr>
    </w:lvl>
    <w:lvl w:ilvl="2">
      <w:start w:val="1"/>
      <w:numFmt w:val="bullet"/>
      <w:lvlText w:val="■"/>
      <w:lvlJc w:val="left"/>
      <w:pPr>
        <w:ind w:left="1800" w:firstLine="0"/>
      </w:pPr>
      <w:rPr>
        <w:rFonts w:ascii="Arial" w:eastAsia="Arial" w:hAnsi="Arial" w:cs="Arial"/>
        <w:b w:val="0"/>
        <w:i w:val="0"/>
        <w:smallCaps w:val="0"/>
        <w:strike w:val="0"/>
        <w:color w:val="000000"/>
        <w:sz w:val="20"/>
        <w:szCs w:val="20"/>
        <w:u w:val="none"/>
        <w:vertAlign w:val="baseline"/>
      </w:rPr>
    </w:lvl>
    <w:lvl w:ilvl="3">
      <w:start w:val="1"/>
      <w:numFmt w:val="bullet"/>
      <w:lvlText w:val="●"/>
      <w:lvlJc w:val="left"/>
      <w:pPr>
        <w:ind w:left="2520" w:firstLine="0"/>
      </w:pPr>
      <w:rPr>
        <w:rFonts w:ascii="Arial" w:eastAsia="Arial" w:hAnsi="Arial" w:cs="Arial"/>
        <w:b w:val="0"/>
        <w:i w:val="0"/>
        <w:smallCaps w:val="0"/>
        <w:strike w:val="0"/>
        <w:color w:val="000000"/>
        <w:sz w:val="20"/>
        <w:szCs w:val="20"/>
        <w:u w:val="none"/>
        <w:vertAlign w:val="baseline"/>
      </w:rPr>
    </w:lvl>
    <w:lvl w:ilvl="4">
      <w:start w:val="1"/>
      <w:numFmt w:val="bullet"/>
      <w:lvlText w:val="○"/>
      <w:lvlJc w:val="left"/>
      <w:pPr>
        <w:ind w:left="3240" w:firstLine="0"/>
      </w:pPr>
      <w:rPr>
        <w:rFonts w:ascii="Arial" w:eastAsia="Arial" w:hAnsi="Arial" w:cs="Arial"/>
        <w:b w:val="0"/>
        <w:i w:val="0"/>
        <w:smallCaps w:val="0"/>
        <w:strike w:val="0"/>
        <w:color w:val="000000"/>
        <w:sz w:val="20"/>
        <w:szCs w:val="20"/>
        <w:u w:val="none"/>
        <w:vertAlign w:val="baseline"/>
      </w:rPr>
    </w:lvl>
    <w:lvl w:ilvl="5">
      <w:start w:val="1"/>
      <w:numFmt w:val="bullet"/>
      <w:lvlText w:val="■"/>
      <w:lvlJc w:val="left"/>
      <w:pPr>
        <w:ind w:left="3960" w:firstLine="0"/>
      </w:pPr>
      <w:rPr>
        <w:rFonts w:ascii="Arial" w:eastAsia="Arial" w:hAnsi="Arial" w:cs="Arial"/>
        <w:b w:val="0"/>
        <w:i w:val="0"/>
        <w:smallCaps w:val="0"/>
        <w:strike w:val="0"/>
        <w:color w:val="000000"/>
        <w:sz w:val="20"/>
        <w:szCs w:val="20"/>
        <w:u w:val="none"/>
        <w:vertAlign w:val="baseline"/>
      </w:rPr>
    </w:lvl>
    <w:lvl w:ilvl="6">
      <w:start w:val="1"/>
      <w:numFmt w:val="bullet"/>
      <w:lvlText w:val="●"/>
      <w:lvlJc w:val="left"/>
      <w:pPr>
        <w:ind w:left="4680" w:firstLine="0"/>
      </w:pPr>
      <w:rPr>
        <w:rFonts w:ascii="Arial" w:eastAsia="Arial" w:hAnsi="Arial" w:cs="Arial"/>
        <w:b w:val="0"/>
        <w:i w:val="0"/>
        <w:smallCaps w:val="0"/>
        <w:strike w:val="0"/>
        <w:color w:val="000000"/>
        <w:sz w:val="20"/>
        <w:szCs w:val="20"/>
        <w:u w:val="none"/>
        <w:vertAlign w:val="baseline"/>
      </w:rPr>
    </w:lvl>
    <w:lvl w:ilvl="7">
      <w:start w:val="1"/>
      <w:numFmt w:val="bullet"/>
      <w:lvlText w:val="○"/>
      <w:lvlJc w:val="left"/>
      <w:pPr>
        <w:ind w:left="5400" w:firstLine="0"/>
      </w:pPr>
      <w:rPr>
        <w:rFonts w:ascii="Arial" w:eastAsia="Arial" w:hAnsi="Arial" w:cs="Arial"/>
        <w:b w:val="0"/>
        <w:i w:val="0"/>
        <w:smallCaps w:val="0"/>
        <w:strike w:val="0"/>
        <w:color w:val="000000"/>
        <w:sz w:val="20"/>
        <w:szCs w:val="20"/>
        <w:u w:val="none"/>
        <w:vertAlign w:val="baseline"/>
      </w:rPr>
    </w:lvl>
    <w:lvl w:ilvl="8">
      <w:start w:val="1"/>
      <w:numFmt w:val="bullet"/>
      <w:lvlText w:val="■"/>
      <w:lvlJc w:val="left"/>
      <w:pPr>
        <w:ind w:left="6120" w:firstLine="0"/>
      </w:pPr>
      <w:rPr>
        <w:rFonts w:ascii="Arial" w:eastAsia="Arial" w:hAnsi="Arial" w:cs="Arial"/>
        <w:b w:val="0"/>
        <w:i w:val="0"/>
        <w:smallCaps w:val="0"/>
        <w:strike w:val="0"/>
        <w:color w:val="000000"/>
        <w:sz w:val="20"/>
        <w:szCs w:val="20"/>
        <w:u w:val="none"/>
        <w:vertAlign w:val="baseline"/>
      </w:rPr>
    </w:lvl>
  </w:abstractNum>
  <w:abstractNum w:abstractNumId="11" w15:restartNumberingAfterBreak="0">
    <w:nsid w:val="454E01E3"/>
    <w:multiLevelType w:val="multilevel"/>
    <w:tmpl w:val="2C08AADA"/>
    <w:lvl w:ilvl="0">
      <w:start w:val="1"/>
      <w:numFmt w:val="decimal"/>
      <w:lvlText w:val="%1."/>
      <w:lvlJc w:val="left"/>
      <w:pPr>
        <w:ind w:left="720" w:firstLine="360"/>
      </w:pPr>
      <w:rPr>
        <w:rFonts w:ascii="Arial" w:eastAsia="Arial" w:hAnsi="Arial" w:cs="Arial"/>
        <w:b w:val="0"/>
        <w:i w:val="0"/>
        <w:smallCaps w:val="0"/>
        <w:strike w:val="0"/>
        <w:color w:val="000000"/>
        <w:sz w:val="20"/>
        <w:szCs w:val="20"/>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0"/>
        <w:szCs w:val="20"/>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0"/>
        <w:szCs w:val="20"/>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0"/>
        <w:szCs w:val="20"/>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0"/>
        <w:szCs w:val="20"/>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0"/>
        <w:szCs w:val="20"/>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0"/>
        <w:szCs w:val="20"/>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0"/>
        <w:szCs w:val="20"/>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0"/>
        <w:szCs w:val="20"/>
        <w:u w:val="none"/>
        <w:vertAlign w:val="baseline"/>
      </w:rPr>
    </w:lvl>
  </w:abstractNum>
  <w:abstractNum w:abstractNumId="12" w15:restartNumberingAfterBreak="0">
    <w:nsid w:val="51BB3BDA"/>
    <w:multiLevelType w:val="multilevel"/>
    <w:tmpl w:val="C8FE392C"/>
    <w:lvl w:ilvl="0">
      <w:start w:val="1"/>
      <w:numFmt w:val="decimal"/>
      <w:lvlText w:val="%1."/>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szCs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szCs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szCs w:val="22"/>
        <w:u w:val="none"/>
        <w:vertAlign w:val="baseline"/>
      </w:rPr>
    </w:lvl>
  </w:abstractNum>
  <w:abstractNum w:abstractNumId="13" w15:restartNumberingAfterBreak="0">
    <w:nsid w:val="564A1182"/>
    <w:multiLevelType w:val="multilevel"/>
    <w:tmpl w:val="A0BA6CDA"/>
    <w:lvl w:ilvl="0">
      <w:start w:val="1"/>
      <w:numFmt w:val="decimal"/>
      <w:lvlText w:val="%1."/>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szCs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szCs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szCs w:val="22"/>
        <w:u w:val="none"/>
        <w:vertAlign w:val="baseline"/>
      </w:rPr>
    </w:lvl>
  </w:abstractNum>
  <w:abstractNum w:abstractNumId="14" w15:restartNumberingAfterBreak="0">
    <w:nsid w:val="67921D23"/>
    <w:multiLevelType w:val="multilevel"/>
    <w:tmpl w:val="2196C448"/>
    <w:lvl w:ilvl="0">
      <w:start w:val="1"/>
      <w:numFmt w:val="decimal"/>
      <w:lvlText w:val="%1."/>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szCs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szCs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szCs w:val="22"/>
        <w:u w:val="none"/>
        <w:vertAlign w:val="baseline"/>
      </w:rPr>
    </w:lvl>
  </w:abstractNum>
  <w:abstractNum w:abstractNumId="15" w15:restartNumberingAfterBreak="0">
    <w:nsid w:val="73171C54"/>
    <w:multiLevelType w:val="multilevel"/>
    <w:tmpl w:val="D712785C"/>
    <w:lvl w:ilvl="0">
      <w:start w:val="1"/>
      <w:numFmt w:val="bullet"/>
      <w:lvlText w:val="●"/>
      <w:lvlJc w:val="left"/>
      <w:pPr>
        <w:ind w:left="360" w:firstLine="0"/>
      </w:pPr>
      <w:rPr>
        <w:rFonts w:ascii="Arial" w:eastAsia="Arial" w:hAnsi="Arial" w:cs="Arial"/>
        <w:b w:val="0"/>
        <w:i w:val="0"/>
        <w:smallCaps w:val="0"/>
        <w:strike w:val="0"/>
        <w:color w:val="000000"/>
        <w:sz w:val="20"/>
        <w:szCs w:val="20"/>
        <w:u w:val="none"/>
        <w:vertAlign w:val="baseline"/>
      </w:rPr>
    </w:lvl>
    <w:lvl w:ilvl="1">
      <w:start w:val="1"/>
      <w:numFmt w:val="bullet"/>
      <w:lvlText w:val="○"/>
      <w:lvlJc w:val="left"/>
      <w:pPr>
        <w:ind w:left="1080" w:firstLine="0"/>
      </w:pPr>
      <w:rPr>
        <w:rFonts w:ascii="Arial" w:eastAsia="Arial" w:hAnsi="Arial" w:cs="Arial"/>
        <w:b w:val="0"/>
        <w:i w:val="0"/>
        <w:smallCaps w:val="0"/>
        <w:strike w:val="0"/>
        <w:color w:val="000000"/>
        <w:sz w:val="20"/>
        <w:szCs w:val="20"/>
        <w:u w:val="none"/>
        <w:vertAlign w:val="baseline"/>
      </w:rPr>
    </w:lvl>
    <w:lvl w:ilvl="2">
      <w:start w:val="1"/>
      <w:numFmt w:val="bullet"/>
      <w:lvlText w:val="■"/>
      <w:lvlJc w:val="left"/>
      <w:pPr>
        <w:ind w:left="1800" w:firstLine="0"/>
      </w:pPr>
      <w:rPr>
        <w:rFonts w:ascii="Arial" w:eastAsia="Arial" w:hAnsi="Arial" w:cs="Arial"/>
        <w:b w:val="0"/>
        <w:i w:val="0"/>
        <w:smallCaps w:val="0"/>
        <w:strike w:val="0"/>
        <w:color w:val="000000"/>
        <w:sz w:val="20"/>
        <w:szCs w:val="20"/>
        <w:u w:val="none"/>
        <w:vertAlign w:val="baseline"/>
      </w:rPr>
    </w:lvl>
    <w:lvl w:ilvl="3">
      <w:start w:val="1"/>
      <w:numFmt w:val="bullet"/>
      <w:lvlText w:val="●"/>
      <w:lvlJc w:val="left"/>
      <w:pPr>
        <w:ind w:left="2520" w:firstLine="0"/>
      </w:pPr>
      <w:rPr>
        <w:rFonts w:ascii="Arial" w:eastAsia="Arial" w:hAnsi="Arial" w:cs="Arial"/>
        <w:b w:val="0"/>
        <w:i w:val="0"/>
        <w:smallCaps w:val="0"/>
        <w:strike w:val="0"/>
        <w:color w:val="000000"/>
        <w:sz w:val="20"/>
        <w:szCs w:val="20"/>
        <w:u w:val="none"/>
        <w:vertAlign w:val="baseline"/>
      </w:rPr>
    </w:lvl>
    <w:lvl w:ilvl="4">
      <w:start w:val="1"/>
      <w:numFmt w:val="bullet"/>
      <w:lvlText w:val="○"/>
      <w:lvlJc w:val="left"/>
      <w:pPr>
        <w:ind w:left="3240" w:firstLine="0"/>
      </w:pPr>
      <w:rPr>
        <w:rFonts w:ascii="Arial" w:eastAsia="Arial" w:hAnsi="Arial" w:cs="Arial"/>
        <w:b w:val="0"/>
        <w:i w:val="0"/>
        <w:smallCaps w:val="0"/>
        <w:strike w:val="0"/>
        <w:color w:val="000000"/>
        <w:sz w:val="20"/>
        <w:szCs w:val="20"/>
        <w:u w:val="none"/>
        <w:vertAlign w:val="baseline"/>
      </w:rPr>
    </w:lvl>
    <w:lvl w:ilvl="5">
      <w:start w:val="1"/>
      <w:numFmt w:val="bullet"/>
      <w:lvlText w:val="■"/>
      <w:lvlJc w:val="left"/>
      <w:pPr>
        <w:ind w:left="3960" w:firstLine="0"/>
      </w:pPr>
      <w:rPr>
        <w:rFonts w:ascii="Arial" w:eastAsia="Arial" w:hAnsi="Arial" w:cs="Arial"/>
        <w:b w:val="0"/>
        <w:i w:val="0"/>
        <w:smallCaps w:val="0"/>
        <w:strike w:val="0"/>
        <w:color w:val="000000"/>
        <w:sz w:val="20"/>
        <w:szCs w:val="20"/>
        <w:u w:val="none"/>
        <w:vertAlign w:val="baseline"/>
      </w:rPr>
    </w:lvl>
    <w:lvl w:ilvl="6">
      <w:start w:val="1"/>
      <w:numFmt w:val="bullet"/>
      <w:lvlText w:val="●"/>
      <w:lvlJc w:val="left"/>
      <w:pPr>
        <w:ind w:left="4680" w:firstLine="0"/>
      </w:pPr>
      <w:rPr>
        <w:rFonts w:ascii="Arial" w:eastAsia="Arial" w:hAnsi="Arial" w:cs="Arial"/>
        <w:b w:val="0"/>
        <w:i w:val="0"/>
        <w:smallCaps w:val="0"/>
        <w:strike w:val="0"/>
        <w:color w:val="000000"/>
        <w:sz w:val="20"/>
        <w:szCs w:val="20"/>
        <w:u w:val="none"/>
        <w:vertAlign w:val="baseline"/>
      </w:rPr>
    </w:lvl>
    <w:lvl w:ilvl="7">
      <w:start w:val="1"/>
      <w:numFmt w:val="bullet"/>
      <w:lvlText w:val="○"/>
      <w:lvlJc w:val="left"/>
      <w:pPr>
        <w:ind w:left="5400" w:firstLine="0"/>
      </w:pPr>
      <w:rPr>
        <w:rFonts w:ascii="Arial" w:eastAsia="Arial" w:hAnsi="Arial" w:cs="Arial"/>
        <w:b w:val="0"/>
        <w:i w:val="0"/>
        <w:smallCaps w:val="0"/>
        <w:strike w:val="0"/>
        <w:color w:val="000000"/>
        <w:sz w:val="20"/>
        <w:szCs w:val="20"/>
        <w:u w:val="none"/>
        <w:vertAlign w:val="baseline"/>
      </w:rPr>
    </w:lvl>
    <w:lvl w:ilvl="8">
      <w:start w:val="1"/>
      <w:numFmt w:val="bullet"/>
      <w:lvlText w:val="■"/>
      <w:lvlJc w:val="left"/>
      <w:pPr>
        <w:ind w:left="6120" w:firstLine="0"/>
      </w:pPr>
      <w:rPr>
        <w:rFonts w:ascii="Arial" w:eastAsia="Arial" w:hAnsi="Arial" w:cs="Arial"/>
        <w:b w:val="0"/>
        <w:i w:val="0"/>
        <w:smallCaps w:val="0"/>
        <w:strike w:val="0"/>
        <w:color w:val="000000"/>
        <w:sz w:val="20"/>
        <w:szCs w:val="20"/>
        <w:u w:val="none"/>
        <w:vertAlign w:val="baseline"/>
      </w:rPr>
    </w:lvl>
  </w:abstractNum>
  <w:abstractNum w:abstractNumId="16" w15:restartNumberingAfterBreak="0">
    <w:nsid w:val="751B5819"/>
    <w:multiLevelType w:val="multilevel"/>
    <w:tmpl w:val="17F686FC"/>
    <w:lvl w:ilvl="0">
      <w:start w:val="1"/>
      <w:numFmt w:val="decimal"/>
      <w:lvlText w:val="%1."/>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szCs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szCs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szCs w:val="22"/>
        <w:u w:val="none"/>
        <w:vertAlign w:val="baseline"/>
      </w:rPr>
    </w:lvl>
  </w:abstractNum>
  <w:abstractNum w:abstractNumId="17" w15:restartNumberingAfterBreak="0">
    <w:nsid w:val="7D2A04B3"/>
    <w:multiLevelType w:val="multilevel"/>
    <w:tmpl w:val="C854C08E"/>
    <w:lvl w:ilvl="0">
      <w:start w:val="1"/>
      <w:numFmt w:val="decimal"/>
      <w:lvlText w:val="%1."/>
      <w:lvlJc w:val="left"/>
      <w:pPr>
        <w:ind w:left="720" w:firstLine="1080"/>
      </w:pPr>
      <w:rPr>
        <w:rFonts w:ascii="Arial" w:eastAsia="Arial" w:hAnsi="Arial" w:cs="Arial"/>
        <w:b w:val="0"/>
        <w:i w:val="0"/>
        <w:smallCaps w:val="0"/>
        <w:strike w:val="0"/>
        <w:color w:val="000000"/>
        <w:sz w:val="20"/>
        <w:szCs w:val="20"/>
        <w:u w:val="none"/>
        <w:vertAlign w:val="baseline"/>
      </w:rPr>
    </w:lvl>
    <w:lvl w:ilvl="1">
      <w:start w:val="1"/>
      <w:numFmt w:val="lowerLetter"/>
      <w:lvlText w:val="%2."/>
      <w:lvlJc w:val="left"/>
      <w:pPr>
        <w:ind w:left="1440" w:firstLine="2520"/>
      </w:pPr>
      <w:rPr>
        <w:rFonts w:ascii="Arial" w:eastAsia="Arial" w:hAnsi="Arial" w:cs="Arial"/>
        <w:b w:val="0"/>
        <w:i w:val="0"/>
        <w:smallCaps w:val="0"/>
        <w:strike w:val="0"/>
        <w:color w:val="000000"/>
        <w:sz w:val="20"/>
        <w:szCs w:val="20"/>
        <w:u w:val="none"/>
        <w:vertAlign w:val="baseline"/>
      </w:rPr>
    </w:lvl>
    <w:lvl w:ilvl="2">
      <w:start w:val="1"/>
      <w:numFmt w:val="lowerRoman"/>
      <w:lvlText w:val="%3."/>
      <w:lvlJc w:val="left"/>
      <w:pPr>
        <w:ind w:left="2160" w:firstLine="3960"/>
      </w:pPr>
      <w:rPr>
        <w:rFonts w:ascii="Arial" w:eastAsia="Arial" w:hAnsi="Arial" w:cs="Arial"/>
        <w:b w:val="0"/>
        <w:i w:val="0"/>
        <w:smallCaps w:val="0"/>
        <w:strike w:val="0"/>
        <w:color w:val="000000"/>
        <w:sz w:val="20"/>
        <w:szCs w:val="20"/>
        <w:u w:val="none"/>
        <w:vertAlign w:val="baseline"/>
      </w:rPr>
    </w:lvl>
    <w:lvl w:ilvl="3">
      <w:start w:val="1"/>
      <w:numFmt w:val="decimal"/>
      <w:lvlText w:val="%4."/>
      <w:lvlJc w:val="left"/>
      <w:pPr>
        <w:ind w:left="2880" w:firstLine="5400"/>
      </w:pPr>
      <w:rPr>
        <w:rFonts w:ascii="Arial" w:eastAsia="Arial" w:hAnsi="Arial" w:cs="Arial"/>
        <w:b w:val="0"/>
        <w:i w:val="0"/>
        <w:smallCaps w:val="0"/>
        <w:strike w:val="0"/>
        <w:color w:val="000000"/>
        <w:sz w:val="20"/>
        <w:szCs w:val="20"/>
        <w:u w:val="none"/>
        <w:vertAlign w:val="baseline"/>
      </w:rPr>
    </w:lvl>
    <w:lvl w:ilvl="4">
      <w:start w:val="1"/>
      <w:numFmt w:val="lowerLetter"/>
      <w:lvlText w:val="%5."/>
      <w:lvlJc w:val="left"/>
      <w:pPr>
        <w:ind w:left="3600" w:firstLine="6840"/>
      </w:pPr>
      <w:rPr>
        <w:rFonts w:ascii="Arial" w:eastAsia="Arial" w:hAnsi="Arial" w:cs="Arial"/>
        <w:b w:val="0"/>
        <w:i w:val="0"/>
        <w:smallCaps w:val="0"/>
        <w:strike w:val="0"/>
        <w:color w:val="000000"/>
        <w:sz w:val="20"/>
        <w:szCs w:val="20"/>
        <w:u w:val="none"/>
        <w:vertAlign w:val="baseline"/>
      </w:rPr>
    </w:lvl>
    <w:lvl w:ilvl="5">
      <w:start w:val="1"/>
      <w:numFmt w:val="lowerRoman"/>
      <w:lvlText w:val="%6."/>
      <w:lvlJc w:val="left"/>
      <w:pPr>
        <w:ind w:left="4320" w:firstLine="8280"/>
      </w:pPr>
      <w:rPr>
        <w:rFonts w:ascii="Arial" w:eastAsia="Arial" w:hAnsi="Arial" w:cs="Arial"/>
        <w:b w:val="0"/>
        <w:i w:val="0"/>
        <w:smallCaps w:val="0"/>
        <w:strike w:val="0"/>
        <w:color w:val="000000"/>
        <w:sz w:val="20"/>
        <w:szCs w:val="20"/>
        <w:u w:val="none"/>
        <w:vertAlign w:val="baseline"/>
      </w:rPr>
    </w:lvl>
    <w:lvl w:ilvl="6">
      <w:start w:val="1"/>
      <w:numFmt w:val="decimal"/>
      <w:lvlText w:val="%7."/>
      <w:lvlJc w:val="left"/>
      <w:pPr>
        <w:ind w:left="5040" w:firstLine="9720"/>
      </w:pPr>
      <w:rPr>
        <w:rFonts w:ascii="Arial" w:eastAsia="Arial" w:hAnsi="Arial" w:cs="Arial"/>
        <w:b w:val="0"/>
        <w:i w:val="0"/>
        <w:smallCaps w:val="0"/>
        <w:strike w:val="0"/>
        <w:color w:val="000000"/>
        <w:sz w:val="20"/>
        <w:szCs w:val="20"/>
        <w:u w:val="none"/>
        <w:vertAlign w:val="baseline"/>
      </w:rPr>
    </w:lvl>
    <w:lvl w:ilvl="7">
      <w:start w:val="1"/>
      <w:numFmt w:val="lowerLetter"/>
      <w:lvlText w:val="%8."/>
      <w:lvlJc w:val="left"/>
      <w:pPr>
        <w:ind w:left="5760" w:firstLine="11160"/>
      </w:pPr>
      <w:rPr>
        <w:rFonts w:ascii="Arial" w:eastAsia="Arial" w:hAnsi="Arial" w:cs="Arial"/>
        <w:b w:val="0"/>
        <w:i w:val="0"/>
        <w:smallCaps w:val="0"/>
        <w:strike w:val="0"/>
        <w:color w:val="000000"/>
        <w:sz w:val="20"/>
        <w:szCs w:val="20"/>
        <w:u w:val="none"/>
        <w:vertAlign w:val="baseline"/>
      </w:rPr>
    </w:lvl>
    <w:lvl w:ilvl="8">
      <w:start w:val="1"/>
      <w:numFmt w:val="lowerRoman"/>
      <w:lvlText w:val="%9."/>
      <w:lvlJc w:val="left"/>
      <w:pPr>
        <w:ind w:left="6480" w:firstLine="12600"/>
      </w:pPr>
      <w:rPr>
        <w:rFonts w:ascii="Arial" w:eastAsia="Arial" w:hAnsi="Arial" w:cs="Arial"/>
        <w:b w:val="0"/>
        <w:i w:val="0"/>
        <w:smallCaps w:val="0"/>
        <w:strike w:val="0"/>
        <w:color w:val="000000"/>
        <w:sz w:val="20"/>
        <w:szCs w:val="20"/>
        <w:u w:val="none"/>
        <w:vertAlign w:val="baseline"/>
      </w:rPr>
    </w:lvl>
  </w:abstractNum>
  <w:num w:numId="1">
    <w:abstractNumId w:val="5"/>
  </w:num>
  <w:num w:numId="2">
    <w:abstractNumId w:val="3"/>
  </w:num>
  <w:num w:numId="3">
    <w:abstractNumId w:val="14"/>
  </w:num>
  <w:num w:numId="4">
    <w:abstractNumId w:val="12"/>
  </w:num>
  <w:num w:numId="5">
    <w:abstractNumId w:val="13"/>
  </w:num>
  <w:num w:numId="6">
    <w:abstractNumId w:val="7"/>
  </w:num>
  <w:num w:numId="7">
    <w:abstractNumId w:val="8"/>
  </w:num>
  <w:num w:numId="8">
    <w:abstractNumId w:val="9"/>
  </w:num>
  <w:num w:numId="9">
    <w:abstractNumId w:val="17"/>
  </w:num>
  <w:num w:numId="10">
    <w:abstractNumId w:val="6"/>
  </w:num>
  <w:num w:numId="11">
    <w:abstractNumId w:val="15"/>
  </w:num>
  <w:num w:numId="12">
    <w:abstractNumId w:val="16"/>
  </w:num>
  <w:num w:numId="13">
    <w:abstractNumId w:val="0"/>
  </w:num>
  <w:num w:numId="14">
    <w:abstractNumId w:val="4"/>
  </w:num>
  <w:num w:numId="15">
    <w:abstractNumId w:val="2"/>
  </w:num>
  <w:num w:numId="16">
    <w:abstractNumId w:val="11"/>
  </w:num>
  <w:num w:numId="17">
    <w:abstractNumId w:val="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1E7"/>
    <w:rsid w:val="00111F12"/>
    <w:rsid w:val="006A51BB"/>
    <w:rsid w:val="008B1610"/>
    <w:rsid w:val="00B254FC"/>
    <w:rsid w:val="00F471E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90B884-CFB1-489A-A847-E41FDB213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cs-CZ" w:eastAsia="cs-CZ" w:bidi="ar-SA"/>
      </w:rPr>
    </w:rPrDefault>
    <w:pPrDefault>
      <w:pPr>
        <w:widowControl w:val="0"/>
        <w:spacing w:line="276" w:lineRule="auto"/>
        <w:contextualSpacing/>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basedOn w:val="Normln"/>
    <w:next w:val="Normln"/>
    <w:pPr>
      <w:spacing w:before="480" w:after="120"/>
      <w:outlineLvl w:val="0"/>
    </w:pPr>
    <w:rPr>
      <w:b/>
      <w:sz w:val="36"/>
      <w:szCs w:val="36"/>
    </w:rPr>
  </w:style>
  <w:style w:type="paragraph" w:styleId="Nadpis2">
    <w:name w:val="heading 2"/>
    <w:basedOn w:val="Normln"/>
    <w:next w:val="Normln"/>
    <w:pPr>
      <w:spacing w:before="360" w:after="80"/>
      <w:outlineLvl w:val="1"/>
    </w:pPr>
    <w:rPr>
      <w:b/>
      <w:sz w:val="28"/>
      <w:szCs w:val="28"/>
    </w:rPr>
  </w:style>
  <w:style w:type="paragraph" w:styleId="Nadpis3">
    <w:name w:val="heading 3"/>
    <w:basedOn w:val="Normln"/>
    <w:next w:val="Normln"/>
    <w:pPr>
      <w:spacing w:before="280" w:after="80"/>
      <w:outlineLvl w:val="2"/>
    </w:pPr>
    <w:rPr>
      <w:b/>
      <w:color w:val="666666"/>
      <w:sz w:val="24"/>
      <w:szCs w:val="24"/>
    </w:rPr>
  </w:style>
  <w:style w:type="paragraph" w:styleId="Nadpis4">
    <w:name w:val="heading 4"/>
    <w:basedOn w:val="Normln"/>
    <w:next w:val="Normln"/>
    <w:pPr>
      <w:spacing w:before="240" w:after="40"/>
      <w:outlineLvl w:val="3"/>
    </w:pPr>
    <w:rPr>
      <w:i/>
      <w:color w:val="666666"/>
    </w:rPr>
  </w:style>
  <w:style w:type="paragraph" w:styleId="Nadpis5">
    <w:name w:val="heading 5"/>
    <w:basedOn w:val="Normln"/>
    <w:next w:val="Normln"/>
    <w:pPr>
      <w:spacing w:before="220" w:after="40"/>
      <w:outlineLvl w:val="4"/>
    </w:pPr>
    <w:rPr>
      <w:b/>
      <w:color w:val="666666"/>
      <w:sz w:val="20"/>
      <w:szCs w:val="20"/>
    </w:rPr>
  </w:style>
  <w:style w:type="paragraph" w:styleId="Nadpis6">
    <w:name w:val="heading 6"/>
    <w:basedOn w:val="Normln"/>
    <w:next w:val="Normln"/>
    <w:pPr>
      <w:spacing w:before="200" w:after="40"/>
      <w:outlineLvl w:val="5"/>
    </w:pPr>
    <w:rPr>
      <w:i/>
      <w:color w:val="666666"/>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spacing w:before="480" w:after="120"/>
    </w:pPr>
    <w:rPr>
      <w:b/>
      <w:sz w:val="72"/>
      <w:szCs w:val="72"/>
    </w:rPr>
  </w:style>
  <w:style w:type="paragraph" w:styleId="Podnadpis">
    <w:name w:val="Subtitle"/>
    <w:basedOn w:val="Normln"/>
    <w:next w:val="Normln"/>
    <w:pPr>
      <w:spacing w:before="360" w:after="80"/>
    </w:pPr>
    <w:rPr>
      <w:rFonts w:ascii="Georgia" w:eastAsia="Georgia" w:hAnsi="Georgia" w:cs="Georgia"/>
      <w:i/>
      <w:color w:val="666666"/>
      <w:sz w:val="48"/>
      <w:szCs w:val="48"/>
    </w:rPr>
  </w:style>
  <w:style w:type="paragraph" w:styleId="Zhlav">
    <w:name w:val="header"/>
    <w:basedOn w:val="Normln"/>
    <w:link w:val="ZhlavChar"/>
    <w:uiPriority w:val="99"/>
    <w:unhideWhenUsed/>
    <w:rsid w:val="00B254FC"/>
    <w:pPr>
      <w:tabs>
        <w:tab w:val="center" w:pos="4536"/>
        <w:tab w:val="right" w:pos="9072"/>
      </w:tabs>
      <w:spacing w:line="240" w:lineRule="auto"/>
    </w:pPr>
  </w:style>
  <w:style w:type="character" w:customStyle="1" w:styleId="ZhlavChar">
    <w:name w:val="Záhlaví Char"/>
    <w:basedOn w:val="Standardnpsmoodstavce"/>
    <w:link w:val="Zhlav"/>
    <w:uiPriority w:val="99"/>
    <w:rsid w:val="00B254FC"/>
  </w:style>
  <w:style w:type="paragraph" w:styleId="Zpat">
    <w:name w:val="footer"/>
    <w:basedOn w:val="Normln"/>
    <w:link w:val="ZpatChar"/>
    <w:uiPriority w:val="99"/>
    <w:unhideWhenUsed/>
    <w:rsid w:val="00B254FC"/>
    <w:pPr>
      <w:tabs>
        <w:tab w:val="center" w:pos="4536"/>
        <w:tab w:val="right" w:pos="9072"/>
      </w:tabs>
      <w:spacing w:line="240" w:lineRule="auto"/>
    </w:pPr>
  </w:style>
  <w:style w:type="character" w:customStyle="1" w:styleId="ZpatChar">
    <w:name w:val="Zápatí Char"/>
    <w:basedOn w:val="Standardnpsmoodstavce"/>
    <w:link w:val="Zpat"/>
    <w:uiPriority w:val="99"/>
    <w:rsid w:val="00B254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odpora@enlogit.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4280</Words>
  <Characters>25255</Characters>
  <Application>Microsoft Office Word</Application>
  <DocSecurity>0</DocSecurity>
  <Lines>210</Lines>
  <Paragraphs>58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Janča</dc:creator>
  <cp:lastModifiedBy>Jana</cp:lastModifiedBy>
  <cp:revision>2</cp:revision>
  <dcterms:created xsi:type="dcterms:W3CDTF">2017-02-07T06:57:00Z</dcterms:created>
  <dcterms:modified xsi:type="dcterms:W3CDTF">2017-02-07T06:57:00Z</dcterms:modified>
</cp:coreProperties>
</file>