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81" w:rsidRDefault="00F426A7">
      <w:pPr>
        <w:pStyle w:val="Zkladntext20"/>
        <w:shd w:val="clear" w:color="auto" w:fill="auto"/>
        <w:tabs>
          <w:tab w:val="left" w:pos="3374"/>
        </w:tabs>
      </w:pPr>
      <w:bookmarkStart w:id="0" w:name="_GoBack"/>
      <w:bookmarkEnd w:id="0"/>
      <w:r>
        <w:t>Zákazník:</w:t>
      </w:r>
      <w:r>
        <w:tab/>
        <w:t>Vodárna Káraný, a.s.</w:t>
      </w:r>
    </w:p>
    <w:p w:rsidR="00E16E81" w:rsidRDefault="00F426A7">
      <w:pPr>
        <w:pStyle w:val="Zkladntext20"/>
        <w:shd w:val="clear" w:color="auto" w:fill="auto"/>
        <w:tabs>
          <w:tab w:val="left" w:pos="3374"/>
        </w:tabs>
      </w:pPr>
      <w:r>
        <w:t>IČO:</w:t>
      </w:r>
      <w:r>
        <w:tab/>
        <w:t>29148995</w:t>
      </w:r>
    </w:p>
    <w:p w:rsidR="00E16E81" w:rsidRDefault="00F426A7">
      <w:pPr>
        <w:pStyle w:val="Zkladntext20"/>
        <w:shd w:val="clear" w:color="auto" w:fill="auto"/>
        <w:tabs>
          <w:tab w:val="left" w:pos="3374"/>
          <w:tab w:val="center" w:pos="5619"/>
          <w:tab w:val="right" w:pos="6235"/>
        </w:tabs>
      </w:pPr>
      <w:r>
        <w:t>Sídlo:</w:t>
      </w:r>
      <w:r>
        <w:tab/>
        <w:t>Žatecká 110/2, 110 00</w:t>
      </w:r>
      <w:r>
        <w:tab/>
        <w:t>Praha</w:t>
      </w:r>
      <w:r>
        <w:tab/>
        <w:t>1 - Staré Město</w:t>
      </w:r>
    </w:p>
    <w:p w:rsidR="00E16E81" w:rsidRDefault="00F426A7">
      <w:pPr>
        <w:pStyle w:val="Zkladntext20"/>
        <w:shd w:val="clear" w:color="auto" w:fill="auto"/>
        <w:tabs>
          <w:tab w:val="left" w:pos="3374"/>
          <w:tab w:val="center" w:pos="5784"/>
          <w:tab w:val="right" w:pos="7262"/>
        </w:tabs>
        <w:spacing w:after="342"/>
      </w:pPr>
      <w:r>
        <w:t>Provozovna:</w:t>
      </w:r>
      <w:r>
        <w:tab/>
        <w:t>Úpravna vody Sojovice,</w:t>
      </w:r>
      <w:r>
        <w:tab/>
        <w:t>250 75</w:t>
      </w:r>
      <w:r>
        <w:tab/>
        <w:t>Káraný 200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4"/>
        <w:gridCol w:w="1805"/>
      </w:tblGrid>
      <w:tr w:rsidR="00E16E8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  <w:ind w:right="220"/>
              <w:jc w:val="right"/>
            </w:pPr>
            <w:r>
              <w:rPr>
                <w:rStyle w:val="Zkladntext21"/>
                <w:b/>
                <w:bCs/>
              </w:rPr>
              <w:t>Nabídková cena na zpracování směrnic pro Vodárnu Káraný, a.s.</w:t>
            </w:r>
          </w:p>
        </w:tc>
        <w:tc>
          <w:tcPr>
            <w:tcW w:w="1805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B"/>
          </w:tcPr>
          <w:p w:rsidR="00E16E81" w:rsidRDefault="00E16E81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6E8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</w:pPr>
            <w:r>
              <w:rPr>
                <w:rStyle w:val="Zkladntext21"/>
                <w:b/>
                <w:bCs/>
              </w:rPr>
              <w:t xml:space="preserve">a) Směrnice pro výkon služby fyzické </w:t>
            </w:r>
            <w:r>
              <w:rPr>
                <w:rStyle w:val="Zkladntext21"/>
                <w:b/>
                <w:bCs/>
              </w:rPr>
              <w:t>ostrahy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  <w:ind w:left="280"/>
              <w:jc w:val="left"/>
            </w:pPr>
            <w:r>
              <w:rPr>
                <w:rStyle w:val="Zkladntext21"/>
                <w:b/>
                <w:bCs/>
              </w:rPr>
              <w:t>Cena bez DPH</w:t>
            </w:r>
          </w:p>
        </w:tc>
      </w:tr>
      <w:tr w:rsidR="00E16E81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Povinnosti služby fyzické ostrahy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Zabezpečení vrátnice a udržování pořádku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Kontrolní obchůzková činnost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Způsob předávání směny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Způsob hlášení incidentů / mimořádných událostí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  <w:jc w:val="right"/>
            </w:pPr>
            <w:r>
              <w:rPr>
                <w:rStyle w:val="Zkladntext21"/>
                <w:b/>
                <w:bCs/>
              </w:rPr>
              <w:t>37 200 Kč</w:t>
            </w:r>
          </w:p>
        </w:tc>
      </w:tr>
      <w:tr w:rsidR="00E16E8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</w:pPr>
            <w:r>
              <w:rPr>
                <w:rStyle w:val="Zkladntext21"/>
                <w:b/>
                <w:bCs/>
              </w:rPr>
              <w:t>b) Směrnice klíčového hospodářství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  <w:ind w:left="280"/>
              <w:jc w:val="left"/>
            </w:pPr>
            <w:r>
              <w:rPr>
                <w:rStyle w:val="Zkladntext21"/>
                <w:b/>
                <w:bCs/>
              </w:rPr>
              <w:t>Cena bez DPH</w:t>
            </w:r>
          </w:p>
        </w:tc>
      </w:tr>
      <w:tr w:rsidR="00E16E81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Určení odpovědnosti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Režim uložení rezervních klíčů - fyzická ostraha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Režim ukládání a výdeje rezervních klíčů - fyzická ostraha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Postup při ztrátě nebo odcizení klíče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Postup při výrobě klíče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Evidence vydaných klíčů - zaměstnanci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  <w:jc w:val="right"/>
            </w:pPr>
            <w:r>
              <w:rPr>
                <w:rStyle w:val="Zkladntext21"/>
                <w:b/>
                <w:bCs/>
              </w:rPr>
              <w:t>22 000 Kč</w:t>
            </w:r>
          </w:p>
        </w:tc>
      </w:tr>
      <w:tr w:rsidR="00E16E8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</w:pPr>
            <w:r>
              <w:rPr>
                <w:rStyle w:val="Zkladntext21"/>
                <w:b/>
                <w:bCs/>
              </w:rPr>
              <w:t xml:space="preserve">c) Směrnice </w:t>
            </w:r>
            <w:r>
              <w:rPr>
                <w:rStyle w:val="Zkladntext21"/>
                <w:b/>
                <w:bCs/>
              </w:rPr>
              <w:t>postupů pro řešení mimořádných událostí - fyzická ostraha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  <w:ind w:left="280"/>
              <w:jc w:val="left"/>
            </w:pPr>
            <w:r>
              <w:rPr>
                <w:rStyle w:val="Zkladntext21"/>
                <w:b/>
                <w:bCs/>
              </w:rPr>
              <w:t>Cena bez DPH</w:t>
            </w:r>
          </w:p>
        </w:tc>
      </w:tr>
      <w:tr w:rsidR="00E16E81">
        <w:tblPrEx>
          <w:tblCellMar>
            <w:top w:w="0" w:type="dxa"/>
            <w:bottom w:w="0" w:type="dxa"/>
          </w:tblCellMar>
        </w:tblPrEx>
        <w:trPr>
          <w:trHeight w:hRule="exact" w:val="2338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Požár v objektu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Vniknutí / narušení / vloupání do objektu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Krádež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Pohyb cizí osoby v místech, kde nemá povolený přístup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Agresivní osoba v areálu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 xml:space="preserve">Osoba pod vlivem alkoholu nebo jiné </w:t>
            </w:r>
            <w:r>
              <w:rPr>
                <w:rStyle w:val="Zkladntext21"/>
                <w:b/>
                <w:bCs/>
              </w:rPr>
              <w:t>návykové a psychotropní látky v areálu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Nahlášení / nalezení výbušniny v objektu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Havárie v objektu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  <w:jc w:val="right"/>
            </w:pPr>
            <w:r>
              <w:rPr>
                <w:rStyle w:val="Zkladntext21"/>
                <w:b/>
                <w:bCs/>
              </w:rPr>
              <w:t>37 200 Kč</w:t>
            </w:r>
          </w:p>
        </w:tc>
      </w:tr>
      <w:tr w:rsidR="00E16E8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</w:pPr>
            <w:r>
              <w:rPr>
                <w:rStyle w:val="Zkladntext21"/>
                <w:b/>
                <w:bCs/>
              </w:rPr>
              <w:t>Celková cena bez DPH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B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  <w:jc w:val="right"/>
            </w:pPr>
            <w:r>
              <w:rPr>
                <w:rStyle w:val="Zkladntext21"/>
                <w:b/>
                <w:bCs/>
              </w:rPr>
              <w:t>96 400 Kč</w:t>
            </w:r>
          </w:p>
        </w:tc>
      </w:tr>
      <w:tr w:rsidR="00E16E8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tabs>
                <w:tab w:val="left" w:pos="7589"/>
              </w:tabs>
              <w:spacing w:line="268" w:lineRule="exact"/>
            </w:pPr>
            <w:r>
              <w:rPr>
                <w:rStyle w:val="Zkladntext21"/>
                <w:b/>
                <w:bCs/>
              </w:rPr>
              <w:t>DPH</w:t>
            </w:r>
            <w:r>
              <w:rPr>
                <w:rStyle w:val="Zkladntext21"/>
                <w:b/>
                <w:bCs/>
              </w:rPr>
              <w:tab/>
              <w:t>21%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  <w:jc w:val="right"/>
            </w:pPr>
            <w:r>
              <w:rPr>
                <w:rStyle w:val="Zkladntext21"/>
                <w:b/>
                <w:bCs/>
              </w:rPr>
              <w:t>20 244 Kč</w:t>
            </w:r>
          </w:p>
        </w:tc>
      </w:tr>
      <w:tr w:rsidR="00E16E8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</w:pPr>
            <w:r>
              <w:rPr>
                <w:rStyle w:val="Zkladntext21"/>
                <w:b/>
                <w:bCs/>
              </w:rPr>
              <w:t>Celková cena včetně DPH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line="268" w:lineRule="exact"/>
              <w:jc w:val="right"/>
            </w:pPr>
            <w:r>
              <w:rPr>
                <w:rStyle w:val="Zkladntext21"/>
                <w:b/>
                <w:bCs/>
              </w:rPr>
              <w:t>116 644 Kč</w:t>
            </w:r>
          </w:p>
        </w:tc>
      </w:tr>
      <w:tr w:rsidR="00E16E81">
        <w:tblPrEx>
          <w:tblCellMar>
            <w:top w:w="0" w:type="dxa"/>
            <w:bottom w:w="0" w:type="dxa"/>
          </w:tblCellMar>
        </w:tblPrEx>
        <w:trPr>
          <w:trHeight w:hRule="exact" w:val="3782"/>
          <w:jc w:val="center"/>
        </w:trPr>
        <w:tc>
          <w:tcPr>
            <w:tcW w:w="8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tabs>
                <w:tab w:val="left" w:pos="3360"/>
              </w:tabs>
              <w:spacing w:line="268" w:lineRule="exact"/>
            </w:pPr>
            <w:r>
              <w:rPr>
                <w:rStyle w:val="Zkladntext21"/>
                <w:b/>
                <w:bCs/>
              </w:rPr>
              <w:t>Zpracováno:</w:t>
            </w:r>
            <w:r>
              <w:rPr>
                <w:rStyle w:val="Zkladntext21"/>
                <w:b/>
                <w:bCs/>
              </w:rPr>
              <w:tab/>
              <w:t>31.07.2020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tabs>
                <w:tab w:val="left" w:pos="3350"/>
              </w:tabs>
              <w:spacing w:after="300" w:line="268" w:lineRule="exact"/>
            </w:pPr>
            <w:r>
              <w:rPr>
                <w:rStyle w:val="Zkladntext21"/>
                <w:b/>
                <w:bCs/>
              </w:rPr>
              <w:t>Platnost nabídky</w:t>
            </w:r>
            <w:r>
              <w:rPr>
                <w:rStyle w:val="Zkladntext21"/>
                <w:b/>
                <w:bCs/>
              </w:rPr>
              <w:tab/>
              <w:t>30 dnů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spacing w:before="300"/>
            </w:pPr>
            <w:r>
              <w:rPr>
                <w:rStyle w:val="Zkladntext21"/>
                <w:b/>
                <w:bCs/>
              </w:rPr>
              <w:t>Dodavatel: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Datis s.r.o.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Chvalova 1577/12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</w:pPr>
            <w:r>
              <w:rPr>
                <w:rStyle w:val="Zkladntext21"/>
                <w:b/>
                <w:bCs/>
              </w:rPr>
              <w:t>130 00 Praha 3 - Žižkov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tabs>
                <w:tab w:val="left" w:pos="3350"/>
              </w:tabs>
            </w:pPr>
            <w:r>
              <w:rPr>
                <w:rStyle w:val="Zkladntext21"/>
                <w:b/>
                <w:bCs/>
              </w:rPr>
              <w:t>IČO:</w:t>
            </w:r>
            <w:r>
              <w:rPr>
                <w:rStyle w:val="Zkladntext21"/>
                <w:b/>
                <w:bCs/>
              </w:rPr>
              <w:tab/>
              <w:t>27630789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tabs>
                <w:tab w:val="left" w:pos="3350"/>
              </w:tabs>
            </w:pPr>
            <w:r>
              <w:rPr>
                <w:rStyle w:val="Zkladntext21"/>
                <w:b/>
                <w:bCs/>
              </w:rPr>
              <w:t>DIČ:</w:t>
            </w:r>
            <w:r>
              <w:rPr>
                <w:rStyle w:val="Zkladntext21"/>
                <w:b/>
                <w:bCs/>
              </w:rPr>
              <w:tab/>
              <w:t>CZ27630790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tabs>
                <w:tab w:val="left" w:pos="3355"/>
              </w:tabs>
            </w:pPr>
            <w:r>
              <w:rPr>
                <w:rStyle w:val="Zkladntext21"/>
                <w:b/>
                <w:bCs/>
              </w:rPr>
              <w:t>splatnost faktury:</w:t>
            </w:r>
            <w:r>
              <w:rPr>
                <w:rStyle w:val="Zkladntext21"/>
                <w:b/>
                <w:bCs/>
              </w:rPr>
              <w:tab/>
              <w:t>14 dnů</w:t>
            </w:r>
          </w:p>
          <w:p w:rsidR="00E16E81" w:rsidRDefault="00F426A7">
            <w:pPr>
              <w:pStyle w:val="Zkladntext20"/>
              <w:framePr w:w="9859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  <w:b/>
                <w:bCs/>
              </w:rPr>
              <w:t>Ing. Radim Matěja jednatel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E16E81" w:rsidRDefault="00E16E81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16E81" w:rsidRDefault="00E16E81">
      <w:pPr>
        <w:framePr w:w="9859" w:wrap="notBeside" w:vAnchor="text" w:hAnchor="text" w:xAlign="center" w:y="1"/>
        <w:rPr>
          <w:sz w:val="2"/>
          <w:szCs w:val="2"/>
        </w:rPr>
      </w:pPr>
    </w:p>
    <w:p w:rsidR="00E16E81" w:rsidRDefault="00E16E81">
      <w:pPr>
        <w:rPr>
          <w:sz w:val="2"/>
          <w:szCs w:val="2"/>
        </w:rPr>
      </w:pPr>
    </w:p>
    <w:p w:rsidR="00E16E81" w:rsidRDefault="00E16E81">
      <w:pPr>
        <w:rPr>
          <w:sz w:val="2"/>
          <w:szCs w:val="2"/>
        </w:rPr>
      </w:pPr>
    </w:p>
    <w:sectPr w:rsidR="00E16E81">
      <w:pgSz w:w="11900" w:h="16840"/>
      <w:pgMar w:top="1129" w:right="1026" w:bottom="1129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6A7" w:rsidRDefault="00F426A7">
      <w:r>
        <w:separator/>
      </w:r>
    </w:p>
  </w:endnote>
  <w:endnote w:type="continuationSeparator" w:id="0">
    <w:p w:rsidR="00F426A7" w:rsidRDefault="00F4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6A7" w:rsidRDefault="00F426A7"/>
  </w:footnote>
  <w:footnote w:type="continuationSeparator" w:id="0">
    <w:p w:rsidR="00F426A7" w:rsidRDefault="00F426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81"/>
    <w:rsid w:val="003D46C2"/>
    <w:rsid w:val="00E16E81"/>
    <w:rsid w:val="00F4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2CB4B-D64D-4697-8B65-2D023C5B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6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6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Šandová Martina</dc:creator>
  <cp:lastModifiedBy>Šandová Martina</cp:lastModifiedBy>
  <cp:revision>1</cp:revision>
  <cp:lastPrinted>2020-08-26T09:37:00Z</cp:lastPrinted>
  <dcterms:created xsi:type="dcterms:W3CDTF">2020-08-26T09:36:00Z</dcterms:created>
  <dcterms:modified xsi:type="dcterms:W3CDTF">2020-08-26T09:37:00Z</dcterms:modified>
</cp:coreProperties>
</file>