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r w:rsidR="00182B40" w:rsidRPr="00182B40">
        <w:rPr>
          <w:b/>
          <w:bCs/>
          <w:color w:val="000000"/>
          <w:sz w:val="32"/>
          <w:szCs w:val="32"/>
          <w:u w:val="thick"/>
        </w:rPr>
        <w:t xml:space="preserve">České Budějovice - Budova PO - rekonstrukce vnitřních prostor pro </w:t>
      </w:r>
      <w:proofErr w:type="gramStart"/>
      <w:r w:rsidR="00182B40" w:rsidRPr="00182B40">
        <w:rPr>
          <w:b/>
          <w:bCs/>
          <w:color w:val="000000"/>
          <w:sz w:val="32"/>
          <w:szCs w:val="32"/>
          <w:u w:val="thick"/>
        </w:rPr>
        <w:t>ZAP</w:t>
      </w:r>
      <w:proofErr w:type="gramEnd"/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p w:rsidR="00182B40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Montáž výdejního okénka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</w:pPr>
      <w:r>
        <w:t>Montáž výdejního okénka do nově vzniklé SDK stěny ve stávajícím dveřním otvoru mezi místnostmi 3P25 a 3P26</w:t>
      </w:r>
    </w:p>
    <w:p w:rsidR="00182B40" w:rsidRDefault="00182B40" w:rsidP="00182B40">
      <w:pPr>
        <w:outlineLvl w:val="0"/>
        <w:rPr>
          <w:b/>
          <w:u w:val="single"/>
        </w:rPr>
      </w:pPr>
    </w:p>
    <w:p w:rsidR="00182B40" w:rsidRPr="0094285D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Kuchyňská linka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</w:pPr>
      <w:r>
        <w:t>Montáž kuchyňské linky se dřezem a baterií</w:t>
      </w:r>
    </w:p>
    <w:p w:rsidR="00182B40" w:rsidRDefault="00182B40" w:rsidP="00182B40">
      <w:pPr>
        <w:outlineLvl w:val="0"/>
      </w:pPr>
    </w:p>
    <w:p w:rsidR="00182B40" w:rsidRPr="000F5ECE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Výměna svítidel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u w:val="single"/>
        </w:rPr>
      </w:pPr>
      <w:r>
        <w:t xml:space="preserve">Výměna stávajících svítidel v místnosti 3P03 za nová interiérová zářivková svítidla </w:t>
      </w:r>
    </w:p>
    <w:p w:rsidR="00182B40" w:rsidRDefault="00182B40" w:rsidP="00182B40">
      <w:pPr>
        <w:outlineLvl w:val="0"/>
        <w:rPr>
          <w:b/>
          <w:u w:val="single"/>
        </w:rPr>
      </w:pPr>
    </w:p>
    <w:p w:rsidR="00182B40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Slaboproud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</w:pPr>
      <w:r>
        <w:t xml:space="preserve">Rozvod slaboproudé kabeláže ze </w:t>
      </w:r>
      <w:proofErr w:type="spellStart"/>
      <w:r>
        <w:t>serverovny</w:t>
      </w:r>
      <w:proofErr w:type="spellEnd"/>
      <w:r>
        <w:t xml:space="preserve"> z vedlejší budovy do místností 3P03, 3P08, 3P24, 3P25 a 3P26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</w:pPr>
      <w:r>
        <w:t xml:space="preserve">Datové </w:t>
      </w:r>
      <w:proofErr w:type="spellStart"/>
      <w:r>
        <w:t>jednozásuvky</w:t>
      </w:r>
      <w:proofErr w:type="spellEnd"/>
      <w:r>
        <w:t xml:space="preserve"> v 3P08 a 3P24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</w:pPr>
      <w:r>
        <w:t xml:space="preserve">Datové </w:t>
      </w:r>
      <w:proofErr w:type="spellStart"/>
      <w:r>
        <w:t>dvouzásuvky</w:t>
      </w:r>
      <w:proofErr w:type="spellEnd"/>
      <w:r>
        <w:t xml:space="preserve"> v 3P03,</w:t>
      </w:r>
      <w:r w:rsidRPr="00081BF3">
        <w:t xml:space="preserve"> </w:t>
      </w:r>
      <w:r>
        <w:t>3P25 a 3P26</w:t>
      </w:r>
    </w:p>
    <w:p w:rsidR="00182B40" w:rsidRDefault="00182B40" w:rsidP="00182B40">
      <w:pPr>
        <w:outlineLvl w:val="0"/>
        <w:rPr>
          <w:b/>
          <w:u w:val="single"/>
        </w:rPr>
      </w:pPr>
    </w:p>
    <w:p w:rsidR="00182B40" w:rsidRPr="00104D7D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Výměna podlahové krytiny</w:t>
      </w:r>
    </w:p>
    <w:p w:rsidR="00182B40" w:rsidRPr="00EC195D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u w:val="single"/>
        </w:rPr>
      </w:pPr>
      <w:r>
        <w:t>V místnostech 3P34, 3P03, 3P07, 3P24, 3P25 a 3P32 výměna stávajících podlahových krytin za PVC včetně lišt</w:t>
      </w:r>
    </w:p>
    <w:p w:rsidR="00182B40" w:rsidRDefault="00182B40" w:rsidP="00182B40">
      <w:pPr>
        <w:ind w:left="720"/>
        <w:outlineLvl w:val="0"/>
        <w:rPr>
          <w:b/>
          <w:u w:val="single"/>
        </w:rPr>
      </w:pPr>
    </w:p>
    <w:p w:rsidR="00182B40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Výmalba vnitřních stěn a stropů</w:t>
      </w:r>
    </w:p>
    <w:p w:rsidR="00182B40" w:rsidRPr="00B85D97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u w:val="single"/>
        </w:rPr>
      </w:pPr>
      <w:r w:rsidRPr="00B85D97">
        <w:t>Výmalba všech vnitřních řešených prostor, kromě 3P01 a části chodby 3P16</w:t>
      </w:r>
    </w:p>
    <w:p w:rsidR="00182B40" w:rsidRDefault="00182B40" w:rsidP="00182B40">
      <w:pPr>
        <w:outlineLvl w:val="0"/>
        <w:rPr>
          <w:b/>
          <w:u w:val="single"/>
        </w:rPr>
      </w:pPr>
    </w:p>
    <w:p w:rsidR="00182B40" w:rsidRPr="000F5ECE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Nátěr dveřních zárubní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u w:val="single"/>
        </w:rPr>
      </w:pPr>
      <w:r>
        <w:t>Nový nátěr dveřních zárubní</w:t>
      </w:r>
    </w:p>
    <w:p w:rsidR="00182B40" w:rsidRDefault="00182B40" w:rsidP="00182B40">
      <w:pPr>
        <w:outlineLvl w:val="0"/>
        <w:rPr>
          <w:b/>
          <w:u w:val="single"/>
        </w:rPr>
      </w:pPr>
    </w:p>
    <w:p w:rsidR="00182B40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Zasklení okna</w:t>
      </w:r>
      <w:r w:rsidRPr="00080570">
        <w:rPr>
          <w:b/>
          <w:u w:val="single"/>
        </w:rPr>
        <w:t xml:space="preserve"> a seřízení okenních křídel</w:t>
      </w:r>
    </w:p>
    <w:p w:rsidR="00182B40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u w:val="single"/>
        </w:rPr>
      </w:pPr>
      <w:r>
        <w:t>Platí pouze pro okna, která je nutné seřídit. Okno k zasklení je v 3P34</w:t>
      </w:r>
    </w:p>
    <w:p w:rsidR="00182B40" w:rsidRDefault="00182B40" w:rsidP="00182B40">
      <w:pPr>
        <w:outlineLvl w:val="0"/>
        <w:rPr>
          <w:b/>
          <w:u w:val="single"/>
        </w:rPr>
      </w:pPr>
    </w:p>
    <w:p w:rsidR="00182B40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Odstranění nefunkčních žaluzií a instalace nových</w:t>
      </w:r>
    </w:p>
    <w:p w:rsidR="00182B40" w:rsidRPr="00B85D97" w:rsidRDefault="00182B40" w:rsidP="00182B40">
      <w:pPr>
        <w:numPr>
          <w:ilvl w:val="0"/>
          <w:numId w:val="8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u w:val="single"/>
        </w:rPr>
      </w:pPr>
      <w:r>
        <w:t xml:space="preserve">V oknech s funkčními žaluziemi ponechat stávající, nefunkční odstranit a okna osadit novými. Rozměry jsou zaměřeny orientačně, rozdíl v počtu a typu použitých žaluzií se vyřeší formou </w:t>
      </w:r>
      <w:proofErr w:type="spellStart"/>
      <w:r>
        <w:t>méněprací</w:t>
      </w:r>
      <w:proofErr w:type="spellEnd"/>
    </w:p>
    <w:p w:rsidR="00182B40" w:rsidRPr="00B85D97" w:rsidRDefault="00182B40" w:rsidP="00182B40">
      <w:pPr>
        <w:outlineLvl w:val="0"/>
        <w:rPr>
          <w:b/>
          <w:u w:val="single"/>
        </w:rPr>
      </w:pPr>
    </w:p>
    <w:p w:rsidR="00182B40" w:rsidRDefault="00182B40" w:rsidP="00182B40">
      <w:pPr>
        <w:outlineLvl w:val="0"/>
        <w:rPr>
          <w:b/>
          <w:u w:val="single"/>
        </w:rPr>
      </w:pPr>
      <w:r>
        <w:rPr>
          <w:b/>
          <w:u w:val="single"/>
        </w:rPr>
        <w:t>Odvoz sutě a vybouraných hmot na skládku</w:t>
      </w:r>
    </w:p>
    <w:p w:rsidR="00182B40" w:rsidRDefault="00182B40" w:rsidP="00182B40">
      <w:pPr>
        <w:outlineLvl w:val="0"/>
      </w:pPr>
    </w:p>
    <w:p w:rsidR="00182B40" w:rsidRDefault="00182B40" w:rsidP="00182B40">
      <w:pPr>
        <w:rPr>
          <w:b/>
          <w:u w:val="single"/>
        </w:rPr>
      </w:pPr>
      <w:r w:rsidRPr="005343CD">
        <w:rPr>
          <w:b/>
          <w:u w:val="single"/>
        </w:rPr>
        <w:t>P</w:t>
      </w:r>
      <w:r w:rsidRPr="005343CD">
        <w:rPr>
          <w:b/>
          <w:u w:val="single"/>
        </w:rPr>
        <w:t>o</w:t>
      </w:r>
      <w:r w:rsidRPr="005343CD">
        <w:rPr>
          <w:b/>
          <w:u w:val="single"/>
        </w:rPr>
        <w:t>známky</w:t>
      </w:r>
    </w:p>
    <w:p w:rsidR="00182B40" w:rsidRDefault="00182B40" w:rsidP="00182B40">
      <w:pPr>
        <w:rPr>
          <w:b/>
          <w:u w:val="single"/>
        </w:rPr>
      </w:pPr>
    </w:p>
    <w:p w:rsidR="00182B40" w:rsidRPr="008D1E33" w:rsidRDefault="00182B40" w:rsidP="00182B40">
      <w:pPr>
        <w:rPr>
          <w:b/>
          <w:u w:val="single"/>
        </w:rPr>
      </w:pPr>
      <w:r w:rsidRPr="008D1E33">
        <w:rPr>
          <w:b/>
        </w:rPr>
        <w:t>Zadání je zpracováno v rozsahu a podrobnosti zadávací dokumentace v rozsahu omezeném techni</w:t>
      </w:r>
      <w:r w:rsidRPr="008D1E33">
        <w:rPr>
          <w:b/>
        </w:rPr>
        <w:t>c</w:t>
      </w:r>
      <w:r w:rsidRPr="008D1E33">
        <w:rPr>
          <w:b/>
        </w:rPr>
        <w:t xml:space="preserve">kou zprávou, popisem a výkazem. Součástí položek jsou veškeré s nimi spojené práce, </w:t>
      </w:r>
      <w:r w:rsidRPr="008D1E33">
        <w:rPr>
          <w:b/>
        </w:rPr>
        <w:lastRenderedPageBreak/>
        <w:t>které jsou z</w:t>
      </w:r>
      <w:r w:rsidRPr="008D1E33">
        <w:rPr>
          <w:b/>
        </w:rPr>
        <w:t>a</w:t>
      </w:r>
      <w:r w:rsidRPr="008D1E33">
        <w:rPr>
          <w:b/>
        </w:rPr>
        <w:t>potřebí pro provedení kompletní dodávky díla, a to i když nejsou zvlášť uvedeny ve výkazu výměr. Rozpočet je nutno ocenit tak, aby byla možná realizace kompletního díla "na klíč". To znamená, že veškeré položky patrné zejména z technické zprávy a na ni navazujících částí výkazů a výkresů je třeba v nabídkové ceně doplnit a ocenit jako kompletně vykonané práce vč. materiálu, nářadí a strojů nutných k práci, i když tyto nejsou ve výkazu výměr vyps</w:t>
      </w:r>
      <w:r w:rsidRPr="008D1E33">
        <w:rPr>
          <w:b/>
        </w:rPr>
        <w:t>á</w:t>
      </w:r>
      <w:r w:rsidRPr="008D1E33">
        <w:rPr>
          <w:b/>
        </w:rPr>
        <w:t>ny zvlášť. Pokud nejsou uvedeny montážní práce samostatně, je montáž součástí jednotk</w:t>
      </w:r>
      <w:r w:rsidRPr="008D1E33">
        <w:rPr>
          <w:b/>
        </w:rPr>
        <w:t>o</w:t>
      </w:r>
      <w:r w:rsidRPr="008D1E33">
        <w:rPr>
          <w:b/>
        </w:rPr>
        <w:t>vých cen</w:t>
      </w:r>
    </w:p>
    <w:p w:rsidR="00182B40" w:rsidRDefault="00182B40" w:rsidP="00182B40">
      <w:pPr>
        <w:rPr>
          <w:b/>
          <w:u w:val="single"/>
        </w:rPr>
      </w:pPr>
    </w:p>
    <w:p w:rsidR="00182B40" w:rsidRPr="004140D9" w:rsidRDefault="00182B40" w:rsidP="00182B40">
      <w:pPr>
        <w:rPr>
          <w:b/>
        </w:rPr>
      </w:pPr>
      <w:r w:rsidRPr="004140D9">
        <w:rPr>
          <w:b/>
        </w:rPr>
        <w:t>Finanční rezerva smí být čerpána pouze po konzultaci s investorem</w:t>
      </w:r>
    </w:p>
    <w:p w:rsidR="00182B40" w:rsidRPr="004140D9" w:rsidRDefault="00182B40" w:rsidP="00182B40">
      <w:pPr>
        <w:rPr>
          <w:b/>
        </w:rPr>
      </w:pPr>
    </w:p>
    <w:p w:rsidR="00196849" w:rsidRPr="00AF70D1" w:rsidRDefault="00182B40" w:rsidP="00182B40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 w:rsidRPr="004140D9">
        <w:rPr>
          <w:b/>
        </w:rPr>
        <w:t>Veškeré navržené materiály jsou normou nejnižšího standardu použitelného m</w:t>
      </w:r>
      <w:r w:rsidRPr="004140D9">
        <w:rPr>
          <w:b/>
        </w:rPr>
        <w:t>a</w:t>
      </w:r>
      <w:r w:rsidRPr="004140D9">
        <w:rPr>
          <w:b/>
        </w:rPr>
        <w:t>teriálu</w:t>
      </w:r>
      <w:bookmarkStart w:id="0" w:name="_GoBack"/>
      <w:bookmarkEnd w:id="0"/>
      <w:r w:rsidR="00196849">
        <w:t xml:space="preserve"> 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182B40">
      <w:rPr>
        <w:noProof/>
        <w:color w:val="002664"/>
        <w:sz w:val="14"/>
        <w:szCs w:val="14"/>
      </w:rPr>
      <w:t>2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182B40" w:rsidRPr="00182B40">
        <w:rPr>
          <w:noProof/>
          <w:color w:val="002664"/>
          <w:sz w:val="14"/>
          <w:szCs w:val="14"/>
        </w:rPr>
        <w:t>2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2B40"/>
    <w:rsid w:val="00183280"/>
    <w:rsid w:val="00196849"/>
    <w:rsid w:val="001A3950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18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  <w:style w:type="character" w:customStyle="1" w:styleId="Strana">
    <w:name w:val="Strana"/>
    <w:basedOn w:val="Standardnpsmoodstavce"/>
    <w:rsid w:val="0018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2</Pages>
  <Words>329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2020-06-02T10:25:00Z</dcterms:modified>
</cp:coreProperties>
</file>