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D9FB" w14:textId="77777777" w:rsidR="00B951FF" w:rsidRDefault="00321DF2" w:rsidP="00321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Dodatek č. 2</w:t>
      </w:r>
    </w:p>
    <w:p w14:paraId="03671EFF" w14:textId="77777777" w:rsidR="00321DF2" w:rsidRPr="00B57964" w:rsidRDefault="00321DF2" w:rsidP="00321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964">
        <w:rPr>
          <w:rFonts w:ascii="Times New Roman" w:hAnsi="Times New Roman"/>
          <w:b/>
          <w:sz w:val="28"/>
          <w:szCs w:val="28"/>
        </w:rPr>
        <w:t xml:space="preserve"> </w:t>
      </w:r>
    </w:p>
    <w:p w14:paraId="261CC194" w14:textId="77777777" w:rsidR="00321DF2" w:rsidRPr="00B951FF" w:rsidRDefault="00321DF2" w:rsidP="00321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1FF">
        <w:rPr>
          <w:rFonts w:ascii="Times New Roman" w:hAnsi="Times New Roman"/>
          <w:b/>
          <w:sz w:val="28"/>
          <w:szCs w:val="28"/>
        </w:rPr>
        <w:t xml:space="preserve">ke Smlouvě o údržbě a podpoře IS v resortu Ministerstva spravedlnosti </w:t>
      </w:r>
    </w:p>
    <w:p w14:paraId="383B134C" w14:textId="77777777" w:rsidR="00B951FF" w:rsidRDefault="00321DF2" w:rsidP="00321D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964">
        <w:rPr>
          <w:rFonts w:ascii="Times New Roman" w:hAnsi="Times New Roman"/>
          <w:b/>
          <w:sz w:val="24"/>
          <w:szCs w:val="24"/>
        </w:rPr>
        <w:t>č.</w:t>
      </w:r>
      <w:r>
        <w:rPr>
          <w:rFonts w:ascii="Times New Roman" w:hAnsi="Times New Roman"/>
          <w:b/>
          <w:sz w:val="24"/>
          <w:szCs w:val="24"/>
        </w:rPr>
        <w:t xml:space="preserve"> 77/2010-MSP</w:t>
      </w:r>
      <w:r w:rsidR="00A20101">
        <w:rPr>
          <w:rFonts w:ascii="Times New Roman" w:hAnsi="Times New Roman"/>
          <w:b/>
          <w:sz w:val="24"/>
          <w:szCs w:val="24"/>
        </w:rPr>
        <w:t>-</w:t>
      </w:r>
      <w:r w:rsidRPr="00B57964">
        <w:rPr>
          <w:rFonts w:ascii="Times New Roman" w:hAnsi="Times New Roman"/>
          <w:b/>
          <w:sz w:val="24"/>
          <w:szCs w:val="24"/>
        </w:rPr>
        <w:t xml:space="preserve">CES </w:t>
      </w:r>
      <w:r w:rsidR="00B951FF">
        <w:rPr>
          <w:rFonts w:ascii="Times New Roman" w:hAnsi="Times New Roman"/>
          <w:b/>
          <w:sz w:val="24"/>
          <w:szCs w:val="24"/>
        </w:rPr>
        <w:t>(č.j. 22/2010-OI-SML)</w:t>
      </w:r>
    </w:p>
    <w:p w14:paraId="4D601DDB" w14:textId="77777777" w:rsidR="00321DF2" w:rsidRPr="00B57964" w:rsidRDefault="00321DF2" w:rsidP="00321D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B662CD4" w14:textId="77777777" w:rsidR="00321DF2" w:rsidRPr="00B57964" w:rsidRDefault="00321DF2" w:rsidP="00321D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D2ABCB" w14:textId="77777777" w:rsidR="00321DF2" w:rsidRPr="001A61E8" w:rsidRDefault="00321DF2" w:rsidP="00321DF2">
      <w:pPr>
        <w:jc w:val="center"/>
        <w:rPr>
          <w:rFonts w:ascii="Times New Roman" w:hAnsi="Times New Roman"/>
        </w:rPr>
      </w:pPr>
    </w:p>
    <w:p w14:paraId="42153814" w14:textId="77777777" w:rsidR="00321DF2" w:rsidRPr="001A61E8" w:rsidRDefault="00321DF2" w:rsidP="00321DF2">
      <w:pPr>
        <w:pStyle w:val="Nadpis1"/>
        <w:numPr>
          <w:ilvl w:val="0"/>
          <w:numId w:val="2"/>
        </w:numPr>
        <w:jc w:val="left"/>
        <w:rPr>
          <w:b/>
          <w:sz w:val="22"/>
          <w:szCs w:val="22"/>
        </w:rPr>
      </w:pPr>
      <w:r w:rsidRPr="001A61E8">
        <w:rPr>
          <w:b/>
          <w:i w:val="0"/>
          <w:sz w:val="22"/>
          <w:szCs w:val="22"/>
        </w:rPr>
        <w:t>Smluvní strany:</w:t>
      </w:r>
    </w:p>
    <w:p w14:paraId="43152CFC" w14:textId="77777777" w:rsidR="00321DF2" w:rsidRPr="001A61E8" w:rsidRDefault="00321DF2" w:rsidP="00321DF2">
      <w:pPr>
        <w:pStyle w:val="Import6"/>
        <w:tabs>
          <w:tab w:val="left" w:pos="3096"/>
          <w:tab w:val="left" w:pos="3600"/>
        </w:tabs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</w:p>
    <w:p w14:paraId="1E6B9199" w14:textId="77777777" w:rsidR="00321DF2" w:rsidRPr="001A61E8" w:rsidRDefault="00321DF2" w:rsidP="00A20101">
      <w:pPr>
        <w:pStyle w:val="Import6"/>
        <w:tabs>
          <w:tab w:val="left" w:pos="284"/>
          <w:tab w:val="left" w:pos="3096"/>
          <w:tab w:val="left" w:pos="3600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1A61E8">
        <w:rPr>
          <w:rFonts w:ascii="Times New Roman" w:hAnsi="Times New Roman" w:cs="Times New Roman"/>
          <w:b/>
          <w:bCs/>
          <w:sz w:val="22"/>
          <w:szCs w:val="22"/>
          <w:lang w:val="cs-CZ"/>
        </w:rPr>
        <w:t>1.</w:t>
      </w:r>
      <w:r w:rsidRPr="001A61E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A20101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1A61E8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Česká republika – Ministerstvo spravedlnosti </w:t>
      </w:r>
    </w:p>
    <w:p w14:paraId="1FBD4A17" w14:textId="77777777" w:rsidR="00321DF2" w:rsidRPr="001A61E8" w:rsidRDefault="00321DF2" w:rsidP="00A20101">
      <w:pPr>
        <w:pStyle w:val="Import6"/>
        <w:tabs>
          <w:tab w:val="left" w:pos="3096"/>
          <w:tab w:val="left" w:pos="3600"/>
        </w:tabs>
        <w:ind w:left="284"/>
        <w:rPr>
          <w:rFonts w:ascii="Times New Roman" w:hAnsi="Times New Roman" w:cs="Times New Roman"/>
          <w:sz w:val="22"/>
          <w:szCs w:val="22"/>
          <w:lang w:val="cs-CZ"/>
        </w:rPr>
      </w:pPr>
      <w:r w:rsidRPr="001A61E8">
        <w:rPr>
          <w:rFonts w:ascii="Times New Roman" w:hAnsi="Times New Roman" w:cs="Times New Roman"/>
          <w:sz w:val="22"/>
          <w:szCs w:val="22"/>
          <w:lang w:val="cs-CZ"/>
        </w:rPr>
        <w:t>se sídlem: Vyšehradská 16, 128 10 Praha 2</w:t>
      </w:r>
    </w:p>
    <w:p w14:paraId="3BD00DFA" w14:textId="77777777" w:rsidR="00321DF2" w:rsidRPr="001A61E8" w:rsidRDefault="00321DF2" w:rsidP="00A20101">
      <w:pPr>
        <w:pStyle w:val="Import6"/>
        <w:tabs>
          <w:tab w:val="left" w:pos="3096"/>
          <w:tab w:val="left" w:pos="3600"/>
        </w:tabs>
        <w:ind w:left="284"/>
        <w:rPr>
          <w:rFonts w:ascii="Times New Roman" w:hAnsi="Times New Roman" w:cs="Times New Roman"/>
          <w:sz w:val="22"/>
          <w:szCs w:val="22"/>
          <w:lang w:val="cs-CZ"/>
        </w:rPr>
      </w:pPr>
      <w:r w:rsidRPr="001A61E8">
        <w:rPr>
          <w:rFonts w:ascii="Times New Roman" w:hAnsi="Times New Roman" w:cs="Times New Roman"/>
          <w:sz w:val="22"/>
          <w:szCs w:val="22"/>
          <w:lang w:val="cs-CZ"/>
        </w:rPr>
        <w:t>IČO: 00025429</w:t>
      </w:r>
    </w:p>
    <w:p w14:paraId="37B4FD72" w14:textId="2458E4A7" w:rsidR="00321DF2" w:rsidRPr="001A61E8" w:rsidRDefault="00321DF2" w:rsidP="00A20101">
      <w:pPr>
        <w:pStyle w:val="Bezmezer"/>
        <w:ind w:left="284"/>
        <w:rPr>
          <w:rFonts w:ascii="Times New Roman" w:hAnsi="Times New Roman"/>
        </w:rPr>
      </w:pPr>
      <w:r w:rsidRPr="001A61E8">
        <w:rPr>
          <w:rFonts w:ascii="Times New Roman" w:hAnsi="Times New Roman"/>
        </w:rPr>
        <w:t xml:space="preserve">zastoupená: </w:t>
      </w:r>
      <w:r w:rsidR="002C7A2A" w:rsidRPr="002C7A2A">
        <w:rPr>
          <w:rFonts w:ascii="Times New Roman" w:hAnsi="Times New Roman"/>
          <w:highlight w:val="black"/>
        </w:rPr>
        <w:t>**********</w:t>
      </w:r>
      <w:r w:rsidRPr="001A61E8">
        <w:rPr>
          <w:rFonts w:ascii="Times New Roman" w:hAnsi="Times New Roman"/>
        </w:rPr>
        <w:t xml:space="preserve">, </w:t>
      </w:r>
      <w:r w:rsidR="002C7A2A" w:rsidRPr="002C7A2A">
        <w:rPr>
          <w:rFonts w:ascii="Times New Roman" w:hAnsi="Times New Roman"/>
          <w:highlight w:val="black"/>
        </w:rPr>
        <w:t>**********</w:t>
      </w:r>
    </w:p>
    <w:p w14:paraId="356BDF26" w14:textId="77777777" w:rsidR="000759F1" w:rsidRDefault="000759F1" w:rsidP="00A20101">
      <w:pPr>
        <w:pStyle w:val="Bezmezer"/>
        <w:rPr>
          <w:rFonts w:ascii="Times New Roman" w:hAnsi="Times New Roman"/>
        </w:rPr>
      </w:pPr>
    </w:p>
    <w:p w14:paraId="065C7B64" w14:textId="77777777" w:rsidR="00321DF2" w:rsidRPr="001A61E8" w:rsidRDefault="00321DF2" w:rsidP="00A20101">
      <w:pPr>
        <w:pStyle w:val="Bezmezer"/>
        <w:rPr>
          <w:rFonts w:ascii="Times New Roman" w:hAnsi="Times New Roman"/>
        </w:rPr>
      </w:pPr>
      <w:r w:rsidRPr="001A61E8">
        <w:rPr>
          <w:rFonts w:ascii="Times New Roman" w:hAnsi="Times New Roman"/>
        </w:rPr>
        <w:t>(„</w:t>
      </w:r>
      <w:r w:rsidR="00E03BA3" w:rsidRPr="00E03BA3">
        <w:rPr>
          <w:rFonts w:ascii="Times New Roman" w:hAnsi="Times New Roman"/>
          <w:b/>
        </w:rPr>
        <w:t>o</w:t>
      </w:r>
      <w:r w:rsidRPr="001A61E8">
        <w:rPr>
          <w:rFonts w:ascii="Times New Roman" w:hAnsi="Times New Roman"/>
          <w:b/>
          <w:bCs/>
        </w:rPr>
        <w:t>bjednatel</w:t>
      </w:r>
      <w:r w:rsidRPr="001A61E8">
        <w:rPr>
          <w:rFonts w:ascii="Times New Roman" w:hAnsi="Times New Roman"/>
        </w:rPr>
        <w:t xml:space="preserve">“) </w:t>
      </w:r>
      <w:r w:rsidRPr="001A61E8">
        <w:rPr>
          <w:rFonts w:ascii="Times New Roman" w:hAnsi="Times New Roman"/>
        </w:rPr>
        <w:tab/>
      </w:r>
      <w:r w:rsidRPr="001A61E8">
        <w:rPr>
          <w:rFonts w:ascii="Times New Roman" w:hAnsi="Times New Roman"/>
        </w:rPr>
        <w:tab/>
      </w:r>
      <w:r w:rsidRPr="001A61E8">
        <w:rPr>
          <w:rFonts w:ascii="Times New Roman" w:hAnsi="Times New Roman"/>
        </w:rPr>
        <w:tab/>
      </w:r>
      <w:r w:rsidRPr="001A61E8">
        <w:rPr>
          <w:rFonts w:ascii="Times New Roman" w:hAnsi="Times New Roman"/>
        </w:rPr>
        <w:tab/>
      </w:r>
      <w:r w:rsidRPr="001A61E8">
        <w:rPr>
          <w:rFonts w:ascii="Times New Roman" w:hAnsi="Times New Roman"/>
        </w:rPr>
        <w:tab/>
      </w:r>
    </w:p>
    <w:p w14:paraId="24F662DA" w14:textId="77777777" w:rsidR="00321DF2" w:rsidRPr="001A61E8" w:rsidRDefault="00321DF2" w:rsidP="00321DF2">
      <w:pPr>
        <w:pStyle w:val="Bezmezer"/>
        <w:rPr>
          <w:rFonts w:ascii="Times New Roman" w:hAnsi="Times New Roman"/>
        </w:rPr>
      </w:pPr>
    </w:p>
    <w:p w14:paraId="1B3B0F87" w14:textId="77777777" w:rsidR="00321DF2" w:rsidRPr="001A61E8" w:rsidRDefault="00321DF2" w:rsidP="00321DF2">
      <w:pPr>
        <w:pStyle w:val="Bezmezer"/>
        <w:rPr>
          <w:rFonts w:ascii="Times New Roman" w:hAnsi="Times New Roman"/>
        </w:rPr>
      </w:pPr>
      <w:r w:rsidRPr="001A61E8">
        <w:rPr>
          <w:rFonts w:ascii="Times New Roman" w:hAnsi="Times New Roman"/>
          <w:b/>
        </w:rPr>
        <w:t>a</w:t>
      </w:r>
    </w:p>
    <w:p w14:paraId="43CF68B6" w14:textId="77777777" w:rsidR="00321DF2" w:rsidRDefault="00321DF2" w:rsidP="00321DF2">
      <w:pPr>
        <w:spacing w:after="0"/>
        <w:rPr>
          <w:rFonts w:ascii="Times New Roman" w:hAnsi="Times New Roman"/>
          <w:b/>
        </w:rPr>
      </w:pPr>
    </w:p>
    <w:p w14:paraId="06F0F094" w14:textId="77777777" w:rsidR="00321DF2" w:rsidRPr="001A61E8" w:rsidRDefault="00321DF2" w:rsidP="00A20101">
      <w:pPr>
        <w:tabs>
          <w:tab w:val="left" w:pos="284"/>
        </w:tabs>
        <w:spacing w:after="0"/>
        <w:rPr>
          <w:rFonts w:ascii="Times New Roman" w:hAnsi="Times New Roman"/>
        </w:rPr>
      </w:pPr>
      <w:r w:rsidRPr="001A61E8">
        <w:rPr>
          <w:rFonts w:ascii="Times New Roman" w:hAnsi="Times New Roman"/>
          <w:b/>
        </w:rPr>
        <w:t>2.</w:t>
      </w:r>
      <w:r w:rsidRPr="001A61E8">
        <w:rPr>
          <w:rFonts w:ascii="Times New Roman" w:hAnsi="Times New Roman"/>
        </w:rPr>
        <w:t xml:space="preserve"> </w:t>
      </w:r>
      <w:r w:rsidR="00A20101">
        <w:rPr>
          <w:rFonts w:ascii="Times New Roman" w:hAnsi="Times New Roman"/>
        </w:rPr>
        <w:tab/>
      </w:r>
      <w:r w:rsidR="00A20101" w:rsidRPr="00A20101">
        <w:rPr>
          <w:rFonts w:ascii="Times New Roman" w:hAnsi="Times New Roman"/>
          <w:b/>
        </w:rPr>
        <w:t>CCA Group a.s.</w:t>
      </w:r>
    </w:p>
    <w:p w14:paraId="644A04CD" w14:textId="77777777" w:rsidR="00321DF2" w:rsidRPr="001A61E8" w:rsidRDefault="00321DF2" w:rsidP="00A20101">
      <w:pPr>
        <w:spacing w:after="0"/>
        <w:ind w:left="284"/>
        <w:rPr>
          <w:rFonts w:ascii="Times New Roman" w:hAnsi="Times New Roman"/>
        </w:rPr>
      </w:pPr>
      <w:r w:rsidRPr="001A61E8">
        <w:rPr>
          <w:rFonts w:ascii="Times New Roman" w:hAnsi="Times New Roman"/>
        </w:rPr>
        <w:t xml:space="preserve">se sídlem: </w:t>
      </w:r>
      <w:r w:rsidR="00A20101">
        <w:rPr>
          <w:rFonts w:ascii="Times New Roman" w:hAnsi="Times New Roman"/>
        </w:rPr>
        <w:t>Karlovo náměstí 288/17, Nové Město, 120 00 Praha 2,</w:t>
      </w:r>
    </w:p>
    <w:p w14:paraId="06A71EAB" w14:textId="77777777" w:rsidR="00321DF2" w:rsidRPr="001A61E8" w:rsidRDefault="00321DF2" w:rsidP="00A20101">
      <w:pPr>
        <w:spacing w:after="0"/>
        <w:ind w:left="284"/>
        <w:rPr>
          <w:rStyle w:val="nowrap"/>
          <w:rFonts w:ascii="Times New Roman" w:hAnsi="Times New Roman"/>
        </w:rPr>
      </w:pPr>
      <w:r w:rsidRPr="001A61E8">
        <w:rPr>
          <w:rFonts w:ascii="Times New Roman" w:hAnsi="Times New Roman"/>
        </w:rPr>
        <w:t xml:space="preserve">IČO: </w:t>
      </w:r>
      <w:r w:rsidR="00A20101">
        <w:rPr>
          <w:rStyle w:val="nowrap"/>
          <w:rFonts w:ascii="Times New Roman" w:hAnsi="Times New Roman"/>
        </w:rPr>
        <w:t>25695312</w:t>
      </w:r>
    </w:p>
    <w:p w14:paraId="545032B4" w14:textId="77777777" w:rsidR="00A20101" w:rsidRDefault="00321DF2" w:rsidP="00A20101">
      <w:pPr>
        <w:spacing w:after="0"/>
        <w:ind w:left="284"/>
        <w:rPr>
          <w:rStyle w:val="nowrap"/>
          <w:rFonts w:ascii="Times New Roman" w:hAnsi="Times New Roman"/>
        </w:rPr>
      </w:pPr>
      <w:r w:rsidRPr="001A61E8">
        <w:rPr>
          <w:rStyle w:val="nowrap"/>
          <w:rFonts w:ascii="Times New Roman" w:hAnsi="Times New Roman"/>
        </w:rPr>
        <w:t xml:space="preserve">zapsanou v obchodním rejstříku vedeném </w:t>
      </w:r>
      <w:r w:rsidR="00A20101">
        <w:rPr>
          <w:rStyle w:val="nowrap"/>
          <w:rFonts w:ascii="Times New Roman" w:hAnsi="Times New Roman"/>
        </w:rPr>
        <w:t>Městským soudem v Praze</w:t>
      </w:r>
      <w:r w:rsidRPr="001A61E8">
        <w:rPr>
          <w:rStyle w:val="nowrap"/>
          <w:rFonts w:ascii="Times New Roman" w:hAnsi="Times New Roman"/>
        </w:rPr>
        <w:t xml:space="preserve"> oddíl B, vložka </w:t>
      </w:r>
      <w:r w:rsidR="00A20101">
        <w:rPr>
          <w:rStyle w:val="nowrap"/>
          <w:rFonts w:ascii="Times New Roman" w:hAnsi="Times New Roman"/>
        </w:rPr>
        <w:t>5556</w:t>
      </w:r>
    </w:p>
    <w:p w14:paraId="23B60027" w14:textId="2F53484C" w:rsidR="00321DF2" w:rsidRPr="00D55E5D" w:rsidRDefault="00321DF2" w:rsidP="00A20101">
      <w:pPr>
        <w:spacing w:after="0"/>
        <w:ind w:left="284"/>
        <w:rPr>
          <w:rFonts w:ascii="Times New Roman" w:hAnsi="Times New Roman"/>
        </w:rPr>
      </w:pPr>
      <w:proofErr w:type="gramStart"/>
      <w:r w:rsidRPr="001A61E8">
        <w:rPr>
          <w:rStyle w:val="nowrap"/>
          <w:rFonts w:ascii="Times New Roman" w:hAnsi="Times New Roman"/>
        </w:rPr>
        <w:t xml:space="preserve">zastoupená: </w:t>
      </w:r>
      <w:r>
        <w:rPr>
          <w:rStyle w:val="nowrap"/>
          <w:rFonts w:ascii="Times New Roman" w:hAnsi="Times New Roman"/>
        </w:rPr>
        <w:t xml:space="preserve"> </w:t>
      </w:r>
      <w:r w:rsidR="002C7A2A" w:rsidRPr="002C7A2A">
        <w:rPr>
          <w:rFonts w:ascii="Times New Roman" w:hAnsi="Times New Roman"/>
          <w:highlight w:val="black"/>
        </w:rPr>
        <w:t>*</w:t>
      </w:r>
      <w:proofErr w:type="gramEnd"/>
      <w:r w:rsidR="002C7A2A" w:rsidRPr="002C7A2A">
        <w:rPr>
          <w:rFonts w:ascii="Times New Roman" w:hAnsi="Times New Roman"/>
          <w:highlight w:val="black"/>
        </w:rPr>
        <w:t>*********</w:t>
      </w:r>
      <w:r w:rsidR="00C12343">
        <w:rPr>
          <w:rStyle w:val="nowrap"/>
          <w:rFonts w:ascii="Times New Roman" w:hAnsi="Times New Roman"/>
          <w:lang w:val="en-US"/>
        </w:rPr>
        <w:t xml:space="preserve">, </w:t>
      </w:r>
      <w:r w:rsidR="002C7A2A" w:rsidRPr="002C7A2A">
        <w:rPr>
          <w:rFonts w:ascii="Times New Roman" w:hAnsi="Times New Roman"/>
          <w:highlight w:val="black"/>
        </w:rPr>
        <w:t>**********</w:t>
      </w:r>
    </w:p>
    <w:p w14:paraId="1830AD11" w14:textId="77777777" w:rsidR="000759F1" w:rsidRDefault="000759F1" w:rsidP="00A20101">
      <w:pPr>
        <w:spacing w:after="0"/>
        <w:rPr>
          <w:rFonts w:ascii="Times New Roman" w:hAnsi="Times New Roman"/>
        </w:rPr>
      </w:pPr>
    </w:p>
    <w:p w14:paraId="1E6C10F0" w14:textId="77777777" w:rsidR="00321DF2" w:rsidRDefault="00321DF2" w:rsidP="00A20101">
      <w:pPr>
        <w:spacing w:after="0"/>
        <w:rPr>
          <w:rFonts w:ascii="Times New Roman" w:hAnsi="Times New Roman"/>
        </w:rPr>
      </w:pPr>
      <w:r w:rsidRPr="001A61E8">
        <w:rPr>
          <w:rFonts w:ascii="Times New Roman" w:hAnsi="Times New Roman"/>
        </w:rPr>
        <w:t>(„</w:t>
      </w:r>
      <w:r w:rsidR="00E03BA3">
        <w:rPr>
          <w:rFonts w:ascii="Times New Roman" w:hAnsi="Times New Roman"/>
          <w:b/>
        </w:rPr>
        <w:t>d</w:t>
      </w:r>
      <w:r w:rsidRPr="001A61E8">
        <w:rPr>
          <w:rFonts w:ascii="Times New Roman" w:hAnsi="Times New Roman"/>
          <w:b/>
        </w:rPr>
        <w:t>odavatel</w:t>
      </w:r>
      <w:r w:rsidRPr="001A61E8">
        <w:rPr>
          <w:rFonts w:ascii="Times New Roman" w:hAnsi="Times New Roman"/>
        </w:rPr>
        <w:t>“)</w:t>
      </w:r>
    </w:p>
    <w:p w14:paraId="32D27DA9" w14:textId="77777777" w:rsidR="00321DF2" w:rsidRPr="001A61E8" w:rsidRDefault="00321DF2" w:rsidP="00321DF2">
      <w:pPr>
        <w:spacing w:after="0"/>
        <w:rPr>
          <w:rFonts w:ascii="Times New Roman" w:hAnsi="Times New Roman"/>
        </w:rPr>
      </w:pPr>
    </w:p>
    <w:p w14:paraId="502B9842" w14:textId="77777777" w:rsidR="00A20101" w:rsidRDefault="00A20101" w:rsidP="00321DF2">
      <w:pPr>
        <w:spacing w:after="0"/>
        <w:ind w:left="360"/>
        <w:jc w:val="center"/>
        <w:rPr>
          <w:rFonts w:ascii="Times New Roman" w:hAnsi="Times New Roman"/>
          <w:b/>
        </w:rPr>
      </w:pPr>
    </w:p>
    <w:p w14:paraId="337CE9FA" w14:textId="77777777" w:rsidR="00321DF2" w:rsidRPr="001A61E8" w:rsidRDefault="00321DF2" w:rsidP="00321DF2">
      <w:pPr>
        <w:spacing w:after="0"/>
        <w:ind w:left="360"/>
        <w:jc w:val="center"/>
        <w:rPr>
          <w:rFonts w:ascii="Times New Roman" w:hAnsi="Times New Roman"/>
          <w:b/>
        </w:rPr>
      </w:pPr>
      <w:r w:rsidRPr="001A61E8">
        <w:rPr>
          <w:rFonts w:ascii="Times New Roman" w:hAnsi="Times New Roman"/>
          <w:b/>
        </w:rPr>
        <w:t>PREAMBULE</w:t>
      </w:r>
    </w:p>
    <w:p w14:paraId="5A28F908" w14:textId="77777777" w:rsidR="00321DF2" w:rsidRPr="001A61E8" w:rsidRDefault="00321DF2" w:rsidP="00321DF2">
      <w:pPr>
        <w:spacing w:after="0"/>
        <w:jc w:val="both"/>
        <w:rPr>
          <w:rFonts w:ascii="Times New Roman" w:hAnsi="Times New Roman"/>
        </w:rPr>
      </w:pPr>
    </w:p>
    <w:p w14:paraId="70E6803E" w14:textId="77777777" w:rsidR="00321DF2" w:rsidRPr="001A61E8" w:rsidRDefault="00321DF2" w:rsidP="00321DF2">
      <w:pPr>
        <w:spacing w:after="0"/>
        <w:jc w:val="both"/>
        <w:rPr>
          <w:rFonts w:ascii="Times New Roman" w:hAnsi="Times New Roman"/>
        </w:rPr>
      </w:pPr>
      <w:r w:rsidRPr="001A61E8">
        <w:rPr>
          <w:rFonts w:ascii="Times New Roman" w:hAnsi="Times New Roman"/>
        </w:rPr>
        <w:t xml:space="preserve">Smluvní strany uzavřely dne </w:t>
      </w:r>
      <w:r w:rsidR="00A20101">
        <w:rPr>
          <w:rFonts w:ascii="Times New Roman" w:hAnsi="Times New Roman"/>
        </w:rPr>
        <w:t>31. 5. 2010</w:t>
      </w:r>
      <w:r w:rsidRPr="001A61E8">
        <w:rPr>
          <w:rFonts w:ascii="Times New Roman" w:hAnsi="Times New Roman"/>
        </w:rPr>
        <w:t xml:space="preserve"> Smlouvu o </w:t>
      </w:r>
      <w:r w:rsidR="00A20101">
        <w:rPr>
          <w:rFonts w:ascii="Times New Roman" w:hAnsi="Times New Roman"/>
        </w:rPr>
        <w:t xml:space="preserve">údržbě a </w:t>
      </w:r>
      <w:r w:rsidRPr="001A61E8">
        <w:rPr>
          <w:rFonts w:ascii="Times New Roman" w:hAnsi="Times New Roman"/>
        </w:rPr>
        <w:t xml:space="preserve">podpoře </w:t>
      </w:r>
      <w:r w:rsidR="00A20101">
        <w:rPr>
          <w:rFonts w:ascii="Times New Roman" w:hAnsi="Times New Roman"/>
        </w:rPr>
        <w:t xml:space="preserve">IS v resortu Ministerstva spravedlnosti </w:t>
      </w:r>
      <w:r w:rsidRPr="001A61E8">
        <w:rPr>
          <w:rFonts w:ascii="Times New Roman" w:hAnsi="Times New Roman"/>
        </w:rPr>
        <w:t>č.</w:t>
      </w:r>
      <w:r w:rsidR="00B951FF">
        <w:rPr>
          <w:rFonts w:ascii="Times New Roman" w:hAnsi="Times New Roman"/>
        </w:rPr>
        <w:t xml:space="preserve"> 7</w:t>
      </w:r>
      <w:r w:rsidR="00B951FF" w:rsidRPr="001A61E8">
        <w:rPr>
          <w:rFonts w:ascii="Times New Roman" w:hAnsi="Times New Roman"/>
        </w:rPr>
        <w:t>7/201</w:t>
      </w:r>
      <w:r w:rsidR="00B951FF">
        <w:rPr>
          <w:rFonts w:ascii="Times New Roman" w:hAnsi="Times New Roman"/>
        </w:rPr>
        <w:t>0</w:t>
      </w:r>
      <w:r w:rsidR="00B951FF" w:rsidRPr="001A61E8">
        <w:rPr>
          <w:rFonts w:ascii="Times New Roman" w:hAnsi="Times New Roman"/>
        </w:rPr>
        <w:t>-MSP-CES</w:t>
      </w:r>
      <w:r w:rsidRPr="001A61E8">
        <w:rPr>
          <w:rFonts w:ascii="Times New Roman" w:hAnsi="Times New Roman"/>
        </w:rPr>
        <w:t xml:space="preserve"> </w:t>
      </w:r>
      <w:r w:rsidR="00B951FF">
        <w:rPr>
          <w:rFonts w:ascii="Times New Roman" w:hAnsi="Times New Roman"/>
        </w:rPr>
        <w:t xml:space="preserve">(č.j. </w:t>
      </w:r>
      <w:r w:rsidR="00A20101">
        <w:rPr>
          <w:rFonts w:ascii="Times New Roman" w:hAnsi="Times New Roman"/>
        </w:rPr>
        <w:t>22/2010-OI-SML</w:t>
      </w:r>
      <w:r w:rsidRPr="001A61E8">
        <w:rPr>
          <w:rFonts w:ascii="Times New Roman" w:hAnsi="Times New Roman"/>
        </w:rPr>
        <w:t>)</w:t>
      </w:r>
      <w:r w:rsidR="00A20101">
        <w:rPr>
          <w:rFonts w:ascii="Times New Roman" w:hAnsi="Times New Roman"/>
        </w:rPr>
        <w:t>, která byla změněna Dodatkem č. 1 uzavřeným smluvními stranami dne 16. 3. 2011</w:t>
      </w:r>
      <w:r w:rsidRPr="001A61E8">
        <w:rPr>
          <w:rFonts w:ascii="Times New Roman" w:hAnsi="Times New Roman"/>
        </w:rPr>
        <w:t xml:space="preserve"> (dále jen „</w:t>
      </w:r>
      <w:r w:rsidRPr="001A61E8">
        <w:rPr>
          <w:rFonts w:ascii="Times New Roman" w:hAnsi="Times New Roman"/>
          <w:b/>
        </w:rPr>
        <w:t>Servisní smlouva</w:t>
      </w:r>
      <w:r w:rsidRPr="001A61E8">
        <w:rPr>
          <w:rFonts w:ascii="Times New Roman" w:hAnsi="Times New Roman"/>
        </w:rPr>
        <w:t xml:space="preserve">“). </w:t>
      </w:r>
    </w:p>
    <w:p w14:paraId="55D2D0A5" w14:textId="77777777" w:rsidR="00321DF2" w:rsidRPr="001A61E8" w:rsidRDefault="00321DF2" w:rsidP="00321DF2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 w:val="22"/>
          <w:szCs w:val="22"/>
          <w:lang w:val="cs-CZ"/>
        </w:rPr>
      </w:pPr>
    </w:p>
    <w:p w14:paraId="139B292E" w14:textId="77777777" w:rsidR="00321DF2" w:rsidRPr="001A61E8" w:rsidRDefault="00414C22" w:rsidP="00321DF2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Vzhledem k naplnění podmínky uvedené v</w:t>
      </w:r>
      <w:r w:rsidR="0092647A">
        <w:rPr>
          <w:rFonts w:ascii="Times New Roman" w:hAnsi="Times New Roman"/>
          <w:sz w:val="22"/>
          <w:szCs w:val="22"/>
          <w:lang w:val="cs-CZ"/>
        </w:rPr>
        <w:t> Článku 7., odstavci</w:t>
      </w:r>
      <w:r>
        <w:rPr>
          <w:rFonts w:ascii="Times New Roman" w:hAnsi="Times New Roman"/>
          <w:sz w:val="22"/>
          <w:szCs w:val="22"/>
          <w:lang w:val="cs-CZ"/>
        </w:rPr>
        <w:t xml:space="preserve"> 7.7</w:t>
      </w:r>
      <w:r w:rsidR="000759F1">
        <w:rPr>
          <w:rFonts w:ascii="Times New Roman" w:hAnsi="Times New Roman"/>
          <w:sz w:val="22"/>
          <w:szCs w:val="22"/>
          <w:lang w:val="cs-CZ"/>
        </w:rPr>
        <w:t>.</w:t>
      </w:r>
      <w:r>
        <w:rPr>
          <w:rFonts w:ascii="Times New Roman" w:hAnsi="Times New Roman"/>
          <w:sz w:val="22"/>
          <w:szCs w:val="22"/>
          <w:lang w:val="cs-CZ"/>
        </w:rPr>
        <w:t xml:space="preserve"> S</w:t>
      </w:r>
      <w:r w:rsidR="003A4ABA">
        <w:rPr>
          <w:rFonts w:ascii="Times New Roman" w:hAnsi="Times New Roman"/>
          <w:sz w:val="22"/>
          <w:szCs w:val="22"/>
          <w:lang w:val="cs-CZ"/>
        </w:rPr>
        <w:t xml:space="preserve">ervisní </w:t>
      </w:r>
      <w:r w:rsidR="00E03BA3">
        <w:rPr>
          <w:rFonts w:ascii="Times New Roman" w:hAnsi="Times New Roman"/>
          <w:sz w:val="22"/>
          <w:szCs w:val="22"/>
          <w:lang w:val="cs-CZ"/>
        </w:rPr>
        <w:t>s</w:t>
      </w:r>
      <w:r>
        <w:rPr>
          <w:rFonts w:ascii="Times New Roman" w:hAnsi="Times New Roman"/>
          <w:sz w:val="22"/>
          <w:szCs w:val="22"/>
          <w:lang w:val="cs-CZ"/>
        </w:rPr>
        <w:t>mlouvy</w:t>
      </w:r>
      <w:r w:rsidR="00685DFB">
        <w:rPr>
          <w:rFonts w:ascii="Times New Roman" w:hAnsi="Times New Roman"/>
          <w:sz w:val="22"/>
          <w:szCs w:val="22"/>
          <w:lang w:val="cs-CZ"/>
        </w:rPr>
        <w:t>,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685DFB">
        <w:rPr>
          <w:rFonts w:ascii="Times New Roman" w:hAnsi="Times New Roman"/>
          <w:sz w:val="22"/>
          <w:szCs w:val="22"/>
          <w:lang w:val="cs-CZ"/>
        </w:rPr>
        <w:t>kdy</w:t>
      </w:r>
      <w:r>
        <w:rPr>
          <w:rFonts w:ascii="Times New Roman" w:hAnsi="Times New Roman"/>
          <w:sz w:val="22"/>
          <w:szCs w:val="22"/>
          <w:lang w:val="cs-CZ"/>
        </w:rPr>
        <w:t xml:space="preserve"> součet koeficientů inflace </w:t>
      </w:r>
      <w:r w:rsidR="00685DFB">
        <w:rPr>
          <w:rFonts w:ascii="Times New Roman" w:hAnsi="Times New Roman"/>
          <w:sz w:val="22"/>
          <w:szCs w:val="22"/>
          <w:lang w:val="cs-CZ"/>
        </w:rPr>
        <w:t>pro roky 201</w:t>
      </w:r>
      <w:r w:rsidR="00E608A9">
        <w:rPr>
          <w:rFonts w:ascii="Times New Roman" w:hAnsi="Times New Roman"/>
          <w:sz w:val="22"/>
          <w:szCs w:val="22"/>
          <w:lang w:val="cs-CZ"/>
        </w:rPr>
        <w:t>0 až 2019 činí 16</w:t>
      </w:r>
      <w:r w:rsidR="00685DFB">
        <w:rPr>
          <w:rFonts w:ascii="Times New Roman" w:hAnsi="Times New Roman"/>
          <w:sz w:val="22"/>
          <w:szCs w:val="22"/>
          <w:lang w:val="cs-CZ"/>
        </w:rPr>
        <w:t>,</w:t>
      </w:r>
      <w:r w:rsidR="00E608A9">
        <w:rPr>
          <w:rFonts w:ascii="Times New Roman" w:hAnsi="Times New Roman"/>
          <w:sz w:val="22"/>
          <w:szCs w:val="22"/>
          <w:lang w:val="cs-CZ"/>
        </w:rPr>
        <w:t>9</w:t>
      </w:r>
      <w:r w:rsidR="00685DFB">
        <w:rPr>
          <w:rFonts w:ascii="Times New Roman" w:hAnsi="Times New Roman"/>
          <w:sz w:val="22"/>
          <w:szCs w:val="22"/>
          <w:lang w:val="cs-CZ"/>
        </w:rPr>
        <w:t xml:space="preserve"> (dle koeficientů </w:t>
      </w:r>
      <w:r>
        <w:rPr>
          <w:rFonts w:ascii="Times New Roman" w:hAnsi="Times New Roman"/>
          <w:sz w:val="22"/>
          <w:szCs w:val="22"/>
          <w:lang w:val="cs-CZ"/>
        </w:rPr>
        <w:t>vyhlášených Českým statistickým úřadem</w:t>
      </w:r>
      <w:r w:rsidR="00685DFB">
        <w:rPr>
          <w:rFonts w:ascii="Times New Roman" w:hAnsi="Times New Roman"/>
          <w:sz w:val="22"/>
          <w:szCs w:val="22"/>
          <w:lang w:val="cs-CZ"/>
        </w:rPr>
        <w:t xml:space="preserve">), </w:t>
      </w:r>
      <w:r w:rsidR="00321DF2" w:rsidRPr="001A61E8">
        <w:rPr>
          <w:rFonts w:ascii="Times New Roman" w:hAnsi="Times New Roman"/>
          <w:sz w:val="22"/>
          <w:szCs w:val="22"/>
          <w:lang w:val="cs-CZ"/>
        </w:rPr>
        <w:t xml:space="preserve">uzavírají </w:t>
      </w:r>
      <w:r w:rsidR="003A4ABA">
        <w:rPr>
          <w:rFonts w:ascii="Times New Roman" w:hAnsi="Times New Roman"/>
          <w:sz w:val="22"/>
          <w:szCs w:val="22"/>
          <w:lang w:val="cs-CZ"/>
        </w:rPr>
        <w:t xml:space="preserve">smluvní strany za účelem změny cen uvedených v Servisní smlouvě </w:t>
      </w:r>
      <w:proofErr w:type="gramStart"/>
      <w:r w:rsidR="003A4ABA">
        <w:rPr>
          <w:rFonts w:ascii="Times New Roman" w:hAnsi="Times New Roman"/>
          <w:sz w:val="22"/>
          <w:szCs w:val="22"/>
          <w:lang w:val="cs-CZ"/>
        </w:rPr>
        <w:t xml:space="preserve">dle 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A4ABA">
        <w:rPr>
          <w:rFonts w:ascii="Times New Roman" w:hAnsi="Times New Roman"/>
          <w:sz w:val="22"/>
          <w:szCs w:val="22"/>
          <w:lang w:val="cs-CZ"/>
        </w:rPr>
        <w:t>Článku</w:t>
      </w:r>
      <w:proofErr w:type="gramEnd"/>
      <w:r w:rsidR="003A4ABA">
        <w:rPr>
          <w:rFonts w:ascii="Times New Roman" w:hAnsi="Times New Roman"/>
          <w:sz w:val="22"/>
          <w:szCs w:val="22"/>
          <w:lang w:val="cs-CZ"/>
        </w:rPr>
        <w:t xml:space="preserve"> 7., odstavce 7.7.  a dle Článku 10., odstavce 10.3. Servisní smlouvy </w:t>
      </w:r>
      <w:r w:rsidR="00321DF2" w:rsidRPr="001A61E8">
        <w:rPr>
          <w:rFonts w:ascii="Times New Roman" w:hAnsi="Times New Roman"/>
          <w:sz w:val="22"/>
          <w:szCs w:val="22"/>
          <w:lang w:val="cs-CZ"/>
        </w:rPr>
        <w:t xml:space="preserve">níže uvedeného dne, </w:t>
      </w:r>
      <w:r>
        <w:rPr>
          <w:rFonts w:ascii="Times New Roman" w:hAnsi="Times New Roman"/>
          <w:sz w:val="22"/>
          <w:szCs w:val="22"/>
          <w:lang w:val="cs-CZ"/>
        </w:rPr>
        <w:t>měsíce a roku tento dodatek č. 2</w:t>
      </w:r>
      <w:r w:rsidR="00321DF2" w:rsidRPr="001A61E8">
        <w:rPr>
          <w:rFonts w:ascii="Times New Roman" w:hAnsi="Times New Roman"/>
          <w:sz w:val="22"/>
          <w:szCs w:val="22"/>
          <w:lang w:val="cs-CZ"/>
        </w:rPr>
        <w:t xml:space="preserve"> k Servisní smlouvě: </w:t>
      </w:r>
    </w:p>
    <w:p w14:paraId="42877804" w14:textId="77777777" w:rsidR="00321DF2" w:rsidRPr="001A61E8" w:rsidRDefault="00321DF2" w:rsidP="00321DF2">
      <w:pPr>
        <w:pStyle w:val="Bezmezer"/>
        <w:jc w:val="center"/>
        <w:rPr>
          <w:rFonts w:ascii="Times New Roman" w:hAnsi="Times New Roman"/>
          <w:b/>
        </w:rPr>
      </w:pPr>
    </w:p>
    <w:p w14:paraId="62141508" w14:textId="77777777" w:rsidR="00321DF2" w:rsidRPr="001A61E8" w:rsidRDefault="00321DF2" w:rsidP="00321DF2">
      <w:pPr>
        <w:pStyle w:val="Bezmezer"/>
        <w:jc w:val="center"/>
        <w:rPr>
          <w:rFonts w:ascii="Times New Roman" w:hAnsi="Times New Roman"/>
          <w:b/>
        </w:rPr>
      </w:pPr>
    </w:p>
    <w:p w14:paraId="3777BD1B" w14:textId="77777777" w:rsidR="000759F1" w:rsidRDefault="000759F1" w:rsidP="00321DF2">
      <w:pPr>
        <w:pStyle w:val="Bezmezer"/>
        <w:jc w:val="center"/>
        <w:rPr>
          <w:rFonts w:ascii="Times New Roman" w:hAnsi="Times New Roman"/>
          <w:b/>
        </w:rPr>
      </w:pPr>
    </w:p>
    <w:p w14:paraId="079E8F8D" w14:textId="77777777" w:rsidR="00321DF2" w:rsidRPr="0045743D" w:rsidRDefault="00321DF2" w:rsidP="00321DF2">
      <w:pPr>
        <w:pStyle w:val="Bezmezer"/>
        <w:jc w:val="center"/>
        <w:rPr>
          <w:rFonts w:ascii="Times New Roman" w:hAnsi="Times New Roman"/>
          <w:b/>
        </w:rPr>
      </w:pPr>
      <w:r w:rsidRPr="0045743D">
        <w:rPr>
          <w:rFonts w:ascii="Times New Roman" w:hAnsi="Times New Roman"/>
          <w:b/>
        </w:rPr>
        <w:t>Článek I.</w:t>
      </w:r>
    </w:p>
    <w:p w14:paraId="68F5C66C" w14:textId="77777777" w:rsidR="00321DF2" w:rsidRPr="0045743D" w:rsidRDefault="00321DF2" w:rsidP="00321DF2">
      <w:pPr>
        <w:pStyle w:val="Bezmezer"/>
        <w:jc w:val="center"/>
        <w:rPr>
          <w:rFonts w:ascii="Times New Roman" w:hAnsi="Times New Roman"/>
          <w:b/>
        </w:rPr>
      </w:pPr>
      <w:r w:rsidRPr="0045743D">
        <w:rPr>
          <w:rFonts w:ascii="Times New Roman" w:hAnsi="Times New Roman"/>
          <w:b/>
        </w:rPr>
        <w:t>Změny Servisní smlouvy</w:t>
      </w:r>
    </w:p>
    <w:p w14:paraId="37CA11E6" w14:textId="77777777" w:rsidR="00321DF2" w:rsidRPr="0045743D" w:rsidRDefault="00321DF2" w:rsidP="00321DF2">
      <w:pPr>
        <w:pStyle w:val="Bezmezer"/>
        <w:jc w:val="center"/>
        <w:rPr>
          <w:rFonts w:ascii="Times New Roman" w:hAnsi="Times New Roman"/>
          <w:b/>
        </w:rPr>
      </w:pPr>
    </w:p>
    <w:p w14:paraId="5E1D7746" w14:textId="77777777" w:rsidR="00321DF2" w:rsidRPr="0092647A" w:rsidRDefault="00321DF2" w:rsidP="00321DF2">
      <w:pPr>
        <w:pStyle w:val="Bezmezer"/>
        <w:numPr>
          <w:ilvl w:val="0"/>
          <w:numId w:val="1"/>
        </w:numPr>
        <w:spacing w:after="240"/>
        <w:ind w:left="567" w:hanging="578"/>
        <w:jc w:val="both"/>
        <w:rPr>
          <w:rFonts w:ascii="Times New Roman" w:hAnsi="Times New Roman"/>
          <w:b/>
        </w:rPr>
      </w:pPr>
      <w:r w:rsidRPr="0045743D">
        <w:rPr>
          <w:rFonts w:ascii="Times New Roman" w:hAnsi="Times New Roman"/>
        </w:rPr>
        <w:t xml:space="preserve">Smluvní strany sjednávají, že </w:t>
      </w:r>
      <w:r w:rsidR="0092647A">
        <w:rPr>
          <w:rFonts w:ascii="Times New Roman" w:hAnsi="Times New Roman"/>
        </w:rPr>
        <w:t>v Článku 6., odstavci 6.</w:t>
      </w:r>
      <w:r w:rsidR="00A83FF4">
        <w:rPr>
          <w:rFonts w:ascii="Times New Roman" w:hAnsi="Times New Roman"/>
        </w:rPr>
        <w:t>1</w:t>
      </w:r>
      <w:r w:rsidR="0092647A">
        <w:rPr>
          <w:rFonts w:ascii="Times New Roman" w:hAnsi="Times New Roman"/>
        </w:rPr>
        <w:t>6</w:t>
      </w:r>
      <w:r w:rsidR="000759F1">
        <w:rPr>
          <w:rFonts w:ascii="Times New Roman" w:hAnsi="Times New Roman"/>
        </w:rPr>
        <w:t>.</w:t>
      </w:r>
      <w:r w:rsidR="0092647A">
        <w:rPr>
          <w:rFonts w:ascii="Times New Roman" w:hAnsi="Times New Roman"/>
        </w:rPr>
        <w:t xml:space="preserve"> S</w:t>
      </w:r>
      <w:r w:rsidR="009D7FC8">
        <w:rPr>
          <w:rFonts w:ascii="Times New Roman" w:hAnsi="Times New Roman"/>
        </w:rPr>
        <w:t>ervisní s</w:t>
      </w:r>
      <w:r w:rsidR="0092647A">
        <w:rPr>
          <w:rFonts w:ascii="Times New Roman" w:hAnsi="Times New Roman"/>
        </w:rPr>
        <w:t>mlouvy se mění sazby, tj. ceny za jednotku uvedené v</w:t>
      </w:r>
      <w:r w:rsidR="00C5227C">
        <w:rPr>
          <w:rFonts w:ascii="Times New Roman" w:hAnsi="Times New Roman"/>
        </w:rPr>
        <w:t> </w:t>
      </w:r>
      <w:r w:rsidR="0092647A">
        <w:rPr>
          <w:rFonts w:ascii="Times New Roman" w:hAnsi="Times New Roman"/>
        </w:rPr>
        <w:t>tabulce</w:t>
      </w:r>
      <w:r w:rsidR="00C5227C">
        <w:rPr>
          <w:rFonts w:ascii="Times New Roman" w:hAnsi="Times New Roman"/>
        </w:rPr>
        <w:t>,</w:t>
      </w:r>
      <w:r w:rsidR="0092647A">
        <w:rPr>
          <w:rFonts w:ascii="Times New Roman" w:hAnsi="Times New Roman"/>
        </w:rPr>
        <w:t xml:space="preserve"> a odstavec 6.</w:t>
      </w:r>
      <w:r w:rsidR="00A83FF4">
        <w:rPr>
          <w:rFonts w:ascii="Times New Roman" w:hAnsi="Times New Roman"/>
        </w:rPr>
        <w:t>1</w:t>
      </w:r>
      <w:r w:rsidR="0092647A">
        <w:rPr>
          <w:rFonts w:ascii="Times New Roman" w:hAnsi="Times New Roman"/>
        </w:rPr>
        <w:t>6</w:t>
      </w:r>
      <w:r w:rsidR="000759F1">
        <w:rPr>
          <w:rFonts w:ascii="Times New Roman" w:hAnsi="Times New Roman"/>
        </w:rPr>
        <w:t>.</w:t>
      </w:r>
      <w:r w:rsidR="0092647A">
        <w:rPr>
          <w:rFonts w:ascii="Times New Roman" w:hAnsi="Times New Roman"/>
        </w:rPr>
        <w:t xml:space="preserve"> S</w:t>
      </w:r>
      <w:r w:rsidR="009D7FC8">
        <w:rPr>
          <w:rFonts w:ascii="Times New Roman" w:hAnsi="Times New Roman"/>
        </w:rPr>
        <w:t>ervisní s</w:t>
      </w:r>
      <w:r w:rsidR="0092647A">
        <w:rPr>
          <w:rFonts w:ascii="Times New Roman" w:hAnsi="Times New Roman"/>
        </w:rPr>
        <w:t xml:space="preserve">mlouvy </w:t>
      </w:r>
      <w:r w:rsidR="00735A68">
        <w:rPr>
          <w:rFonts w:ascii="Times New Roman" w:hAnsi="Times New Roman"/>
        </w:rPr>
        <w:t xml:space="preserve">se mění a nahrazuje novým úplným zněním </w:t>
      </w:r>
      <w:r w:rsidRPr="0045743D">
        <w:rPr>
          <w:rFonts w:ascii="Times New Roman" w:hAnsi="Times New Roman"/>
        </w:rPr>
        <w:t>takto:</w:t>
      </w:r>
      <w:r w:rsidR="00735A68" w:rsidRPr="00735A68">
        <w:t xml:space="preserve"> </w:t>
      </w:r>
    </w:p>
    <w:p w14:paraId="2B75A6A7" w14:textId="77777777" w:rsidR="000759F1" w:rsidRDefault="0092647A" w:rsidP="000759F1">
      <w:pPr>
        <w:pStyle w:val="Bezmezer"/>
        <w:spacing w:after="240"/>
        <w:ind w:left="1134" w:hanging="567"/>
        <w:jc w:val="both"/>
        <w:rPr>
          <w:rFonts w:ascii="Times New Roman" w:hAnsi="Times New Roman"/>
        </w:rPr>
      </w:pPr>
      <w:r w:rsidRPr="00DB6C01">
        <w:rPr>
          <w:rFonts w:ascii="Times New Roman" w:hAnsi="Times New Roman"/>
        </w:rPr>
        <w:lastRenderedPageBreak/>
        <w:t>6.16.</w:t>
      </w:r>
      <w:r>
        <w:rPr>
          <w:rFonts w:ascii="Times New Roman" w:hAnsi="Times New Roman"/>
        </w:rPr>
        <w:t xml:space="preserve"> Dodavatel se zavazuje čtvrtletně předat objednateli zprávu o stavu čerpání služeb poskytnutých dle odstavců 4.2. až 4.15., 4.16., 4.21. a 4.25</w:t>
      </w:r>
      <w:r w:rsidR="000759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této smlouvy v těchto dohodnutých sazbách:</w:t>
      </w:r>
    </w:p>
    <w:tbl>
      <w:tblPr>
        <w:tblStyle w:val="Mkatabulky"/>
        <w:tblW w:w="8221" w:type="dxa"/>
        <w:tblInd w:w="846" w:type="dxa"/>
        <w:tblLook w:val="04A0" w:firstRow="1" w:lastRow="0" w:firstColumn="1" w:lastColumn="0" w:noHBand="0" w:noVBand="1"/>
      </w:tblPr>
      <w:tblGrid>
        <w:gridCol w:w="1329"/>
        <w:gridCol w:w="3490"/>
        <w:gridCol w:w="1485"/>
        <w:gridCol w:w="1917"/>
      </w:tblGrid>
      <w:tr w:rsidR="000759F1" w:rsidRPr="000759F1" w14:paraId="4D2C216F" w14:textId="77777777" w:rsidTr="00133981">
        <w:tc>
          <w:tcPr>
            <w:tcW w:w="1329" w:type="dxa"/>
            <w:vAlign w:val="center"/>
          </w:tcPr>
          <w:p w14:paraId="5B870F8F" w14:textId="77777777" w:rsidR="000759F1" w:rsidRPr="000759F1" w:rsidRDefault="000759F1" w:rsidP="000759F1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Pr="000759F1">
              <w:rPr>
                <w:rFonts w:ascii="Times New Roman" w:hAnsi="Times New Roman"/>
              </w:rPr>
              <w:t>Služba poskytovaná dle článku</w:t>
            </w:r>
          </w:p>
        </w:tc>
        <w:tc>
          <w:tcPr>
            <w:tcW w:w="3490" w:type="dxa"/>
            <w:vAlign w:val="center"/>
          </w:tcPr>
          <w:p w14:paraId="676CD84F" w14:textId="77777777" w:rsidR="000759F1" w:rsidRPr="000759F1" w:rsidRDefault="000759F1" w:rsidP="000759F1">
            <w:pPr>
              <w:pStyle w:val="Bezmezer"/>
              <w:jc w:val="both"/>
              <w:rPr>
                <w:rFonts w:ascii="Times New Roman" w:hAnsi="Times New Roman"/>
              </w:rPr>
            </w:pPr>
            <w:r w:rsidRPr="000759F1">
              <w:rPr>
                <w:rFonts w:ascii="Times New Roman" w:hAnsi="Times New Roman"/>
              </w:rPr>
              <w:t>Popis služby</w:t>
            </w:r>
          </w:p>
        </w:tc>
        <w:tc>
          <w:tcPr>
            <w:tcW w:w="1485" w:type="dxa"/>
            <w:vAlign w:val="center"/>
          </w:tcPr>
          <w:p w14:paraId="55B33619" w14:textId="77777777" w:rsidR="000759F1" w:rsidRPr="000759F1" w:rsidRDefault="000759F1" w:rsidP="000759F1">
            <w:pPr>
              <w:pStyle w:val="Bezmezer"/>
              <w:rPr>
                <w:rFonts w:ascii="Times New Roman" w:hAnsi="Times New Roman"/>
                <w:lang w:val="en-US"/>
              </w:rPr>
            </w:pPr>
            <w:r w:rsidRPr="000759F1">
              <w:rPr>
                <w:rFonts w:ascii="Times New Roman" w:hAnsi="Times New Roman"/>
              </w:rPr>
              <w:t xml:space="preserve">Cena za jednotku </w:t>
            </w: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0759F1">
              <w:rPr>
                <w:rFonts w:ascii="Times New Roman" w:hAnsi="Times New Roman"/>
                <w:lang w:val="en-US"/>
              </w:rPr>
              <w:t>[</w:t>
            </w:r>
            <w:proofErr w:type="gramEnd"/>
            <w:r w:rsidRPr="000759F1">
              <w:rPr>
                <w:rFonts w:ascii="Times New Roman" w:hAnsi="Times New Roman"/>
                <w:lang w:val="en-US"/>
              </w:rPr>
              <w:t>K</w:t>
            </w:r>
            <w:r w:rsidRPr="000759F1">
              <w:rPr>
                <w:rFonts w:ascii="Times New Roman" w:hAnsi="Times New Roman"/>
              </w:rPr>
              <w:t>č</w:t>
            </w:r>
            <w:r w:rsidRPr="000759F1">
              <w:rPr>
                <w:rFonts w:ascii="Times New Roman" w:hAnsi="Times New Roman"/>
                <w:lang w:val="en-US"/>
              </w:rPr>
              <w:t xml:space="preserve"> bez DPH]</w:t>
            </w:r>
          </w:p>
        </w:tc>
        <w:tc>
          <w:tcPr>
            <w:tcW w:w="1917" w:type="dxa"/>
            <w:vAlign w:val="center"/>
          </w:tcPr>
          <w:p w14:paraId="572F5065" w14:textId="77777777" w:rsidR="000759F1" w:rsidRPr="000759F1" w:rsidRDefault="000759F1" w:rsidP="000759F1">
            <w:pPr>
              <w:pStyle w:val="Bezmezer"/>
              <w:jc w:val="both"/>
              <w:rPr>
                <w:rFonts w:ascii="Times New Roman" w:hAnsi="Times New Roman"/>
              </w:rPr>
            </w:pPr>
            <w:r w:rsidRPr="000759F1">
              <w:rPr>
                <w:rFonts w:ascii="Times New Roman" w:hAnsi="Times New Roman"/>
              </w:rPr>
              <w:t>Jednotka</w:t>
            </w:r>
          </w:p>
        </w:tc>
      </w:tr>
      <w:tr w:rsidR="000759F1" w14:paraId="1C3A59CF" w14:textId="77777777" w:rsidTr="00133981">
        <w:tc>
          <w:tcPr>
            <w:tcW w:w="1329" w:type="dxa"/>
            <w:vAlign w:val="center"/>
          </w:tcPr>
          <w:p w14:paraId="310B8AFF" w14:textId="77777777" w:rsidR="000759F1" w:rsidRPr="000759F1" w:rsidRDefault="000759F1" w:rsidP="000759F1">
            <w:pPr>
              <w:pStyle w:val="Bezmezer"/>
              <w:jc w:val="both"/>
              <w:rPr>
                <w:rFonts w:ascii="Times New Roman" w:hAnsi="Times New Roman"/>
              </w:rPr>
            </w:pPr>
            <w:r w:rsidRPr="000759F1">
              <w:rPr>
                <w:rFonts w:ascii="Times New Roman" w:hAnsi="Times New Roman"/>
              </w:rPr>
              <w:t>4.2.</w:t>
            </w:r>
          </w:p>
        </w:tc>
        <w:tc>
          <w:tcPr>
            <w:tcW w:w="3490" w:type="dxa"/>
            <w:vAlign w:val="center"/>
          </w:tcPr>
          <w:p w14:paraId="22E03327" w14:textId="77777777" w:rsidR="000759F1" w:rsidRPr="000759F1" w:rsidRDefault="000759F1" w:rsidP="000759F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HOTLINE pro UŽIVATELE</w:t>
            </w:r>
          </w:p>
        </w:tc>
        <w:tc>
          <w:tcPr>
            <w:tcW w:w="1485" w:type="dxa"/>
            <w:vAlign w:val="center"/>
          </w:tcPr>
          <w:p w14:paraId="0E1722D5" w14:textId="77777777" w:rsidR="000759F1" w:rsidRPr="00DB6C01" w:rsidRDefault="00E608A9" w:rsidP="000759F1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14.694,33</w:t>
            </w:r>
          </w:p>
        </w:tc>
        <w:tc>
          <w:tcPr>
            <w:tcW w:w="1917" w:type="dxa"/>
            <w:vAlign w:val="center"/>
          </w:tcPr>
          <w:p w14:paraId="289FF9AE" w14:textId="77777777" w:rsidR="000759F1" w:rsidRPr="000759F1" w:rsidRDefault="000759F1" w:rsidP="000759F1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0759F1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83450F" w14:paraId="354F8756" w14:textId="77777777" w:rsidTr="00133981">
        <w:tc>
          <w:tcPr>
            <w:tcW w:w="1329" w:type="dxa"/>
            <w:vAlign w:val="center"/>
          </w:tcPr>
          <w:p w14:paraId="05942CA0" w14:textId="77777777" w:rsidR="0083450F" w:rsidRPr="000759F1" w:rsidRDefault="0083450F" w:rsidP="0083450F">
            <w:pPr>
              <w:pStyle w:val="Bezmezer"/>
              <w:jc w:val="both"/>
              <w:rPr>
                <w:rFonts w:ascii="Times New Roman" w:hAnsi="Times New Roman"/>
              </w:rPr>
            </w:pPr>
            <w:r w:rsidRPr="000759F1">
              <w:rPr>
                <w:rFonts w:ascii="Times New Roman" w:hAnsi="Times New Roman"/>
              </w:rPr>
              <w:t>4.3.</w:t>
            </w:r>
          </w:p>
        </w:tc>
        <w:tc>
          <w:tcPr>
            <w:tcW w:w="3490" w:type="dxa"/>
            <w:vAlign w:val="center"/>
          </w:tcPr>
          <w:p w14:paraId="2080A21C" w14:textId="77777777" w:rsidR="0083450F" w:rsidRPr="000759F1" w:rsidRDefault="0083450F" w:rsidP="0083450F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HOTLINE pro UŽIVATELE v jiných časech</w:t>
            </w:r>
          </w:p>
        </w:tc>
        <w:tc>
          <w:tcPr>
            <w:tcW w:w="1485" w:type="dxa"/>
            <w:vAlign w:val="center"/>
          </w:tcPr>
          <w:p w14:paraId="01D7D78E" w14:textId="77777777" w:rsidR="0083450F" w:rsidRPr="00DB6C01" w:rsidRDefault="00E608A9" w:rsidP="0083450F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14.694,33</w:t>
            </w:r>
          </w:p>
        </w:tc>
        <w:tc>
          <w:tcPr>
            <w:tcW w:w="1917" w:type="dxa"/>
            <w:vAlign w:val="center"/>
          </w:tcPr>
          <w:p w14:paraId="50750BB9" w14:textId="77777777" w:rsidR="0083450F" w:rsidRDefault="0083450F" w:rsidP="0083450F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83450F" w14:paraId="7931E0C6" w14:textId="77777777" w:rsidTr="00133981">
        <w:tc>
          <w:tcPr>
            <w:tcW w:w="1329" w:type="dxa"/>
            <w:vAlign w:val="center"/>
          </w:tcPr>
          <w:p w14:paraId="4707B187" w14:textId="77777777" w:rsidR="0083450F" w:rsidRPr="000759F1" w:rsidRDefault="0083450F" w:rsidP="0083450F">
            <w:pPr>
              <w:pStyle w:val="Bezmezer"/>
              <w:jc w:val="both"/>
              <w:rPr>
                <w:rFonts w:ascii="Times New Roman" w:hAnsi="Times New Roman"/>
              </w:rPr>
            </w:pPr>
            <w:r w:rsidRPr="000759F1">
              <w:rPr>
                <w:rFonts w:ascii="Times New Roman" w:hAnsi="Times New Roman"/>
              </w:rPr>
              <w:t>4.4.</w:t>
            </w:r>
          </w:p>
        </w:tc>
        <w:tc>
          <w:tcPr>
            <w:tcW w:w="3490" w:type="dxa"/>
            <w:vAlign w:val="center"/>
          </w:tcPr>
          <w:p w14:paraId="0D32663B" w14:textId="77777777" w:rsidR="0083450F" w:rsidRPr="000759F1" w:rsidRDefault="0083450F" w:rsidP="0083450F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Klientská služba pro UŽIVATELE VEŘEJNÝCH ČÁSTÍ APV</w:t>
            </w:r>
          </w:p>
        </w:tc>
        <w:tc>
          <w:tcPr>
            <w:tcW w:w="1485" w:type="dxa"/>
            <w:vAlign w:val="center"/>
          </w:tcPr>
          <w:p w14:paraId="6188A545" w14:textId="77777777" w:rsidR="0083450F" w:rsidRPr="00DB6C01" w:rsidRDefault="00E608A9" w:rsidP="0083450F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14.694,33</w:t>
            </w:r>
          </w:p>
        </w:tc>
        <w:tc>
          <w:tcPr>
            <w:tcW w:w="1917" w:type="dxa"/>
            <w:vAlign w:val="center"/>
          </w:tcPr>
          <w:p w14:paraId="52393EFA" w14:textId="77777777" w:rsidR="0083450F" w:rsidRDefault="0083450F" w:rsidP="0083450F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0759F1" w14:paraId="2B3B6409" w14:textId="77777777" w:rsidTr="00133981">
        <w:tc>
          <w:tcPr>
            <w:tcW w:w="1329" w:type="dxa"/>
            <w:vAlign w:val="center"/>
          </w:tcPr>
          <w:p w14:paraId="0988F19C" w14:textId="77777777" w:rsidR="000759F1" w:rsidRPr="000759F1" w:rsidRDefault="000759F1" w:rsidP="000759F1">
            <w:pPr>
              <w:pStyle w:val="Bezmezer"/>
              <w:jc w:val="both"/>
              <w:rPr>
                <w:rFonts w:ascii="Times New Roman" w:hAnsi="Times New Roman"/>
              </w:rPr>
            </w:pPr>
            <w:r w:rsidRPr="000759F1">
              <w:rPr>
                <w:rFonts w:ascii="Times New Roman" w:hAnsi="Times New Roman"/>
              </w:rPr>
              <w:t>4.5.</w:t>
            </w:r>
          </w:p>
        </w:tc>
        <w:tc>
          <w:tcPr>
            <w:tcW w:w="3490" w:type="dxa"/>
            <w:vAlign w:val="center"/>
          </w:tcPr>
          <w:p w14:paraId="65A9B3E1" w14:textId="77777777" w:rsidR="000759F1" w:rsidRPr="000759F1" w:rsidRDefault="000759F1" w:rsidP="000759F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Odstraňování VAD</w:t>
            </w:r>
          </w:p>
        </w:tc>
        <w:tc>
          <w:tcPr>
            <w:tcW w:w="1485" w:type="dxa"/>
            <w:vAlign w:val="center"/>
          </w:tcPr>
          <w:p w14:paraId="3A66A025" w14:textId="77777777" w:rsidR="000759F1" w:rsidRPr="00DB6C01" w:rsidRDefault="00E608A9" w:rsidP="000759F1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17.137,54</w:t>
            </w:r>
          </w:p>
        </w:tc>
        <w:tc>
          <w:tcPr>
            <w:tcW w:w="1917" w:type="dxa"/>
            <w:vAlign w:val="center"/>
          </w:tcPr>
          <w:p w14:paraId="0E1A8A61" w14:textId="77777777" w:rsidR="000759F1" w:rsidRDefault="000759F1" w:rsidP="000759F1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83450F" w14:paraId="68A276A6" w14:textId="77777777" w:rsidTr="00133981">
        <w:tc>
          <w:tcPr>
            <w:tcW w:w="1329" w:type="dxa"/>
            <w:vAlign w:val="center"/>
          </w:tcPr>
          <w:p w14:paraId="20797AF9" w14:textId="77777777" w:rsidR="0083450F" w:rsidRPr="000759F1" w:rsidRDefault="0083450F" w:rsidP="0083450F">
            <w:pPr>
              <w:pStyle w:val="Bezmezer"/>
              <w:jc w:val="both"/>
              <w:rPr>
                <w:rFonts w:ascii="Times New Roman" w:hAnsi="Times New Roman"/>
              </w:rPr>
            </w:pPr>
            <w:r w:rsidRPr="000759F1">
              <w:rPr>
                <w:rFonts w:ascii="Times New Roman" w:hAnsi="Times New Roman"/>
              </w:rPr>
              <w:t>4.6.</w:t>
            </w:r>
          </w:p>
        </w:tc>
        <w:tc>
          <w:tcPr>
            <w:tcW w:w="3490" w:type="dxa"/>
            <w:vAlign w:val="center"/>
          </w:tcPr>
          <w:p w14:paraId="6F6F63CB" w14:textId="77777777" w:rsidR="0083450F" w:rsidRPr="000759F1" w:rsidRDefault="0083450F" w:rsidP="0083450F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ŘEŠENÍ PROBLÉMU</w:t>
            </w:r>
          </w:p>
        </w:tc>
        <w:tc>
          <w:tcPr>
            <w:tcW w:w="1485" w:type="dxa"/>
            <w:vAlign w:val="center"/>
          </w:tcPr>
          <w:p w14:paraId="1F544B93" w14:textId="77777777" w:rsidR="0083450F" w:rsidRPr="00DB6C01" w:rsidRDefault="00E608A9" w:rsidP="0083450F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17.137,54</w:t>
            </w:r>
          </w:p>
        </w:tc>
        <w:tc>
          <w:tcPr>
            <w:tcW w:w="1917" w:type="dxa"/>
            <w:vAlign w:val="center"/>
          </w:tcPr>
          <w:p w14:paraId="7FE3FE5F" w14:textId="77777777" w:rsidR="0083450F" w:rsidRDefault="0083450F" w:rsidP="0083450F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83450F" w14:paraId="6820F739" w14:textId="77777777" w:rsidTr="00133981">
        <w:tc>
          <w:tcPr>
            <w:tcW w:w="1329" w:type="dxa"/>
            <w:vAlign w:val="center"/>
          </w:tcPr>
          <w:p w14:paraId="3BAEAD20" w14:textId="77777777" w:rsidR="0083450F" w:rsidRPr="000759F1" w:rsidRDefault="0083450F" w:rsidP="0083450F">
            <w:pPr>
              <w:pStyle w:val="Bezmezer"/>
              <w:jc w:val="both"/>
              <w:rPr>
                <w:rFonts w:ascii="Times New Roman" w:hAnsi="Times New Roman"/>
              </w:rPr>
            </w:pPr>
            <w:r w:rsidRPr="000759F1">
              <w:rPr>
                <w:rFonts w:ascii="Times New Roman" w:hAnsi="Times New Roman"/>
              </w:rPr>
              <w:t>4.7.</w:t>
            </w:r>
          </w:p>
        </w:tc>
        <w:tc>
          <w:tcPr>
            <w:tcW w:w="3490" w:type="dxa"/>
            <w:vAlign w:val="center"/>
          </w:tcPr>
          <w:p w14:paraId="373470E7" w14:textId="77777777" w:rsidR="0083450F" w:rsidRPr="000759F1" w:rsidRDefault="0083450F" w:rsidP="0083450F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ŘEŠENÍ HAVÁRIE</w:t>
            </w:r>
          </w:p>
        </w:tc>
        <w:tc>
          <w:tcPr>
            <w:tcW w:w="1485" w:type="dxa"/>
            <w:vAlign w:val="center"/>
          </w:tcPr>
          <w:p w14:paraId="71DC244F" w14:textId="77777777" w:rsidR="0083450F" w:rsidRPr="00DB6C01" w:rsidRDefault="00E608A9" w:rsidP="0083450F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17.137,54</w:t>
            </w:r>
          </w:p>
        </w:tc>
        <w:tc>
          <w:tcPr>
            <w:tcW w:w="1917" w:type="dxa"/>
            <w:vAlign w:val="center"/>
          </w:tcPr>
          <w:p w14:paraId="2569D519" w14:textId="77777777" w:rsidR="0083450F" w:rsidRDefault="0083450F" w:rsidP="0083450F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DF2463" w14:paraId="17734753" w14:textId="77777777" w:rsidTr="00133981">
        <w:tc>
          <w:tcPr>
            <w:tcW w:w="1329" w:type="dxa"/>
            <w:vAlign w:val="center"/>
          </w:tcPr>
          <w:p w14:paraId="53B92910" w14:textId="77777777" w:rsidR="00DF2463" w:rsidRPr="000759F1" w:rsidRDefault="00DF2463" w:rsidP="00DF2463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</w:t>
            </w:r>
          </w:p>
        </w:tc>
        <w:tc>
          <w:tcPr>
            <w:tcW w:w="3490" w:type="dxa"/>
            <w:vAlign w:val="center"/>
          </w:tcPr>
          <w:p w14:paraId="01691F1C" w14:textId="77777777" w:rsidR="00DF2463" w:rsidRDefault="00DF2463" w:rsidP="00DF2463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VZDÁLENÝ MONITORING IS</w:t>
            </w:r>
          </w:p>
        </w:tc>
        <w:tc>
          <w:tcPr>
            <w:tcW w:w="1485" w:type="dxa"/>
            <w:vAlign w:val="center"/>
          </w:tcPr>
          <w:p w14:paraId="38DB35E9" w14:textId="77777777" w:rsidR="00DF2463" w:rsidRPr="00DB6C01" w:rsidRDefault="00E608A9" w:rsidP="00DF246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18.364,99</w:t>
            </w:r>
          </w:p>
        </w:tc>
        <w:tc>
          <w:tcPr>
            <w:tcW w:w="1917" w:type="dxa"/>
            <w:vAlign w:val="center"/>
          </w:tcPr>
          <w:p w14:paraId="4CB00316" w14:textId="77777777" w:rsidR="00DF2463" w:rsidRDefault="00DF2463" w:rsidP="00DF2463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DF2463" w14:paraId="396A4919" w14:textId="77777777" w:rsidTr="00133981">
        <w:tc>
          <w:tcPr>
            <w:tcW w:w="1329" w:type="dxa"/>
            <w:vAlign w:val="center"/>
          </w:tcPr>
          <w:p w14:paraId="3C83F6F2" w14:textId="77777777" w:rsidR="00DF2463" w:rsidRPr="000759F1" w:rsidRDefault="00DF2463" w:rsidP="00DF2463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</w:t>
            </w:r>
          </w:p>
        </w:tc>
        <w:tc>
          <w:tcPr>
            <w:tcW w:w="3490" w:type="dxa"/>
            <w:vAlign w:val="center"/>
          </w:tcPr>
          <w:p w14:paraId="2DA579CE" w14:textId="77777777" w:rsidR="00DF2463" w:rsidRDefault="00DF2463" w:rsidP="00DF2463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DISTRIBUCE</w:t>
            </w:r>
          </w:p>
        </w:tc>
        <w:tc>
          <w:tcPr>
            <w:tcW w:w="1485" w:type="dxa"/>
            <w:vAlign w:val="center"/>
          </w:tcPr>
          <w:p w14:paraId="403EB026" w14:textId="77777777" w:rsidR="00DF2463" w:rsidRPr="00DB6C01" w:rsidRDefault="00E608A9" w:rsidP="00DF246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17.137,54</w:t>
            </w:r>
          </w:p>
        </w:tc>
        <w:tc>
          <w:tcPr>
            <w:tcW w:w="1917" w:type="dxa"/>
            <w:vAlign w:val="center"/>
          </w:tcPr>
          <w:p w14:paraId="3FF87341" w14:textId="77777777" w:rsidR="00DF2463" w:rsidRDefault="00DF2463" w:rsidP="00DF2463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DF2463" w14:paraId="2F321A10" w14:textId="77777777" w:rsidTr="00133981">
        <w:tc>
          <w:tcPr>
            <w:tcW w:w="1329" w:type="dxa"/>
            <w:vAlign w:val="center"/>
          </w:tcPr>
          <w:p w14:paraId="3D831EAC" w14:textId="77777777" w:rsidR="00DF2463" w:rsidRPr="000759F1" w:rsidRDefault="00DF2463" w:rsidP="00DF2463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</w:t>
            </w:r>
          </w:p>
        </w:tc>
        <w:tc>
          <w:tcPr>
            <w:tcW w:w="3490" w:type="dxa"/>
            <w:vAlign w:val="center"/>
          </w:tcPr>
          <w:p w14:paraId="6A3C771C" w14:textId="77777777" w:rsidR="00DF2463" w:rsidRDefault="00DF2463" w:rsidP="00DF2463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VZDÁLENÁ PROFYLAXE IS</w:t>
            </w:r>
          </w:p>
        </w:tc>
        <w:tc>
          <w:tcPr>
            <w:tcW w:w="1485" w:type="dxa"/>
            <w:vAlign w:val="center"/>
          </w:tcPr>
          <w:p w14:paraId="2CB26A14" w14:textId="77777777" w:rsidR="00DF2463" w:rsidRPr="00DB6C01" w:rsidRDefault="00E608A9" w:rsidP="00DF246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18.364,99</w:t>
            </w:r>
          </w:p>
        </w:tc>
        <w:tc>
          <w:tcPr>
            <w:tcW w:w="1917" w:type="dxa"/>
            <w:vAlign w:val="center"/>
          </w:tcPr>
          <w:p w14:paraId="539C533C" w14:textId="77777777" w:rsidR="00DF2463" w:rsidRDefault="00DF2463" w:rsidP="00DF2463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DF2463" w14:paraId="3DA20DAA" w14:textId="77777777" w:rsidTr="00133981">
        <w:tc>
          <w:tcPr>
            <w:tcW w:w="1329" w:type="dxa"/>
            <w:vAlign w:val="center"/>
          </w:tcPr>
          <w:p w14:paraId="301E958E" w14:textId="77777777" w:rsidR="00DF2463" w:rsidRDefault="00DF2463" w:rsidP="00DF2463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</w:t>
            </w:r>
          </w:p>
        </w:tc>
        <w:tc>
          <w:tcPr>
            <w:tcW w:w="3490" w:type="dxa"/>
            <w:vAlign w:val="center"/>
          </w:tcPr>
          <w:p w14:paraId="205C35D7" w14:textId="77777777" w:rsidR="00DF2463" w:rsidRDefault="00DF2463" w:rsidP="00DF2463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Provoz WWW serveru</w:t>
            </w:r>
          </w:p>
        </w:tc>
        <w:tc>
          <w:tcPr>
            <w:tcW w:w="1485" w:type="dxa"/>
            <w:vAlign w:val="center"/>
          </w:tcPr>
          <w:p w14:paraId="0C8A3700" w14:textId="77777777" w:rsidR="00DF2463" w:rsidRPr="00DB6C01" w:rsidRDefault="00E608A9" w:rsidP="00DF246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46.760,--</w:t>
            </w:r>
          </w:p>
        </w:tc>
        <w:tc>
          <w:tcPr>
            <w:tcW w:w="1917" w:type="dxa"/>
            <w:vAlign w:val="center"/>
          </w:tcPr>
          <w:p w14:paraId="2D6CAFD3" w14:textId="77777777" w:rsidR="00DF2463" w:rsidRDefault="00DB6C01" w:rsidP="00DF246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měsíc</w:t>
            </w:r>
          </w:p>
        </w:tc>
      </w:tr>
      <w:tr w:rsidR="00DF2463" w14:paraId="6E0AB4F0" w14:textId="77777777" w:rsidTr="00133981">
        <w:tc>
          <w:tcPr>
            <w:tcW w:w="1329" w:type="dxa"/>
            <w:vAlign w:val="center"/>
          </w:tcPr>
          <w:p w14:paraId="0CF30EB3" w14:textId="77777777" w:rsidR="00DF2463" w:rsidRDefault="00DF2463" w:rsidP="00DF2463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</w:t>
            </w:r>
          </w:p>
        </w:tc>
        <w:tc>
          <w:tcPr>
            <w:tcW w:w="3490" w:type="dxa"/>
            <w:vAlign w:val="center"/>
          </w:tcPr>
          <w:p w14:paraId="638797A2" w14:textId="77777777" w:rsidR="00DF2463" w:rsidRDefault="00DF2463" w:rsidP="00DF2463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VZDÁLENÁ DISTRIBUCE</w:t>
            </w:r>
          </w:p>
        </w:tc>
        <w:tc>
          <w:tcPr>
            <w:tcW w:w="1485" w:type="dxa"/>
            <w:vAlign w:val="center"/>
          </w:tcPr>
          <w:p w14:paraId="63D0FAF0" w14:textId="77777777" w:rsidR="00DF2463" w:rsidRPr="00DB6C01" w:rsidRDefault="00E608A9" w:rsidP="00DF246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17.137,54</w:t>
            </w:r>
          </w:p>
        </w:tc>
        <w:tc>
          <w:tcPr>
            <w:tcW w:w="1917" w:type="dxa"/>
            <w:vAlign w:val="center"/>
          </w:tcPr>
          <w:p w14:paraId="6337C844" w14:textId="77777777" w:rsidR="00DF2463" w:rsidRDefault="00DF2463" w:rsidP="00DF2463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DF2463" w14:paraId="513C512D" w14:textId="77777777" w:rsidTr="00133981">
        <w:tc>
          <w:tcPr>
            <w:tcW w:w="1329" w:type="dxa"/>
            <w:vAlign w:val="center"/>
          </w:tcPr>
          <w:p w14:paraId="2BCC4C08" w14:textId="77777777" w:rsidR="00DF2463" w:rsidRDefault="00DF2463" w:rsidP="00DF2463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4.13.</w:t>
            </w:r>
          </w:p>
        </w:tc>
        <w:tc>
          <w:tcPr>
            <w:tcW w:w="3490" w:type="dxa"/>
            <w:vAlign w:val="center"/>
          </w:tcPr>
          <w:p w14:paraId="578D97A9" w14:textId="77777777" w:rsidR="00DF2463" w:rsidRDefault="00DF2463" w:rsidP="00DF2463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ÚDRŽBA APV na vyžádání</w:t>
            </w:r>
          </w:p>
        </w:tc>
        <w:tc>
          <w:tcPr>
            <w:tcW w:w="1485" w:type="dxa"/>
            <w:vAlign w:val="center"/>
          </w:tcPr>
          <w:p w14:paraId="6E00168B" w14:textId="77777777" w:rsidR="00DF2463" w:rsidRPr="00DB6C01" w:rsidRDefault="00E608A9" w:rsidP="00DF246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17.137,54</w:t>
            </w:r>
          </w:p>
        </w:tc>
        <w:tc>
          <w:tcPr>
            <w:tcW w:w="1917" w:type="dxa"/>
            <w:vAlign w:val="center"/>
          </w:tcPr>
          <w:p w14:paraId="146DBEC5" w14:textId="77777777" w:rsidR="00DF2463" w:rsidRDefault="00DF2463" w:rsidP="00DF2463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DF2463" w14:paraId="6593A58B" w14:textId="77777777" w:rsidTr="00133981">
        <w:tc>
          <w:tcPr>
            <w:tcW w:w="1329" w:type="dxa"/>
            <w:vAlign w:val="center"/>
          </w:tcPr>
          <w:p w14:paraId="1202FB60" w14:textId="77777777" w:rsidR="00DF2463" w:rsidRDefault="00DF2463" w:rsidP="00DF2463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4.14.</w:t>
            </w:r>
          </w:p>
        </w:tc>
        <w:tc>
          <w:tcPr>
            <w:tcW w:w="3490" w:type="dxa"/>
            <w:vAlign w:val="center"/>
          </w:tcPr>
          <w:p w14:paraId="1772450E" w14:textId="77777777" w:rsidR="00DF2463" w:rsidRDefault="00DF2463" w:rsidP="00DF2463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ÚDRŽBA APV (legislativní)</w:t>
            </w:r>
          </w:p>
        </w:tc>
        <w:tc>
          <w:tcPr>
            <w:tcW w:w="1485" w:type="dxa"/>
            <w:vAlign w:val="center"/>
          </w:tcPr>
          <w:p w14:paraId="15CFDFE3" w14:textId="77777777" w:rsidR="00DF2463" w:rsidRPr="00DB6C01" w:rsidRDefault="00E608A9" w:rsidP="00DF246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17.137,54</w:t>
            </w:r>
          </w:p>
        </w:tc>
        <w:tc>
          <w:tcPr>
            <w:tcW w:w="1917" w:type="dxa"/>
            <w:vAlign w:val="center"/>
          </w:tcPr>
          <w:p w14:paraId="62CCCAF9" w14:textId="77777777" w:rsidR="00DF2463" w:rsidRDefault="00DF2463" w:rsidP="00DF2463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DF2463" w14:paraId="14CF8E9E" w14:textId="77777777" w:rsidTr="00133981">
        <w:tc>
          <w:tcPr>
            <w:tcW w:w="1329" w:type="dxa"/>
            <w:vAlign w:val="center"/>
          </w:tcPr>
          <w:p w14:paraId="6C42C5B2" w14:textId="77777777" w:rsidR="00DF2463" w:rsidRDefault="00DF2463" w:rsidP="00DF2463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4.15.</w:t>
            </w:r>
          </w:p>
        </w:tc>
        <w:tc>
          <w:tcPr>
            <w:tcW w:w="3490" w:type="dxa"/>
            <w:vAlign w:val="center"/>
          </w:tcPr>
          <w:p w14:paraId="58A735B3" w14:textId="77777777" w:rsidR="00DF2463" w:rsidRDefault="00DF2463" w:rsidP="00DF2463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Aktualizace PROJEKTOVÉ DOKUMENTACE</w:t>
            </w:r>
          </w:p>
        </w:tc>
        <w:tc>
          <w:tcPr>
            <w:tcW w:w="1485" w:type="dxa"/>
            <w:vAlign w:val="center"/>
          </w:tcPr>
          <w:p w14:paraId="21C3ED92" w14:textId="77777777" w:rsidR="00DF2463" w:rsidRPr="00DB6C01" w:rsidRDefault="00E608A9" w:rsidP="00DF246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14.694,33</w:t>
            </w:r>
          </w:p>
        </w:tc>
        <w:tc>
          <w:tcPr>
            <w:tcW w:w="1917" w:type="dxa"/>
            <w:vAlign w:val="center"/>
          </w:tcPr>
          <w:p w14:paraId="747DAFD6" w14:textId="77777777" w:rsidR="00DF2463" w:rsidRDefault="00DF2463" w:rsidP="00DF2463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0759F1" w14:paraId="6CCC564A" w14:textId="77777777" w:rsidTr="00133981">
        <w:tc>
          <w:tcPr>
            <w:tcW w:w="1329" w:type="dxa"/>
            <w:vAlign w:val="center"/>
          </w:tcPr>
          <w:p w14:paraId="799F1032" w14:textId="77777777" w:rsidR="000759F1" w:rsidRPr="000759F1" w:rsidRDefault="000759F1" w:rsidP="000759F1">
            <w:pPr>
              <w:pStyle w:val="Bezmezer"/>
              <w:jc w:val="both"/>
              <w:rPr>
                <w:rFonts w:ascii="Times New Roman" w:hAnsi="Times New Roman"/>
              </w:rPr>
            </w:pPr>
            <w:r w:rsidRPr="000759F1">
              <w:rPr>
                <w:rFonts w:ascii="Times New Roman" w:hAnsi="Times New Roman"/>
              </w:rPr>
              <w:t>4.16</w:t>
            </w:r>
          </w:p>
        </w:tc>
        <w:tc>
          <w:tcPr>
            <w:tcW w:w="3490" w:type="dxa"/>
            <w:vAlign w:val="center"/>
          </w:tcPr>
          <w:p w14:paraId="663D5555" w14:textId="77777777" w:rsidR="000759F1" w:rsidRPr="000759F1" w:rsidRDefault="000759F1" w:rsidP="000759F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PROFYLAXE IS</w:t>
            </w:r>
          </w:p>
        </w:tc>
        <w:tc>
          <w:tcPr>
            <w:tcW w:w="1485" w:type="dxa"/>
            <w:vAlign w:val="center"/>
          </w:tcPr>
          <w:p w14:paraId="59FF91CB" w14:textId="77777777" w:rsidR="000759F1" w:rsidRPr="00DB6C01" w:rsidRDefault="00E608A9" w:rsidP="000759F1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18.364,99</w:t>
            </w:r>
          </w:p>
        </w:tc>
        <w:tc>
          <w:tcPr>
            <w:tcW w:w="1917" w:type="dxa"/>
            <w:vAlign w:val="center"/>
          </w:tcPr>
          <w:p w14:paraId="3C88F283" w14:textId="77777777" w:rsidR="000759F1" w:rsidRDefault="000759F1" w:rsidP="000759F1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0759F1" w14:paraId="5D6F2280" w14:textId="77777777" w:rsidTr="00133981">
        <w:tc>
          <w:tcPr>
            <w:tcW w:w="1329" w:type="dxa"/>
            <w:vAlign w:val="center"/>
          </w:tcPr>
          <w:p w14:paraId="761758C1" w14:textId="77777777" w:rsidR="000759F1" w:rsidRPr="000759F1" w:rsidRDefault="000759F1" w:rsidP="000759F1">
            <w:pPr>
              <w:pStyle w:val="Bezmezer"/>
              <w:jc w:val="both"/>
              <w:rPr>
                <w:rFonts w:ascii="Times New Roman" w:hAnsi="Times New Roman"/>
              </w:rPr>
            </w:pPr>
            <w:r w:rsidRPr="000759F1">
              <w:rPr>
                <w:rFonts w:ascii="Times New Roman" w:hAnsi="Times New Roman"/>
              </w:rPr>
              <w:t>4.21.</w:t>
            </w:r>
          </w:p>
        </w:tc>
        <w:tc>
          <w:tcPr>
            <w:tcW w:w="3490" w:type="dxa"/>
            <w:vAlign w:val="center"/>
          </w:tcPr>
          <w:p w14:paraId="78B4D853" w14:textId="77777777" w:rsidR="000759F1" w:rsidRPr="000759F1" w:rsidRDefault="000759F1" w:rsidP="000759F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REINSTALACE</w:t>
            </w:r>
          </w:p>
        </w:tc>
        <w:tc>
          <w:tcPr>
            <w:tcW w:w="1485" w:type="dxa"/>
            <w:vAlign w:val="center"/>
          </w:tcPr>
          <w:p w14:paraId="4CDBDDDD" w14:textId="77777777" w:rsidR="000759F1" w:rsidRPr="00DB6C01" w:rsidRDefault="00E608A9" w:rsidP="000759F1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17.137,54</w:t>
            </w:r>
          </w:p>
        </w:tc>
        <w:tc>
          <w:tcPr>
            <w:tcW w:w="1917" w:type="dxa"/>
            <w:vAlign w:val="center"/>
          </w:tcPr>
          <w:p w14:paraId="29DB4EEA" w14:textId="77777777" w:rsidR="000759F1" w:rsidRDefault="000759F1" w:rsidP="000759F1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  <w:tr w:rsidR="00DF2463" w14:paraId="33B360BD" w14:textId="77777777" w:rsidTr="00133981">
        <w:tc>
          <w:tcPr>
            <w:tcW w:w="1329" w:type="dxa"/>
            <w:vAlign w:val="center"/>
          </w:tcPr>
          <w:p w14:paraId="0B8B6AE2" w14:textId="77777777" w:rsidR="00DF2463" w:rsidRPr="000759F1" w:rsidRDefault="00DF2463" w:rsidP="00DF2463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4.25.</w:t>
            </w:r>
          </w:p>
        </w:tc>
        <w:tc>
          <w:tcPr>
            <w:tcW w:w="3490" w:type="dxa"/>
            <w:vAlign w:val="center"/>
          </w:tcPr>
          <w:p w14:paraId="7E902688" w14:textId="77777777" w:rsidR="00DF2463" w:rsidRDefault="00DF2463" w:rsidP="00DF2463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Vedení projektu</w:t>
            </w:r>
          </w:p>
        </w:tc>
        <w:tc>
          <w:tcPr>
            <w:tcW w:w="1485" w:type="dxa"/>
            <w:vAlign w:val="center"/>
          </w:tcPr>
          <w:p w14:paraId="7B2325B7" w14:textId="77777777" w:rsidR="00DF2463" w:rsidRPr="00DB6C01" w:rsidRDefault="00E608A9" w:rsidP="00DF246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18.364,99</w:t>
            </w:r>
          </w:p>
        </w:tc>
        <w:tc>
          <w:tcPr>
            <w:tcW w:w="1917" w:type="dxa"/>
            <w:vAlign w:val="center"/>
          </w:tcPr>
          <w:p w14:paraId="0E6AD67E" w14:textId="77777777" w:rsidR="00DF2463" w:rsidRDefault="00DF2463" w:rsidP="00DF2463">
            <w:pPr>
              <w:spacing w:after="0"/>
            </w:pPr>
            <w:r w:rsidRPr="006020F5">
              <w:rPr>
                <w:rFonts w:ascii="Times New Roman" w:hAnsi="Times New Roman"/>
                <w:sz w:val="20"/>
                <w:szCs w:val="20"/>
              </w:rPr>
              <w:t>DEN PRÁCE SPECIALISTY</w:t>
            </w:r>
          </w:p>
        </w:tc>
      </w:tr>
    </w:tbl>
    <w:p w14:paraId="0392F8A6" w14:textId="77777777" w:rsidR="000759F1" w:rsidRPr="002B6823" w:rsidRDefault="000759F1" w:rsidP="000759F1">
      <w:pPr>
        <w:pStyle w:val="Bezmezer"/>
        <w:spacing w:after="240"/>
        <w:ind w:left="1134" w:hanging="567"/>
        <w:jc w:val="both"/>
        <w:rPr>
          <w:rFonts w:ascii="Times New Roman" w:hAnsi="Times New Roman"/>
          <w:b/>
        </w:rPr>
      </w:pPr>
    </w:p>
    <w:p w14:paraId="38599E72" w14:textId="77777777" w:rsidR="00DB6C01" w:rsidRPr="0092647A" w:rsidRDefault="00DB6C01" w:rsidP="00DB6C01">
      <w:pPr>
        <w:pStyle w:val="Bezmezer"/>
        <w:numPr>
          <w:ilvl w:val="0"/>
          <w:numId w:val="1"/>
        </w:numPr>
        <w:spacing w:after="240"/>
        <w:ind w:left="567" w:hanging="578"/>
        <w:jc w:val="both"/>
        <w:rPr>
          <w:rFonts w:ascii="Times New Roman" w:hAnsi="Times New Roman"/>
          <w:b/>
        </w:rPr>
      </w:pPr>
      <w:r w:rsidRPr="0045743D">
        <w:rPr>
          <w:rFonts w:ascii="Times New Roman" w:hAnsi="Times New Roman"/>
        </w:rPr>
        <w:t xml:space="preserve">Smluvní strany sjednávají, že </w:t>
      </w:r>
      <w:r>
        <w:rPr>
          <w:rFonts w:ascii="Times New Roman" w:hAnsi="Times New Roman"/>
        </w:rPr>
        <w:t>v Článku 7.</w:t>
      </w:r>
      <w:r w:rsidR="00735A68">
        <w:rPr>
          <w:rFonts w:ascii="Times New Roman" w:hAnsi="Times New Roman"/>
        </w:rPr>
        <w:t>, odstavci 7.2</w:t>
      </w:r>
      <w:r w:rsidR="00EE368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</w:t>
      </w:r>
      <w:r w:rsidR="009D7FC8">
        <w:rPr>
          <w:rFonts w:ascii="Times New Roman" w:hAnsi="Times New Roman"/>
        </w:rPr>
        <w:t>ervisní s</w:t>
      </w:r>
      <w:r>
        <w:rPr>
          <w:rFonts w:ascii="Times New Roman" w:hAnsi="Times New Roman"/>
        </w:rPr>
        <w:t xml:space="preserve">mlouvy se mění </w:t>
      </w:r>
      <w:r w:rsidR="009D7FC8">
        <w:rPr>
          <w:rFonts w:ascii="Times New Roman" w:hAnsi="Times New Roman"/>
        </w:rPr>
        <w:t xml:space="preserve">cena </w:t>
      </w:r>
      <w:r w:rsidR="00735A68">
        <w:rPr>
          <w:rFonts w:ascii="Times New Roman" w:hAnsi="Times New Roman"/>
        </w:rPr>
        <w:t xml:space="preserve">a </w:t>
      </w:r>
      <w:r w:rsidR="009D7FC8">
        <w:rPr>
          <w:rFonts w:ascii="Times New Roman" w:hAnsi="Times New Roman"/>
        </w:rPr>
        <w:t>odstavec</w:t>
      </w:r>
      <w:r>
        <w:rPr>
          <w:rFonts w:ascii="Times New Roman" w:hAnsi="Times New Roman"/>
        </w:rPr>
        <w:t xml:space="preserve"> </w:t>
      </w:r>
      <w:r w:rsidR="00735A68">
        <w:rPr>
          <w:rFonts w:ascii="Times New Roman" w:hAnsi="Times New Roman"/>
        </w:rPr>
        <w:t>7.2</w:t>
      </w:r>
      <w:r w:rsidR="00EE3689">
        <w:rPr>
          <w:rFonts w:ascii="Times New Roman" w:hAnsi="Times New Roman"/>
        </w:rPr>
        <w:t>.</w:t>
      </w:r>
      <w:r w:rsidR="00735A68">
        <w:rPr>
          <w:rFonts w:ascii="Times New Roman" w:hAnsi="Times New Roman"/>
        </w:rPr>
        <w:t xml:space="preserve"> Servisní smlouvy se mění a nahrazuje novým úplným zněním</w:t>
      </w:r>
      <w:r w:rsidR="00735A68" w:rsidRPr="0045743D">
        <w:rPr>
          <w:rFonts w:ascii="Times New Roman" w:hAnsi="Times New Roman"/>
        </w:rPr>
        <w:t xml:space="preserve"> </w:t>
      </w:r>
      <w:r w:rsidRPr="0045743D">
        <w:rPr>
          <w:rFonts w:ascii="Times New Roman" w:hAnsi="Times New Roman"/>
        </w:rPr>
        <w:t>takto:</w:t>
      </w:r>
    </w:p>
    <w:p w14:paraId="61204059" w14:textId="77777777" w:rsidR="00321DF2" w:rsidRDefault="00DB6C01" w:rsidP="00EF69D6">
      <w:pPr>
        <w:pStyle w:val="Bezmezer"/>
        <w:spacing w:before="240"/>
        <w:ind w:left="1134" w:hanging="567"/>
        <w:jc w:val="both"/>
        <w:rPr>
          <w:rFonts w:ascii="Times New Roman" w:hAnsi="Times New Roman"/>
        </w:rPr>
      </w:pPr>
      <w:r w:rsidRPr="00DB6C01">
        <w:rPr>
          <w:rFonts w:ascii="Times New Roman" w:hAnsi="Times New Roman"/>
        </w:rPr>
        <w:t>7.2.</w:t>
      </w:r>
      <w:r w:rsidR="00321DF2">
        <w:rPr>
          <w:rFonts w:ascii="Times New Roman" w:hAnsi="Times New Roman"/>
          <w:b/>
        </w:rPr>
        <w:tab/>
      </w:r>
      <w:r w:rsidRPr="00DB6C01">
        <w:rPr>
          <w:rFonts w:ascii="Times New Roman" w:hAnsi="Times New Roman"/>
        </w:rPr>
        <w:t xml:space="preserve">Celková cena zajištění služeb dle odstavce 4.2. až 4.15., 4.16., 4.21. a 4.25. činí </w:t>
      </w:r>
      <w:r w:rsidR="00030C46" w:rsidRPr="00030C46">
        <w:rPr>
          <w:rFonts w:ascii="Times New Roman" w:hAnsi="Times New Roman"/>
          <w:b/>
        </w:rPr>
        <w:t>6.9</w:t>
      </w:r>
      <w:r w:rsidR="00E608A9">
        <w:rPr>
          <w:rFonts w:ascii="Times New Roman" w:hAnsi="Times New Roman"/>
          <w:b/>
        </w:rPr>
        <w:t>90</w:t>
      </w:r>
      <w:r w:rsidR="00030C46" w:rsidRPr="00030C46">
        <w:rPr>
          <w:rFonts w:ascii="Times New Roman" w:hAnsi="Times New Roman"/>
          <w:b/>
        </w:rPr>
        <w:t>.</w:t>
      </w:r>
      <w:r w:rsidR="00E608A9">
        <w:rPr>
          <w:rFonts w:ascii="Times New Roman" w:hAnsi="Times New Roman"/>
          <w:b/>
        </w:rPr>
        <w:t>798</w:t>
      </w:r>
      <w:r w:rsidR="00030C46" w:rsidRPr="00030C46">
        <w:rPr>
          <w:rFonts w:ascii="Times New Roman" w:hAnsi="Times New Roman"/>
          <w:b/>
        </w:rPr>
        <w:t>,</w:t>
      </w:r>
      <w:r w:rsidR="00E608A9">
        <w:rPr>
          <w:rFonts w:ascii="Times New Roman" w:hAnsi="Times New Roman"/>
          <w:b/>
        </w:rPr>
        <w:t>86</w:t>
      </w:r>
      <w:r w:rsidR="00B874AE">
        <w:rPr>
          <w:rFonts w:ascii="Times New Roman" w:hAnsi="Times New Roman"/>
          <w:b/>
        </w:rPr>
        <w:t xml:space="preserve"> </w:t>
      </w:r>
      <w:r w:rsidR="00030C46" w:rsidRPr="00030C46">
        <w:rPr>
          <w:rFonts w:ascii="Times New Roman" w:hAnsi="Times New Roman"/>
          <w:b/>
        </w:rPr>
        <w:t>Kč</w:t>
      </w:r>
      <w:r w:rsidR="00030C46">
        <w:rPr>
          <w:rFonts w:ascii="Times New Roman" w:hAnsi="Times New Roman"/>
        </w:rPr>
        <w:t xml:space="preserve"> (slovy: </w:t>
      </w:r>
      <w:proofErr w:type="spellStart"/>
      <w:r w:rsidR="00030C46">
        <w:rPr>
          <w:rFonts w:ascii="Times New Roman" w:hAnsi="Times New Roman"/>
        </w:rPr>
        <w:t>šestmilionůdevětset</w:t>
      </w:r>
      <w:r w:rsidR="002D0A73">
        <w:rPr>
          <w:rFonts w:ascii="Times New Roman" w:hAnsi="Times New Roman"/>
        </w:rPr>
        <w:t>devadesát</w:t>
      </w:r>
      <w:r w:rsidR="00030C46">
        <w:rPr>
          <w:rFonts w:ascii="Times New Roman" w:hAnsi="Times New Roman"/>
        </w:rPr>
        <w:t>tisíc</w:t>
      </w:r>
      <w:r w:rsidR="002D0A73">
        <w:rPr>
          <w:rFonts w:ascii="Times New Roman" w:hAnsi="Times New Roman"/>
        </w:rPr>
        <w:t>sedmsetdevadesátosm</w:t>
      </w:r>
      <w:proofErr w:type="spellEnd"/>
      <w:r w:rsidR="00030C46">
        <w:rPr>
          <w:rFonts w:ascii="Times New Roman" w:hAnsi="Times New Roman"/>
        </w:rPr>
        <w:t xml:space="preserve"> korun českých, </w:t>
      </w:r>
      <w:proofErr w:type="spellStart"/>
      <w:r w:rsidR="002D0A73">
        <w:rPr>
          <w:rFonts w:ascii="Times New Roman" w:hAnsi="Times New Roman"/>
        </w:rPr>
        <w:t>osmdes</w:t>
      </w:r>
      <w:r w:rsidR="00030C46">
        <w:rPr>
          <w:rFonts w:ascii="Times New Roman" w:hAnsi="Times New Roman"/>
        </w:rPr>
        <w:t>átšest</w:t>
      </w:r>
      <w:proofErr w:type="spellEnd"/>
      <w:r w:rsidR="00030C46">
        <w:rPr>
          <w:rFonts w:ascii="Times New Roman" w:hAnsi="Times New Roman"/>
        </w:rPr>
        <w:t xml:space="preserve"> haléřů) za měsíc bez DPH. Tato cena zahrnuje veškeré</w:t>
      </w:r>
      <w:r w:rsidR="00EF69D6">
        <w:rPr>
          <w:rFonts w:ascii="Times New Roman" w:hAnsi="Times New Roman"/>
        </w:rPr>
        <w:t xml:space="preserve"> služby poskytnuté dle odstavců 4.2. </w:t>
      </w:r>
      <w:r w:rsidR="00EF69D6" w:rsidRPr="00DB6C01">
        <w:rPr>
          <w:rFonts w:ascii="Times New Roman" w:hAnsi="Times New Roman"/>
        </w:rPr>
        <w:t>až 4.15., 4.16., 4.21. a 4.25.</w:t>
      </w:r>
      <w:r w:rsidR="00EF69D6">
        <w:rPr>
          <w:rFonts w:ascii="Times New Roman" w:hAnsi="Times New Roman"/>
        </w:rPr>
        <w:t xml:space="preserve"> této smlouvy v sazbách podle </w:t>
      </w:r>
      <w:r w:rsidR="005B4B96">
        <w:rPr>
          <w:rFonts w:ascii="Times New Roman" w:hAnsi="Times New Roman"/>
        </w:rPr>
        <w:t>odstavce 6.16. této smlouvy.</w:t>
      </w:r>
    </w:p>
    <w:p w14:paraId="2D51745E" w14:textId="77777777" w:rsidR="005B4B96" w:rsidRPr="00DB6C01" w:rsidRDefault="005B4B96" w:rsidP="00EF69D6">
      <w:pPr>
        <w:pStyle w:val="Bezmezer"/>
        <w:spacing w:before="240"/>
        <w:ind w:left="1134" w:hanging="567"/>
        <w:jc w:val="both"/>
        <w:rPr>
          <w:rFonts w:ascii="Times New Roman" w:hAnsi="Times New Roman"/>
        </w:rPr>
      </w:pPr>
    </w:p>
    <w:p w14:paraId="28EA126A" w14:textId="77777777" w:rsidR="005B4B96" w:rsidRPr="005B4B96" w:rsidRDefault="005B4B96" w:rsidP="005B4B96">
      <w:pPr>
        <w:pStyle w:val="Bezmezer"/>
        <w:numPr>
          <w:ilvl w:val="0"/>
          <w:numId w:val="1"/>
        </w:numPr>
        <w:spacing w:after="240"/>
        <w:ind w:left="567" w:hanging="578"/>
        <w:jc w:val="both"/>
        <w:rPr>
          <w:rFonts w:ascii="Times New Roman" w:hAnsi="Times New Roman"/>
          <w:b/>
        </w:rPr>
      </w:pPr>
      <w:r w:rsidRPr="0045743D">
        <w:rPr>
          <w:rFonts w:ascii="Times New Roman" w:hAnsi="Times New Roman"/>
        </w:rPr>
        <w:lastRenderedPageBreak/>
        <w:t xml:space="preserve">Smluvní strany sjednávají, že </w:t>
      </w:r>
      <w:r>
        <w:rPr>
          <w:rFonts w:ascii="Times New Roman" w:hAnsi="Times New Roman"/>
        </w:rPr>
        <w:t>v Článku 7.</w:t>
      </w:r>
      <w:r w:rsidR="00EE3689">
        <w:rPr>
          <w:rFonts w:ascii="Times New Roman" w:hAnsi="Times New Roman"/>
        </w:rPr>
        <w:t>, odstavci 7.3.</w:t>
      </w:r>
      <w:r>
        <w:rPr>
          <w:rFonts w:ascii="Times New Roman" w:hAnsi="Times New Roman"/>
        </w:rPr>
        <w:t xml:space="preserve"> S</w:t>
      </w:r>
      <w:r w:rsidR="00EE3689">
        <w:rPr>
          <w:rFonts w:ascii="Times New Roman" w:hAnsi="Times New Roman"/>
        </w:rPr>
        <w:t>ervisní s</w:t>
      </w:r>
      <w:r>
        <w:rPr>
          <w:rFonts w:ascii="Times New Roman" w:hAnsi="Times New Roman"/>
        </w:rPr>
        <w:t xml:space="preserve">mlouvy se mění </w:t>
      </w:r>
      <w:r w:rsidR="009E0D76">
        <w:rPr>
          <w:rFonts w:ascii="Times New Roman" w:hAnsi="Times New Roman"/>
        </w:rPr>
        <w:t xml:space="preserve">ceny služeb uvedené v </w:t>
      </w:r>
      <w:r>
        <w:rPr>
          <w:rFonts w:ascii="Times New Roman" w:hAnsi="Times New Roman"/>
        </w:rPr>
        <w:t>závěrečn</w:t>
      </w:r>
      <w:r w:rsidR="009E0D76">
        <w:rPr>
          <w:rFonts w:ascii="Times New Roman" w:hAnsi="Times New Roman"/>
        </w:rPr>
        <w:t>ých</w:t>
      </w:r>
      <w:r>
        <w:rPr>
          <w:rFonts w:ascii="Times New Roman" w:hAnsi="Times New Roman"/>
        </w:rPr>
        <w:t xml:space="preserve"> text</w:t>
      </w:r>
      <w:r w:rsidR="009E0D76">
        <w:rPr>
          <w:rFonts w:ascii="Times New Roman" w:hAnsi="Times New Roman"/>
        </w:rPr>
        <w:t>ech</w:t>
      </w:r>
      <w:r>
        <w:rPr>
          <w:rFonts w:ascii="Times New Roman" w:hAnsi="Times New Roman"/>
        </w:rPr>
        <w:t xml:space="preserve"> odstavců 7.3.1. a 7.3.2. a odstavec 7.3. </w:t>
      </w:r>
      <w:r w:rsidR="00EE3689">
        <w:rPr>
          <w:rFonts w:ascii="Times New Roman" w:hAnsi="Times New Roman"/>
        </w:rPr>
        <w:t>Servisní smlouvy se mění a nahrazuje novým úplným zněním</w:t>
      </w:r>
      <w:r w:rsidR="00EE3689" w:rsidRPr="0045743D">
        <w:rPr>
          <w:rFonts w:ascii="Times New Roman" w:hAnsi="Times New Roman"/>
        </w:rPr>
        <w:t xml:space="preserve"> </w:t>
      </w:r>
      <w:r w:rsidRPr="0045743D">
        <w:rPr>
          <w:rFonts w:ascii="Times New Roman" w:hAnsi="Times New Roman"/>
        </w:rPr>
        <w:t>takto:</w:t>
      </w:r>
    </w:p>
    <w:p w14:paraId="36D1454C" w14:textId="77777777" w:rsidR="005B4B96" w:rsidRDefault="005B4B96" w:rsidP="005B4B96">
      <w:pPr>
        <w:pStyle w:val="Bezmezer"/>
        <w:tabs>
          <w:tab w:val="left" w:pos="993"/>
        </w:tabs>
        <w:spacing w:after="24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</w:t>
      </w:r>
      <w:r>
        <w:rPr>
          <w:rFonts w:ascii="Times New Roman" w:hAnsi="Times New Roman"/>
        </w:rPr>
        <w:tab/>
        <w:t>Cena uvedená v odstavci 7.2. nezahrnuje následující služby:</w:t>
      </w:r>
    </w:p>
    <w:p w14:paraId="155C57D1" w14:textId="77777777" w:rsidR="005B4B96" w:rsidRDefault="005B4B96" w:rsidP="00E03BA3">
      <w:pPr>
        <w:pStyle w:val="Bezmezer"/>
        <w:tabs>
          <w:tab w:val="left" w:pos="993"/>
        </w:tabs>
        <w:ind w:left="567"/>
        <w:jc w:val="both"/>
        <w:rPr>
          <w:rFonts w:ascii="Times New Roman" w:hAnsi="Times New Roman"/>
        </w:rPr>
      </w:pPr>
      <w:r w:rsidRPr="005B4B96">
        <w:rPr>
          <w:rFonts w:ascii="Times New Roman" w:hAnsi="Times New Roman"/>
        </w:rPr>
        <w:tab/>
        <w:t>7.3.1. Řešení v případě, že PROBLÉM je způsoben:</w:t>
      </w:r>
    </w:p>
    <w:p w14:paraId="12A1B349" w14:textId="77777777" w:rsidR="005B4B96" w:rsidRDefault="005B4B96" w:rsidP="00E03BA3">
      <w:pPr>
        <w:pStyle w:val="Bezmezer"/>
        <w:numPr>
          <w:ilvl w:val="0"/>
          <w:numId w:val="7"/>
        </w:numPr>
        <w:tabs>
          <w:tab w:val="left" w:pos="993"/>
        </w:tabs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NEOPRÁVNĚNÝM ZÁSAHEM;</w:t>
      </w:r>
    </w:p>
    <w:p w14:paraId="6067C07F" w14:textId="77777777" w:rsidR="005B4B96" w:rsidRDefault="005B4B96" w:rsidP="00E03BA3">
      <w:pPr>
        <w:pStyle w:val="Bezmezer"/>
        <w:numPr>
          <w:ilvl w:val="0"/>
          <w:numId w:val="7"/>
        </w:numPr>
        <w:tabs>
          <w:tab w:val="left" w:pos="993"/>
        </w:tabs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vadou technického vybavení, jeho provozu a následkem jeho vad a havárií;</w:t>
      </w:r>
    </w:p>
    <w:p w14:paraId="0750C532" w14:textId="77777777" w:rsidR="005B4B96" w:rsidRDefault="005B4B96" w:rsidP="00E03BA3">
      <w:pPr>
        <w:pStyle w:val="Bezmezer"/>
        <w:numPr>
          <w:ilvl w:val="0"/>
          <w:numId w:val="7"/>
        </w:numPr>
        <w:tabs>
          <w:tab w:val="left" w:pos="993"/>
        </w:tabs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vadou ve standardním programovém vybavení a v komponentách IS, které dodavatel nedodával dle smluv, uvedených v Článku 2</w:t>
      </w:r>
      <w:r w:rsidR="00B874A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této smlouvy, při jejich provozu a následkem jejich vad a havárií;</w:t>
      </w:r>
    </w:p>
    <w:p w14:paraId="40A9C8B6" w14:textId="77777777" w:rsidR="005B4B96" w:rsidRDefault="005B4B96" w:rsidP="00E03BA3">
      <w:pPr>
        <w:pStyle w:val="Bezmezer"/>
        <w:numPr>
          <w:ilvl w:val="0"/>
          <w:numId w:val="7"/>
        </w:numPr>
        <w:tabs>
          <w:tab w:val="left" w:pos="993"/>
        </w:tabs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odchylkami parametrů technického vybavení a standardního programového vybavení od parametrů dohodnutých pro distribuční verze APV, které nejsou součástí dodávky dle této smlouvy,</w:t>
      </w:r>
    </w:p>
    <w:p w14:paraId="4C85B4C6" w14:textId="77777777" w:rsidR="005B4B96" w:rsidRDefault="005B4B96" w:rsidP="00E03BA3">
      <w:pPr>
        <w:pStyle w:val="Bezmezer"/>
        <w:tabs>
          <w:tab w:val="left" w:pos="993"/>
        </w:tabs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výše uvedených případech nespadá tato služba pod rozsah údržby, uvedený v </w:t>
      </w:r>
      <w:r w:rsidR="009E0D76">
        <w:rPr>
          <w:rFonts w:ascii="Times New Roman" w:hAnsi="Times New Roman"/>
        </w:rPr>
        <w:t>odstavci</w:t>
      </w:r>
      <w:r>
        <w:rPr>
          <w:rFonts w:ascii="Times New Roman" w:hAnsi="Times New Roman"/>
        </w:rPr>
        <w:t xml:space="preserve"> </w:t>
      </w:r>
      <w:r w:rsidR="009D7FC8">
        <w:rPr>
          <w:rFonts w:ascii="Times New Roman" w:hAnsi="Times New Roman"/>
        </w:rPr>
        <w:t>7.2.</w:t>
      </w:r>
      <w:r>
        <w:rPr>
          <w:rFonts w:ascii="Times New Roman" w:hAnsi="Times New Roman"/>
        </w:rPr>
        <w:t xml:space="preserve"> V těchto případech činí cena služby ŘEŠENÍ PROBLÉMU</w:t>
      </w:r>
      <w:r w:rsidR="009E0D76">
        <w:rPr>
          <w:rFonts w:ascii="Times New Roman" w:hAnsi="Times New Roman"/>
        </w:rPr>
        <w:t xml:space="preserve"> </w:t>
      </w:r>
      <w:r w:rsidR="009E0D76" w:rsidRPr="009E0D76">
        <w:rPr>
          <w:rFonts w:ascii="Times New Roman" w:hAnsi="Times New Roman"/>
          <w:b/>
        </w:rPr>
        <w:t>20.</w:t>
      </w:r>
      <w:r w:rsidR="002D0A73">
        <w:rPr>
          <w:rFonts w:ascii="Times New Roman" w:hAnsi="Times New Roman"/>
          <w:b/>
        </w:rPr>
        <w:t>808</w:t>
      </w:r>
      <w:r w:rsidR="009E0D76" w:rsidRPr="009E0D76">
        <w:rPr>
          <w:rFonts w:ascii="Times New Roman" w:hAnsi="Times New Roman"/>
          <w:b/>
        </w:rPr>
        <w:t>,20</w:t>
      </w:r>
      <w:r w:rsidR="00B874AE">
        <w:rPr>
          <w:rFonts w:ascii="Times New Roman" w:hAnsi="Times New Roman"/>
          <w:b/>
        </w:rPr>
        <w:t xml:space="preserve"> </w:t>
      </w:r>
      <w:r w:rsidR="009E0D76" w:rsidRPr="009E0D76">
        <w:rPr>
          <w:rFonts w:ascii="Times New Roman" w:hAnsi="Times New Roman"/>
          <w:b/>
        </w:rPr>
        <w:t>Kč</w:t>
      </w:r>
      <w:r w:rsidR="009E0D76">
        <w:rPr>
          <w:rFonts w:ascii="Times New Roman" w:hAnsi="Times New Roman"/>
        </w:rPr>
        <w:t xml:space="preserve"> bez DPH za jeden DEN PRÁCE JEDNOHO SPECIALISTY. V mimopracovních dnech je cena služby </w:t>
      </w:r>
      <w:r w:rsidR="009E0D76" w:rsidRPr="009E0D76">
        <w:rPr>
          <w:rFonts w:ascii="Times New Roman" w:hAnsi="Times New Roman"/>
          <w:b/>
        </w:rPr>
        <w:t>26</w:t>
      </w:r>
      <w:r w:rsidR="009D7FC8">
        <w:rPr>
          <w:rFonts w:ascii="Times New Roman" w:hAnsi="Times New Roman"/>
          <w:b/>
        </w:rPr>
        <w:t>.</w:t>
      </w:r>
      <w:r w:rsidR="002D0A73">
        <w:rPr>
          <w:rFonts w:ascii="Times New Roman" w:hAnsi="Times New Roman"/>
          <w:b/>
        </w:rPr>
        <w:t>945,45</w:t>
      </w:r>
      <w:r w:rsidR="00B874AE">
        <w:rPr>
          <w:rFonts w:ascii="Times New Roman" w:hAnsi="Times New Roman"/>
          <w:b/>
        </w:rPr>
        <w:t xml:space="preserve"> </w:t>
      </w:r>
      <w:r w:rsidR="009E0D76" w:rsidRPr="009E0D76">
        <w:rPr>
          <w:rFonts w:ascii="Times New Roman" w:hAnsi="Times New Roman"/>
          <w:b/>
        </w:rPr>
        <w:t>Kč</w:t>
      </w:r>
      <w:r w:rsidR="009E0D76">
        <w:rPr>
          <w:rFonts w:ascii="Times New Roman" w:hAnsi="Times New Roman"/>
        </w:rPr>
        <w:t xml:space="preserve"> bez DPH za jeden DEN PRÁCE JEDNOHO SPECIALISTY.</w:t>
      </w:r>
    </w:p>
    <w:p w14:paraId="4074F4C9" w14:textId="77777777" w:rsidR="005B4B96" w:rsidRDefault="005B4B96" w:rsidP="005B4B96">
      <w:pPr>
        <w:pStyle w:val="Bezmezer"/>
        <w:tabs>
          <w:tab w:val="left" w:pos="993"/>
        </w:tabs>
        <w:spacing w:after="240"/>
        <w:ind w:left="567"/>
        <w:jc w:val="both"/>
        <w:rPr>
          <w:rFonts w:ascii="Times New Roman" w:hAnsi="Times New Roman"/>
        </w:rPr>
      </w:pPr>
    </w:p>
    <w:p w14:paraId="61DF893A" w14:textId="77777777" w:rsidR="009E0D76" w:rsidRDefault="009E0D76" w:rsidP="00E03BA3">
      <w:pPr>
        <w:pStyle w:val="Bezmezer"/>
        <w:tabs>
          <w:tab w:val="left" w:pos="993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4B96">
        <w:rPr>
          <w:rFonts w:ascii="Times New Roman" w:hAnsi="Times New Roman"/>
        </w:rPr>
        <w:t>7.3.</w:t>
      </w:r>
      <w:r>
        <w:rPr>
          <w:rFonts w:ascii="Times New Roman" w:hAnsi="Times New Roman"/>
        </w:rPr>
        <w:t>2</w:t>
      </w:r>
      <w:r w:rsidRPr="005B4B96">
        <w:rPr>
          <w:rFonts w:ascii="Times New Roman" w:hAnsi="Times New Roman"/>
        </w:rPr>
        <w:t xml:space="preserve">. Řešení v případě, že </w:t>
      </w:r>
      <w:r>
        <w:rPr>
          <w:rFonts w:ascii="Times New Roman" w:hAnsi="Times New Roman"/>
        </w:rPr>
        <w:t>HAVÁRIE</w:t>
      </w:r>
      <w:r w:rsidRPr="005B4B96">
        <w:rPr>
          <w:rFonts w:ascii="Times New Roman" w:hAnsi="Times New Roman"/>
        </w:rPr>
        <w:t xml:space="preserve"> je způsoben</w:t>
      </w:r>
      <w:r>
        <w:rPr>
          <w:rFonts w:ascii="Times New Roman" w:hAnsi="Times New Roman"/>
        </w:rPr>
        <w:t>a:</w:t>
      </w:r>
    </w:p>
    <w:p w14:paraId="57A0577A" w14:textId="77777777" w:rsidR="009E0D76" w:rsidRDefault="009E0D76" w:rsidP="00B874AE">
      <w:pPr>
        <w:pStyle w:val="Bezmezer"/>
        <w:numPr>
          <w:ilvl w:val="0"/>
          <w:numId w:val="8"/>
        </w:numPr>
        <w:tabs>
          <w:tab w:val="left" w:pos="993"/>
        </w:tabs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NEOPRÁVNĚNÝM ZÁSAHEM;</w:t>
      </w:r>
    </w:p>
    <w:p w14:paraId="3D48C241" w14:textId="77777777" w:rsidR="009D7FC8" w:rsidRDefault="009D7FC8" w:rsidP="00B874AE">
      <w:pPr>
        <w:pStyle w:val="Bezmezer"/>
        <w:numPr>
          <w:ilvl w:val="0"/>
          <w:numId w:val="8"/>
        </w:numPr>
        <w:tabs>
          <w:tab w:val="left" w:pos="993"/>
        </w:tabs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vadou technického vybavení, jeho provozu a následkem jeho vad a havárií;</w:t>
      </w:r>
    </w:p>
    <w:p w14:paraId="2B5116C6" w14:textId="77777777" w:rsidR="009D7FC8" w:rsidRDefault="009D7FC8" w:rsidP="00B874AE">
      <w:pPr>
        <w:pStyle w:val="Bezmezer"/>
        <w:numPr>
          <w:ilvl w:val="0"/>
          <w:numId w:val="8"/>
        </w:numPr>
        <w:tabs>
          <w:tab w:val="left" w:pos="993"/>
        </w:tabs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vadou ve standardním programovém vybavení a v komponentách IS, které dodavatel nedodával dle smluv, uvedených v Článku 2. této smlouvy, při jejich provozu a následkem jejich vad a havárií;</w:t>
      </w:r>
    </w:p>
    <w:p w14:paraId="60E377A1" w14:textId="77777777" w:rsidR="009D7FC8" w:rsidRDefault="009D7FC8" w:rsidP="00B874AE">
      <w:pPr>
        <w:pStyle w:val="Bezmezer"/>
        <w:numPr>
          <w:ilvl w:val="0"/>
          <w:numId w:val="8"/>
        </w:numPr>
        <w:tabs>
          <w:tab w:val="left" w:pos="993"/>
        </w:tabs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odchylkami parametrů technického vybavení a standardního programového vybavení od parametrů dohodnutých pro distribuční verze APV, které nejsou součástí dodávky dle této smlouvy,</w:t>
      </w:r>
    </w:p>
    <w:p w14:paraId="11714331" w14:textId="77777777" w:rsidR="009D7FC8" w:rsidRDefault="009D7FC8" w:rsidP="00E03BA3">
      <w:pPr>
        <w:pStyle w:val="Bezmezer"/>
        <w:tabs>
          <w:tab w:val="left" w:pos="993"/>
        </w:tabs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výše uvedených případech nespadá tato služba pod rozsah údržby, uvedený v odstavci 7.2. V těchto případech činí cena služby ŘEŠENÍ HAVÁRIE </w:t>
      </w:r>
      <w:r w:rsidR="002D0A73" w:rsidRPr="009E0D76">
        <w:rPr>
          <w:rFonts w:ascii="Times New Roman" w:hAnsi="Times New Roman"/>
          <w:b/>
        </w:rPr>
        <w:t>20.</w:t>
      </w:r>
      <w:r w:rsidR="002D0A73">
        <w:rPr>
          <w:rFonts w:ascii="Times New Roman" w:hAnsi="Times New Roman"/>
          <w:b/>
        </w:rPr>
        <w:t>808</w:t>
      </w:r>
      <w:r w:rsidR="002D0A73" w:rsidRPr="009E0D76">
        <w:rPr>
          <w:rFonts w:ascii="Times New Roman" w:hAnsi="Times New Roman"/>
          <w:b/>
        </w:rPr>
        <w:t>,</w:t>
      </w:r>
      <w:proofErr w:type="gramStart"/>
      <w:r w:rsidR="002D0A73" w:rsidRPr="009E0D76">
        <w:rPr>
          <w:rFonts w:ascii="Times New Roman" w:hAnsi="Times New Roman"/>
          <w:b/>
        </w:rPr>
        <w:t>20</w:t>
      </w:r>
      <w:r w:rsidR="002D0A73">
        <w:rPr>
          <w:rFonts w:ascii="Times New Roman" w:hAnsi="Times New Roman"/>
          <w:b/>
        </w:rPr>
        <w:t xml:space="preserve"> </w:t>
      </w:r>
      <w:r w:rsidR="00B874AE">
        <w:rPr>
          <w:rFonts w:ascii="Times New Roman" w:hAnsi="Times New Roman"/>
          <w:b/>
        </w:rPr>
        <w:t xml:space="preserve"> </w:t>
      </w:r>
      <w:r w:rsidRPr="009E0D76">
        <w:rPr>
          <w:rFonts w:ascii="Times New Roman" w:hAnsi="Times New Roman"/>
          <w:b/>
        </w:rPr>
        <w:t>Kč</w:t>
      </w:r>
      <w:proofErr w:type="gramEnd"/>
      <w:r>
        <w:rPr>
          <w:rFonts w:ascii="Times New Roman" w:hAnsi="Times New Roman"/>
        </w:rPr>
        <w:t xml:space="preserve"> bez DPH za jeden DEN PRÁCE JEDNOHO SPECIALISTY. V mimopracovních dnech je cena služby </w:t>
      </w:r>
      <w:r w:rsidR="002D0A73" w:rsidRPr="009E0D76">
        <w:rPr>
          <w:rFonts w:ascii="Times New Roman" w:hAnsi="Times New Roman"/>
          <w:b/>
        </w:rPr>
        <w:t>26</w:t>
      </w:r>
      <w:r w:rsidR="002D0A73">
        <w:rPr>
          <w:rFonts w:ascii="Times New Roman" w:hAnsi="Times New Roman"/>
          <w:b/>
        </w:rPr>
        <w:t xml:space="preserve">.945,45 </w:t>
      </w:r>
      <w:r w:rsidR="002D0A73" w:rsidRPr="009E0D76">
        <w:rPr>
          <w:rFonts w:ascii="Times New Roman" w:hAnsi="Times New Roman"/>
          <w:b/>
        </w:rPr>
        <w:t>Kč</w:t>
      </w:r>
      <w:r w:rsidR="002D0A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 DPH za jeden DEN PRÁCE JEDNOHO SPECIALISTY.</w:t>
      </w:r>
    </w:p>
    <w:p w14:paraId="412B7143" w14:textId="77777777" w:rsidR="009D7FC8" w:rsidRDefault="009D7FC8" w:rsidP="009D7FC8">
      <w:pPr>
        <w:pStyle w:val="Bezmezer"/>
        <w:tabs>
          <w:tab w:val="left" w:pos="993"/>
        </w:tabs>
        <w:ind w:left="927"/>
        <w:jc w:val="both"/>
        <w:rPr>
          <w:rFonts w:ascii="Times New Roman" w:hAnsi="Times New Roman"/>
        </w:rPr>
      </w:pPr>
    </w:p>
    <w:p w14:paraId="3AA4F59A" w14:textId="77777777" w:rsidR="009D7FC8" w:rsidRDefault="009D7FC8" w:rsidP="009D7FC8">
      <w:pPr>
        <w:pStyle w:val="Bezmezer"/>
        <w:numPr>
          <w:ilvl w:val="0"/>
          <w:numId w:val="1"/>
        </w:numPr>
        <w:spacing w:after="240"/>
        <w:ind w:left="567" w:hanging="578"/>
        <w:jc w:val="both"/>
        <w:rPr>
          <w:rFonts w:ascii="Times New Roman" w:hAnsi="Times New Roman"/>
        </w:rPr>
      </w:pPr>
      <w:r w:rsidRPr="0045743D">
        <w:rPr>
          <w:rFonts w:ascii="Times New Roman" w:hAnsi="Times New Roman"/>
        </w:rPr>
        <w:t xml:space="preserve">Smluvní strany sjednávají, že </w:t>
      </w:r>
      <w:r>
        <w:rPr>
          <w:rFonts w:ascii="Times New Roman" w:hAnsi="Times New Roman"/>
        </w:rPr>
        <w:t>v Článku 7.</w:t>
      </w:r>
      <w:r w:rsidR="00CD797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B1F25">
        <w:rPr>
          <w:rFonts w:ascii="Times New Roman" w:hAnsi="Times New Roman"/>
        </w:rPr>
        <w:t xml:space="preserve">v odstavci 7.4. </w:t>
      </w:r>
      <w:r w:rsidR="00CD7972">
        <w:rPr>
          <w:rFonts w:ascii="Times New Roman" w:hAnsi="Times New Roman"/>
        </w:rPr>
        <w:t xml:space="preserve">Servisní smlouvy se </w:t>
      </w:r>
      <w:r>
        <w:rPr>
          <w:rFonts w:ascii="Times New Roman" w:hAnsi="Times New Roman"/>
        </w:rPr>
        <w:t>mění ceny služeb</w:t>
      </w:r>
      <w:r w:rsidR="00BB1F25">
        <w:rPr>
          <w:rFonts w:ascii="Times New Roman" w:hAnsi="Times New Roman"/>
        </w:rPr>
        <w:t xml:space="preserve"> a odstavec 7.4. </w:t>
      </w:r>
      <w:r w:rsidR="00CD7972">
        <w:rPr>
          <w:rFonts w:ascii="Times New Roman" w:hAnsi="Times New Roman"/>
        </w:rPr>
        <w:t>Servisní smlouvy se mění a nahrazuje novým úplným zněním</w:t>
      </w:r>
      <w:r w:rsidR="00CD7972" w:rsidRPr="0045743D">
        <w:rPr>
          <w:rFonts w:ascii="Times New Roman" w:hAnsi="Times New Roman"/>
        </w:rPr>
        <w:t xml:space="preserve"> </w:t>
      </w:r>
      <w:r w:rsidRPr="0045743D">
        <w:rPr>
          <w:rFonts w:ascii="Times New Roman" w:hAnsi="Times New Roman"/>
        </w:rPr>
        <w:t>takto:</w:t>
      </w:r>
    </w:p>
    <w:p w14:paraId="656EDBC0" w14:textId="77777777" w:rsidR="00E9313C" w:rsidRDefault="00E9313C" w:rsidP="00E03BA3">
      <w:pPr>
        <w:pStyle w:val="Bezmezer"/>
        <w:spacing w:after="24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</w:t>
      </w:r>
      <w:r w:rsidR="00BD2353">
        <w:rPr>
          <w:rFonts w:ascii="Times New Roman" w:hAnsi="Times New Roman"/>
        </w:rPr>
        <w:t>Cena uvedená v odstavci 7.2. dále nezahrnuje</w:t>
      </w:r>
      <w:r w:rsidR="00E03BA3">
        <w:rPr>
          <w:rFonts w:ascii="Times New Roman" w:hAnsi="Times New Roman"/>
        </w:rPr>
        <w:t xml:space="preserve"> následující služby, které může objednatel zajistit u dodavatele na základě k tomu zvlášť vystavených objednávek:</w:t>
      </w:r>
    </w:p>
    <w:p w14:paraId="68F1478A" w14:textId="77777777" w:rsidR="009E0D76" w:rsidRDefault="00BB1F25" w:rsidP="00BD2353">
      <w:pPr>
        <w:pStyle w:val="Bezmezer"/>
        <w:tabs>
          <w:tab w:val="left" w:pos="1560"/>
        </w:tabs>
        <w:spacing w:after="240"/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7.4.1.</w:t>
      </w:r>
      <w:r>
        <w:rPr>
          <w:rFonts w:ascii="Times New Roman" w:hAnsi="Times New Roman"/>
        </w:rPr>
        <w:tab/>
        <w:t xml:space="preserve">Školení dle odstavce 4.19. v ceně </w:t>
      </w:r>
      <w:r w:rsidRPr="00BB1F25">
        <w:rPr>
          <w:rFonts w:ascii="Times New Roman" w:hAnsi="Times New Roman"/>
          <w:b/>
        </w:rPr>
        <w:t>14.</w:t>
      </w:r>
      <w:r w:rsidR="002D0A73">
        <w:rPr>
          <w:rFonts w:ascii="Times New Roman" w:hAnsi="Times New Roman"/>
          <w:b/>
        </w:rPr>
        <w:t>694,33</w:t>
      </w:r>
      <w:r w:rsidR="00B874AE">
        <w:rPr>
          <w:rFonts w:ascii="Times New Roman" w:hAnsi="Times New Roman"/>
          <w:b/>
        </w:rPr>
        <w:t xml:space="preserve"> </w:t>
      </w:r>
      <w:r w:rsidRPr="00BB1F25">
        <w:rPr>
          <w:rFonts w:ascii="Times New Roman" w:hAnsi="Times New Roman"/>
          <w:b/>
        </w:rPr>
        <w:t>Kč</w:t>
      </w:r>
      <w:r>
        <w:rPr>
          <w:rFonts w:ascii="Times New Roman" w:hAnsi="Times New Roman"/>
        </w:rPr>
        <w:t xml:space="preserve"> bez DPH za jeden DEN PRÁCE SPECIALISTY (lektora) ve školících prostorách dodavatele v Plzni. Pokud je školící činnost prováděna mimo tyto prostory, činí cena za jeden DEN PRÁCE SPECIALISTY (lektora) </w:t>
      </w:r>
      <w:r w:rsidRPr="00BB1F25">
        <w:rPr>
          <w:rFonts w:ascii="Times New Roman" w:hAnsi="Times New Roman"/>
          <w:b/>
        </w:rPr>
        <w:t>1</w:t>
      </w:r>
      <w:r w:rsidR="002D0A73">
        <w:rPr>
          <w:rFonts w:ascii="Times New Roman" w:hAnsi="Times New Roman"/>
          <w:b/>
        </w:rPr>
        <w:t>7.137,54</w:t>
      </w:r>
      <w:r w:rsidR="00B874AE">
        <w:rPr>
          <w:rFonts w:ascii="Times New Roman" w:hAnsi="Times New Roman"/>
          <w:b/>
        </w:rPr>
        <w:t xml:space="preserve"> </w:t>
      </w:r>
      <w:r w:rsidRPr="00BB1F25">
        <w:rPr>
          <w:rFonts w:ascii="Times New Roman" w:hAnsi="Times New Roman"/>
          <w:b/>
        </w:rPr>
        <w:t>Kč</w:t>
      </w:r>
      <w:r>
        <w:rPr>
          <w:rFonts w:ascii="Times New Roman" w:hAnsi="Times New Roman"/>
        </w:rPr>
        <w:t xml:space="preserve"> bez DPH. Cena nezahrnuje dokumentaci ke školení.</w:t>
      </w:r>
    </w:p>
    <w:p w14:paraId="0B525D77" w14:textId="77777777" w:rsidR="00BB1F25" w:rsidRDefault="00BB1F25" w:rsidP="00BD2353">
      <w:pPr>
        <w:pStyle w:val="Bezmezer"/>
        <w:tabs>
          <w:tab w:val="left" w:pos="1560"/>
        </w:tabs>
        <w:spacing w:after="240"/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7.4.2.</w:t>
      </w:r>
      <w:r>
        <w:rPr>
          <w:rFonts w:ascii="Times New Roman" w:hAnsi="Times New Roman"/>
        </w:rPr>
        <w:tab/>
        <w:t xml:space="preserve">Konzultační činnost dle odstavce 4.20. v ceně </w:t>
      </w:r>
      <w:r w:rsidR="002D0A73" w:rsidRPr="00BB1F25">
        <w:rPr>
          <w:rFonts w:ascii="Times New Roman" w:hAnsi="Times New Roman"/>
          <w:b/>
        </w:rPr>
        <w:t>14.</w:t>
      </w:r>
      <w:r w:rsidR="002D0A73">
        <w:rPr>
          <w:rFonts w:ascii="Times New Roman" w:hAnsi="Times New Roman"/>
          <w:b/>
        </w:rPr>
        <w:t xml:space="preserve">694,33 </w:t>
      </w:r>
      <w:r w:rsidRPr="00BB1F25">
        <w:rPr>
          <w:rFonts w:ascii="Times New Roman" w:hAnsi="Times New Roman"/>
          <w:b/>
        </w:rPr>
        <w:t>Kč</w:t>
      </w:r>
      <w:r>
        <w:rPr>
          <w:rFonts w:ascii="Times New Roman" w:hAnsi="Times New Roman"/>
        </w:rPr>
        <w:t xml:space="preserve"> bez DPH za jeden DEN PRÁCE SPECIALISTY (konzultanta) ve školících prostorách dodavatele v Plzni. Pokud je </w:t>
      </w:r>
      <w:r w:rsidRPr="00D55E5D">
        <w:rPr>
          <w:rFonts w:ascii="Times New Roman" w:hAnsi="Times New Roman"/>
        </w:rPr>
        <w:t>konzultační č</w:t>
      </w:r>
      <w:r>
        <w:rPr>
          <w:rFonts w:ascii="Times New Roman" w:hAnsi="Times New Roman"/>
        </w:rPr>
        <w:t xml:space="preserve">innost prováděna mimo tyto prostory, činí cena za jeden DEN PRÁCE SPECIALISTY (konzultanta) </w:t>
      </w:r>
      <w:r w:rsidR="002D0A73" w:rsidRPr="00BB1F25">
        <w:rPr>
          <w:rFonts w:ascii="Times New Roman" w:hAnsi="Times New Roman"/>
          <w:b/>
        </w:rPr>
        <w:t>1</w:t>
      </w:r>
      <w:r w:rsidR="002D0A73">
        <w:rPr>
          <w:rFonts w:ascii="Times New Roman" w:hAnsi="Times New Roman"/>
          <w:b/>
        </w:rPr>
        <w:t xml:space="preserve">7.137,54 </w:t>
      </w:r>
      <w:r w:rsidRPr="00BB1F25">
        <w:rPr>
          <w:rFonts w:ascii="Times New Roman" w:hAnsi="Times New Roman"/>
          <w:b/>
        </w:rPr>
        <w:t>Kč</w:t>
      </w:r>
      <w:r>
        <w:rPr>
          <w:rFonts w:ascii="Times New Roman" w:hAnsi="Times New Roman"/>
        </w:rPr>
        <w:t xml:space="preserve"> bez DPH. </w:t>
      </w:r>
    </w:p>
    <w:p w14:paraId="71D85A05" w14:textId="77777777" w:rsidR="005B4B96" w:rsidRDefault="00BB1F25" w:rsidP="00BD2353">
      <w:pPr>
        <w:pStyle w:val="Bezmezer"/>
        <w:tabs>
          <w:tab w:val="left" w:pos="1560"/>
        </w:tabs>
        <w:spacing w:after="240"/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7.4.3.</w:t>
      </w:r>
      <w:r>
        <w:rPr>
          <w:rFonts w:ascii="Times New Roman" w:hAnsi="Times New Roman"/>
        </w:rPr>
        <w:tab/>
        <w:t xml:space="preserve">REKONFIGURACI dle odstavce 4.22. v ceně </w:t>
      </w:r>
      <w:r w:rsidR="002D0A73" w:rsidRPr="00BB1F25">
        <w:rPr>
          <w:rFonts w:ascii="Times New Roman" w:hAnsi="Times New Roman"/>
          <w:b/>
        </w:rPr>
        <w:t>1</w:t>
      </w:r>
      <w:r w:rsidR="002D0A73">
        <w:rPr>
          <w:rFonts w:ascii="Times New Roman" w:hAnsi="Times New Roman"/>
          <w:b/>
        </w:rPr>
        <w:t xml:space="preserve">7.137,54 </w:t>
      </w:r>
      <w:r w:rsidRPr="00BD2353">
        <w:rPr>
          <w:rFonts w:ascii="Times New Roman" w:hAnsi="Times New Roman"/>
          <w:b/>
        </w:rPr>
        <w:t>Kč</w:t>
      </w:r>
      <w:r>
        <w:rPr>
          <w:rFonts w:ascii="Times New Roman" w:hAnsi="Times New Roman"/>
        </w:rPr>
        <w:t xml:space="preserve"> bez DPH za jeden DEN PRÁCE JEDNOHO SPECIALISTY.</w:t>
      </w:r>
    </w:p>
    <w:p w14:paraId="14027013" w14:textId="77777777" w:rsidR="00BB1F25" w:rsidRDefault="00BB1F25" w:rsidP="00BD2353">
      <w:pPr>
        <w:pStyle w:val="Bezmezer"/>
        <w:tabs>
          <w:tab w:val="left" w:pos="1560"/>
        </w:tabs>
        <w:spacing w:after="240"/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7.4.4.</w:t>
      </w:r>
      <w:r w:rsidR="00A87CE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Předmět plnění dle odstavce 4.23. v ceně </w:t>
      </w:r>
      <w:r w:rsidR="00A87CE1" w:rsidRPr="00BD2353">
        <w:rPr>
          <w:rFonts w:ascii="Times New Roman" w:hAnsi="Times New Roman"/>
          <w:b/>
        </w:rPr>
        <w:t>18.</w:t>
      </w:r>
      <w:r w:rsidR="002D0A73">
        <w:rPr>
          <w:rFonts w:ascii="Times New Roman" w:hAnsi="Times New Roman"/>
          <w:b/>
        </w:rPr>
        <w:t>364,99</w:t>
      </w:r>
      <w:r w:rsidR="00B874AE">
        <w:rPr>
          <w:rFonts w:ascii="Times New Roman" w:hAnsi="Times New Roman"/>
          <w:b/>
        </w:rPr>
        <w:t xml:space="preserve"> </w:t>
      </w:r>
      <w:r w:rsidRPr="00BD2353">
        <w:rPr>
          <w:rFonts w:ascii="Times New Roman" w:hAnsi="Times New Roman"/>
          <w:b/>
        </w:rPr>
        <w:t>Kč</w:t>
      </w:r>
      <w:r>
        <w:rPr>
          <w:rFonts w:ascii="Times New Roman" w:hAnsi="Times New Roman"/>
        </w:rPr>
        <w:t xml:space="preserve"> bez DPH za jeden </w:t>
      </w:r>
      <w:r w:rsidR="00A87CE1">
        <w:rPr>
          <w:rFonts w:ascii="Times New Roman" w:hAnsi="Times New Roman"/>
        </w:rPr>
        <w:t>DEN PRÁCE JEDNOHO SPECIALISTY.</w:t>
      </w:r>
    </w:p>
    <w:p w14:paraId="3C923EED" w14:textId="77777777" w:rsidR="00A87CE1" w:rsidRPr="00A87CE1" w:rsidRDefault="00A87CE1" w:rsidP="00BD2353">
      <w:pPr>
        <w:pStyle w:val="Bezmezer"/>
        <w:tabs>
          <w:tab w:val="left" w:pos="1560"/>
        </w:tabs>
        <w:spacing w:after="240"/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7.4.5.</w:t>
      </w:r>
      <w:r>
        <w:rPr>
          <w:rFonts w:ascii="Times New Roman" w:hAnsi="Times New Roman"/>
        </w:rPr>
        <w:tab/>
        <w:t>Předmětu plnění zajištění UŽIVATELSKÉ DOKUMENTACE dle odstavce 4.24</w:t>
      </w:r>
      <w:r w:rsidR="00B874A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 ceně </w:t>
      </w:r>
      <w:r w:rsidR="002D0A73">
        <w:rPr>
          <w:rFonts w:ascii="Times New Roman" w:hAnsi="Times New Roman"/>
          <w:b/>
        </w:rPr>
        <w:t>245</w:t>
      </w:r>
      <w:r w:rsidRPr="00A87CE1">
        <w:rPr>
          <w:rFonts w:ascii="Times New Roman" w:hAnsi="Times New Roman"/>
          <w:b/>
        </w:rPr>
        <w:t>,</w:t>
      </w:r>
      <w:r w:rsidR="002D0A73">
        <w:rPr>
          <w:rFonts w:ascii="Times New Roman" w:hAnsi="Times New Roman"/>
          <w:b/>
        </w:rPr>
        <w:t>49</w:t>
      </w:r>
      <w:r w:rsidR="00B874AE">
        <w:rPr>
          <w:rFonts w:ascii="Times New Roman" w:hAnsi="Times New Roman"/>
          <w:b/>
        </w:rPr>
        <w:t xml:space="preserve"> </w:t>
      </w:r>
      <w:r w:rsidRPr="00A87CE1">
        <w:rPr>
          <w:rFonts w:ascii="Times New Roman" w:hAnsi="Times New Roman"/>
          <w:b/>
        </w:rPr>
        <w:t>Kč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bez DPH za jeden výtisk.</w:t>
      </w:r>
    </w:p>
    <w:p w14:paraId="5184E283" w14:textId="77777777" w:rsidR="00DB6C01" w:rsidRDefault="00DB6C01" w:rsidP="00321DF2">
      <w:pPr>
        <w:pStyle w:val="Bezmezer"/>
        <w:spacing w:before="240"/>
        <w:ind w:left="1134" w:hanging="567"/>
        <w:jc w:val="both"/>
        <w:rPr>
          <w:rFonts w:ascii="Times New Roman" w:hAnsi="Times New Roman"/>
          <w:b/>
        </w:rPr>
      </w:pPr>
    </w:p>
    <w:p w14:paraId="71F2A250" w14:textId="77777777" w:rsidR="00321DF2" w:rsidRDefault="00321DF2" w:rsidP="00CD7972">
      <w:pPr>
        <w:tabs>
          <w:tab w:val="left" w:pos="5010"/>
        </w:tabs>
        <w:spacing w:after="160" w:line="259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II.</w:t>
      </w:r>
    </w:p>
    <w:p w14:paraId="0449D865" w14:textId="77777777" w:rsidR="00321DF2" w:rsidRPr="001A61E8" w:rsidRDefault="00321DF2" w:rsidP="00321DF2">
      <w:pPr>
        <w:pStyle w:val="Bezmezer"/>
        <w:jc w:val="center"/>
        <w:rPr>
          <w:rFonts w:ascii="Times New Roman" w:hAnsi="Times New Roman"/>
          <w:b/>
        </w:rPr>
      </w:pPr>
      <w:r w:rsidRPr="001A61E8">
        <w:rPr>
          <w:rFonts w:ascii="Times New Roman" w:hAnsi="Times New Roman"/>
          <w:b/>
        </w:rPr>
        <w:t>Závěrečná ustanovení</w:t>
      </w:r>
    </w:p>
    <w:p w14:paraId="1FFF3B96" w14:textId="77777777" w:rsidR="00321DF2" w:rsidRPr="001A61E8" w:rsidRDefault="00321DF2" w:rsidP="00321DF2">
      <w:pPr>
        <w:pStyle w:val="Bezmezer"/>
        <w:jc w:val="both"/>
        <w:rPr>
          <w:rFonts w:ascii="Times New Roman" w:hAnsi="Times New Roman"/>
        </w:rPr>
      </w:pPr>
      <w:r w:rsidRPr="001A61E8">
        <w:rPr>
          <w:rFonts w:ascii="Times New Roman" w:hAnsi="Times New Roman"/>
        </w:rPr>
        <w:t xml:space="preserve"> </w:t>
      </w:r>
    </w:p>
    <w:p w14:paraId="1D9DB95E" w14:textId="77777777" w:rsidR="00321DF2" w:rsidRPr="001A61E8" w:rsidRDefault="00321DF2" w:rsidP="00321DF2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1A61E8">
        <w:rPr>
          <w:rFonts w:ascii="Times New Roman" w:hAnsi="Times New Roman"/>
        </w:rPr>
        <w:t xml:space="preserve">Ostatní ustanovení Servisní smlouvy </w:t>
      </w:r>
      <w:r w:rsidR="00CD7972">
        <w:rPr>
          <w:rFonts w:ascii="Times New Roman" w:hAnsi="Times New Roman"/>
        </w:rPr>
        <w:t xml:space="preserve">ve znění Dodatku č. 1 </w:t>
      </w:r>
      <w:r w:rsidRPr="001A61E8">
        <w:rPr>
          <w:rFonts w:ascii="Times New Roman" w:hAnsi="Times New Roman"/>
        </w:rPr>
        <w:t xml:space="preserve">tímto dodatkem č. </w:t>
      </w:r>
      <w:r w:rsidR="00A87CE1">
        <w:rPr>
          <w:rFonts w:ascii="Times New Roman" w:hAnsi="Times New Roman"/>
        </w:rPr>
        <w:t>2</w:t>
      </w:r>
      <w:r w:rsidRPr="001A61E8">
        <w:rPr>
          <w:rFonts w:ascii="Times New Roman" w:hAnsi="Times New Roman"/>
        </w:rPr>
        <w:t xml:space="preserve"> nedotčená, zůstávají beze změny.</w:t>
      </w:r>
    </w:p>
    <w:p w14:paraId="46DD16C0" w14:textId="77777777" w:rsidR="00321DF2" w:rsidRPr="001A61E8" w:rsidRDefault="00321DF2" w:rsidP="00321DF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2ABEA828" w14:textId="629B8F32" w:rsidR="00321DF2" w:rsidRPr="001A61E8" w:rsidRDefault="00321DF2" w:rsidP="00321DF2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1A61E8">
        <w:rPr>
          <w:rFonts w:ascii="Times New Roman" w:hAnsi="Times New Roman"/>
        </w:rPr>
        <w:t xml:space="preserve">Tento dodatek č. </w:t>
      </w:r>
      <w:r w:rsidR="00A87CE1">
        <w:rPr>
          <w:rFonts w:ascii="Times New Roman" w:hAnsi="Times New Roman"/>
        </w:rPr>
        <w:t>2</w:t>
      </w:r>
      <w:r w:rsidRPr="001A61E8">
        <w:rPr>
          <w:rFonts w:ascii="Times New Roman" w:hAnsi="Times New Roman"/>
        </w:rPr>
        <w:t xml:space="preserve"> nabývá platnosti dnem jeho podpisu oběma smluvními stranami a účinnosti </w:t>
      </w:r>
      <w:r w:rsidR="00175889">
        <w:rPr>
          <w:rFonts w:ascii="Times New Roman" w:hAnsi="Times New Roman"/>
        </w:rPr>
        <w:t xml:space="preserve">prvním dnem kalendářního měsíce následujícího po </w:t>
      </w:r>
      <w:r w:rsidR="00A41DB6">
        <w:rPr>
          <w:rFonts w:ascii="Times New Roman" w:hAnsi="Times New Roman"/>
        </w:rPr>
        <w:t xml:space="preserve">jeho </w:t>
      </w:r>
      <w:r w:rsidR="00175889">
        <w:rPr>
          <w:rFonts w:ascii="Times New Roman" w:hAnsi="Times New Roman"/>
        </w:rPr>
        <w:t>uveřejnění v registru smluv</w:t>
      </w:r>
      <w:r w:rsidRPr="001A61E8">
        <w:rPr>
          <w:rFonts w:ascii="Times New Roman" w:hAnsi="Times New Roman"/>
        </w:rPr>
        <w:t>.</w:t>
      </w:r>
      <w:r w:rsidR="001758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Uveřejnění v registru smluv zajistí </w:t>
      </w:r>
      <w:r w:rsidR="00E03BA3">
        <w:rPr>
          <w:rFonts w:ascii="Times New Roman" w:hAnsi="Times New Roman"/>
        </w:rPr>
        <w:t>o</w:t>
      </w:r>
      <w:r>
        <w:rPr>
          <w:rFonts w:ascii="Times New Roman" w:hAnsi="Times New Roman"/>
        </w:rPr>
        <w:t>bjednatel.</w:t>
      </w:r>
    </w:p>
    <w:p w14:paraId="6F45C94A" w14:textId="77777777" w:rsidR="00321DF2" w:rsidRPr="001A61E8" w:rsidRDefault="00321DF2" w:rsidP="00321DF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63481604" w14:textId="77777777" w:rsidR="00321DF2" w:rsidRDefault="00321DF2" w:rsidP="00321DF2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1A61E8">
        <w:rPr>
          <w:rFonts w:ascii="Times New Roman" w:hAnsi="Times New Roman"/>
        </w:rPr>
        <w:t xml:space="preserve">Tento dodatek </w:t>
      </w:r>
      <w:r w:rsidR="00A87CE1">
        <w:rPr>
          <w:rFonts w:ascii="Times New Roman" w:hAnsi="Times New Roman"/>
        </w:rPr>
        <w:t>č. 2</w:t>
      </w:r>
      <w:r w:rsidRPr="001A61E8">
        <w:rPr>
          <w:rFonts w:ascii="Times New Roman" w:hAnsi="Times New Roman"/>
        </w:rPr>
        <w:t xml:space="preserve"> je vyhotoven ve čtyřech vyhotoveních s platností originálu, z nichž každá smluvní strana obdrží po dvou vyhotoveních.</w:t>
      </w:r>
    </w:p>
    <w:p w14:paraId="5F81744A" w14:textId="77777777" w:rsidR="00321DF2" w:rsidRDefault="00321DF2" w:rsidP="00321DF2">
      <w:pPr>
        <w:pStyle w:val="Odstavecseseznamem"/>
        <w:spacing w:after="0"/>
        <w:rPr>
          <w:rFonts w:ascii="Times New Roman" w:hAnsi="Times New Roman"/>
        </w:rPr>
      </w:pPr>
    </w:p>
    <w:p w14:paraId="045716C0" w14:textId="77777777" w:rsidR="00321DF2" w:rsidRPr="001A61E8" w:rsidRDefault="00321DF2" w:rsidP="00321DF2">
      <w:pPr>
        <w:pStyle w:val="Bezmezer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1A61E8">
        <w:rPr>
          <w:rFonts w:ascii="Times New Roman" w:hAnsi="Times New Roman"/>
        </w:rPr>
        <w:t xml:space="preserve">Strany tímto prohlašují, že je jim znám celý obsah dodatku č. </w:t>
      </w:r>
      <w:r w:rsidR="00A87CE1">
        <w:rPr>
          <w:rFonts w:ascii="Times New Roman" w:hAnsi="Times New Roman"/>
        </w:rPr>
        <w:t>2</w:t>
      </w:r>
      <w:r w:rsidRPr="001A61E8">
        <w:rPr>
          <w:rFonts w:ascii="Times New Roman" w:hAnsi="Times New Roman"/>
        </w:rPr>
        <w:t xml:space="preserve">, a že tento dodatek č. </w:t>
      </w:r>
      <w:r w:rsidR="00A87CE1">
        <w:rPr>
          <w:rFonts w:ascii="Times New Roman" w:hAnsi="Times New Roman"/>
        </w:rPr>
        <w:t>2</w:t>
      </w:r>
      <w:r w:rsidRPr="001A61E8">
        <w:rPr>
          <w:rFonts w:ascii="Times New Roman" w:hAnsi="Times New Roman"/>
        </w:rPr>
        <w:t xml:space="preserve"> vyjadřuje jejich pravou a svobodnou vůli, na důkaz čeho připojují své podpisy. </w:t>
      </w:r>
    </w:p>
    <w:p w14:paraId="1C106B64" w14:textId="77777777" w:rsidR="00321DF2" w:rsidRDefault="00321DF2" w:rsidP="00321DF2">
      <w:pPr>
        <w:rPr>
          <w:rFonts w:ascii="Times New Roman" w:hAnsi="Times New Roman"/>
        </w:rPr>
      </w:pPr>
    </w:p>
    <w:p w14:paraId="3CF4922D" w14:textId="77777777" w:rsidR="00A87CE1" w:rsidRPr="00B57964" w:rsidRDefault="00A87CE1" w:rsidP="00321DF2">
      <w:pPr>
        <w:rPr>
          <w:rFonts w:ascii="Times New Roman" w:hAnsi="Times New Roman"/>
        </w:rPr>
      </w:pPr>
    </w:p>
    <w:p w14:paraId="0D98A0B1" w14:textId="6562F1D2" w:rsidR="00321DF2" w:rsidRPr="00B57964" w:rsidRDefault="00321DF2" w:rsidP="00321DF2">
      <w:pPr>
        <w:pStyle w:val="Bezmezer"/>
        <w:tabs>
          <w:tab w:val="left" w:pos="5245"/>
        </w:tabs>
        <w:rPr>
          <w:rFonts w:ascii="Times New Roman" w:hAnsi="Times New Roman"/>
        </w:rPr>
      </w:pPr>
      <w:r w:rsidRPr="00B57964">
        <w:rPr>
          <w:rFonts w:ascii="Times New Roman" w:hAnsi="Times New Roman"/>
        </w:rPr>
        <w:t xml:space="preserve">V Praze dne ...................                              </w:t>
      </w:r>
      <w:r w:rsidRPr="00B57964">
        <w:rPr>
          <w:rFonts w:ascii="Times New Roman" w:hAnsi="Times New Roman"/>
        </w:rPr>
        <w:tab/>
        <w:t xml:space="preserve">V </w:t>
      </w:r>
      <w:r w:rsidR="00133981">
        <w:rPr>
          <w:rFonts w:ascii="Times New Roman" w:hAnsi="Times New Roman"/>
        </w:rPr>
        <w:t>Praze</w:t>
      </w:r>
      <w:r w:rsidRPr="00B57964">
        <w:rPr>
          <w:rFonts w:ascii="Times New Roman" w:hAnsi="Times New Roman"/>
        </w:rPr>
        <w:t xml:space="preserve"> dne …………......</w:t>
      </w:r>
    </w:p>
    <w:p w14:paraId="33595FB2" w14:textId="77777777" w:rsidR="00321DF2" w:rsidRDefault="00321DF2" w:rsidP="00321DF2">
      <w:pPr>
        <w:spacing w:after="0"/>
      </w:pPr>
    </w:p>
    <w:p w14:paraId="06B90EC0" w14:textId="77777777" w:rsidR="00321DF2" w:rsidRDefault="00321DF2" w:rsidP="00321DF2">
      <w:pPr>
        <w:spacing w:after="0"/>
      </w:pPr>
    </w:p>
    <w:p w14:paraId="0477A27C" w14:textId="77777777" w:rsidR="00321DF2" w:rsidRDefault="00321DF2" w:rsidP="00321DF2">
      <w:pPr>
        <w:spacing w:after="0"/>
      </w:pPr>
    </w:p>
    <w:p w14:paraId="7CA13481" w14:textId="77777777" w:rsidR="00321DF2" w:rsidRPr="00B57964" w:rsidRDefault="00321DF2" w:rsidP="00321DF2">
      <w:pPr>
        <w:spacing w:after="0"/>
      </w:pPr>
      <w:r w:rsidRPr="00B57964">
        <w:t>……………………………………………………………………</w:t>
      </w:r>
      <w:r w:rsidRPr="00B57964">
        <w:tab/>
        <w:t xml:space="preserve">   </w:t>
      </w:r>
      <w:r w:rsidRPr="00B57964">
        <w:tab/>
        <w:t xml:space="preserve">   ……………………………………………………………………</w:t>
      </w:r>
    </w:p>
    <w:p w14:paraId="4F682150" w14:textId="77777777" w:rsidR="00321DF2" w:rsidRPr="00B57964" w:rsidRDefault="00321DF2" w:rsidP="00321DF2">
      <w:pPr>
        <w:spacing w:after="0"/>
        <w:rPr>
          <w:rFonts w:ascii="Times New Roman" w:hAnsi="Times New Roman"/>
        </w:rPr>
      </w:pPr>
      <w:r w:rsidRPr="00B57964">
        <w:t xml:space="preserve">                    </w:t>
      </w:r>
      <w:r w:rsidR="00E03BA3">
        <w:rPr>
          <w:rFonts w:ascii="Times New Roman" w:hAnsi="Times New Roman"/>
        </w:rPr>
        <w:t xml:space="preserve">   o</w:t>
      </w:r>
      <w:r w:rsidRPr="00B57964">
        <w:rPr>
          <w:rFonts w:ascii="Times New Roman" w:hAnsi="Times New Roman"/>
        </w:rPr>
        <w:t>bjednatel</w:t>
      </w:r>
      <w:r w:rsidRPr="00B57964">
        <w:rPr>
          <w:rFonts w:ascii="Times New Roman" w:hAnsi="Times New Roman"/>
        </w:rPr>
        <w:tab/>
      </w:r>
      <w:r w:rsidRPr="00B57964">
        <w:rPr>
          <w:rFonts w:ascii="Times New Roman" w:hAnsi="Times New Roman"/>
        </w:rPr>
        <w:tab/>
      </w:r>
      <w:r w:rsidRPr="00B57964">
        <w:rPr>
          <w:rFonts w:ascii="Times New Roman" w:hAnsi="Times New Roman"/>
        </w:rPr>
        <w:tab/>
      </w:r>
      <w:r w:rsidRPr="00B57964">
        <w:rPr>
          <w:rFonts w:ascii="Times New Roman" w:hAnsi="Times New Roman"/>
        </w:rPr>
        <w:tab/>
      </w:r>
      <w:r w:rsidRPr="00B57964">
        <w:rPr>
          <w:rFonts w:ascii="Times New Roman" w:hAnsi="Times New Roman"/>
        </w:rPr>
        <w:tab/>
        <w:t xml:space="preserve">             </w:t>
      </w:r>
      <w:r w:rsidR="00E03BA3">
        <w:rPr>
          <w:rFonts w:ascii="Times New Roman" w:hAnsi="Times New Roman"/>
        </w:rPr>
        <w:tab/>
        <w:t>d</w:t>
      </w:r>
      <w:r w:rsidRPr="00B57964">
        <w:rPr>
          <w:rFonts w:ascii="Times New Roman" w:hAnsi="Times New Roman"/>
        </w:rPr>
        <w:t>odavatel</w:t>
      </w:r>
    </w:p>
    <w:p w14:paraId="68D2DBFE" w14:textId="611D64F9" w:rsidR="00321DF2" w:rsidRPr="00D55E5D" w:rsidRDefault="00321DF2" w:rsidP="00321DF2">
      <w:pPr>
        <w:spacing w:after="0"/>
        <w:rPr>
          <w:rFonts w:ascii="Times New Roman" w:hAnsi="Times New Roman"/>
          <w:lang w:val="en-US"/>
        </w:rPr>
      </w:pPr>
      <w:r w:rsidRPr="00B57964">
        <w:rPr>
          <w:rFonts w:ascii="Times New Roman" w:hAnsi="Times New Roman"/>
        </w:rPr>
        <w:t xml:space="preserve">Česká republika – Ministerstvo spravedlnosti </w:t>
      </w:r>
      <w:r w:rsidRPr="00B57964">
        <w:rPr>
          <w:rFonts w:ascii="Times New Roman" w:hAnsi="Times New Roman"/>
        </w:rPr>
        <w:tab/>
      </w:r>
      <w:r w:rsidRPr="00B57964">
        <w:rPr>
          <w:rFonts w:ascii="Times New Roman" w:hAnsi="Times New Roman"/>
        </w:rPr>
        <w:tab/>
      </w:r>
      <w:r w:rsidRPr="00B57964">
        <w:rPr>
          <w:rFonts w:ascii="Times New Roman" w:hAnsi="Times New Roman"/>
        </w:rPr>
        <w:tab/>
      </w:r>
      <w:r w:rsidR="00A87CE1">
        <w:rPr>
          <w:rFonts w:ascii="Times New Roman" w:hAnsi="Times New Roman"/>
        </w:rPr>
        <w:t xml:space="preserve">         CCA Group a.s.</w:t>
      </w:r>
      <w:r w:rsidRPr="00B57964">
        <w:rPr>
          <w:rFonts w:ascii="Times New Roman" w:hAnsi="Times New Roman"/>
        </w:rPr>
        <w:tab/>
      </w:r>
      <w:r w:rsidRPr="00B57964">
        <w:rPr>
          <w:rFonts w:ascii="Times New Roman" w:hAnsi="Times New Roman"/>
        </w:rPr>
        <w:tab/>
        <w:t xml:space="preserve">                 </w:t>
      </w:r>
      <w:r w:rsidRPr="00B57964">
        <w:rPr>
          <w:rFonts w:ascii="Times New Roman" w:hAnsi="Times New Roman"/>
        </w:rPr>
        <w:tab/>
        <w:t xml:space="preserve">  </w:t>
      </w:r>
      <w:r w:rsidR="00912E77" w:rsidRPr="002C7A2A">
        <w:rPr>
          <w:rFonts w:ascii="Times New Roman" w:hAnsi="Times New Roman"/>
          <w:highlight w:val="black"/>
        </w:rPr>
        <w:t>**********</w:t>
      </w:r>
      <w:r w:rsidRPr="00B57964">
        <w:rPr>
          <w:rFonts w:ascii="Times New Roman" w:hAnsi="Times New Roman"/>
        </w:rPr>
        <w:tab/>
      </w:r>
      <w:r w:rsidRPr="00B57964">
        <w:rPr>
          <w:rFonts w:ascii="Times New Roman" w:hAnsi="Times New Roman"/>
        </w:rPr>
        <w:tab/>
        <w:t xml:space="preserve">                                         </w:t>
      </w:r>
      <w:r w:rsidR="00D55E5D">
        <w:rPr>
          <w:rFonts w:ascii="Times New Roman" w:hAnsi="Times New Roman"/>
        </w:rPr>
        <w:t xml:space="preserve">       </w:t>
      </w:r>
      <w:r w:rsidR="00912E77">
        <w:rPr>
          <w:rFonts w:ascii="Times New Roman" w:hAnsi="Times New Roman"/>
        </w:rPr>
        <w:t xml:space="preserve">               </w:t>
      </w:r>
      <w:r w:rsidR="00912E77" w:rsidRPr="002C7A2A">
        <w:rPr>
          <w:rFonts w:ascii="Times New Roman" w:hAnsi="Times New Roman"/>
          <w:highlight w:val="black"/>
        </w:rPr>
        <w:t>**********</w:t>
      </w:r>
    </w:p>
    <w:p w14:paraId="7C4E889F" w14:textId="72739F8A" w:rsidR="00321DF2" w:rsidRPr="00B57964" w:rsidRDefault="00912E77" w:rsidP="00321DF2">
      <w:pPr>
        <w:spacing w:after="0"/>
      </w:pPr>
      <w:r w:rsidRPr="002C7A2A">
        <w:rPr>
          <w:rFonts w:ascii="Times New Roman" w:hAnsi="Times New Roman"/>
          <w:highlight w:val="black"/>
        </w:rPr>
        <w:t>**********</w:t>
      </w:r>
      <w:r w:rsidR="00321DF2" w:rsidRPr="00B57964">
        <w:rPr>
          <w:rFonts w:ascii="Times New Roman" w:hAnsi="Times New Roman"/>
        </w:rPr>
        <w:t xml:space="preserve">      </w:t>
      </w:r>
      <w:r w:rsidR="00321DF2" w:rsidRPr="00B5796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 w:rsidRPr="002C7A2A">
        <w:rPr>
          <w:rFonts w:ascii="Times New Roman" w:hAnsi="Times New Roman"/>
          <w:highlight w:val="black"/>
        </w:rPr>
        <w:t>**********</w:t>
      </w:r>
    </w:p>
    <w:p w14:paraId="6BDC246F" w14:textId="77777777" w:rsidR="00321DF2" w:rsidRPr="00B57964" w:rsidRDefault="00321DF2" w:rsidP="00321DF2">
      <w:pPr>
        <w:spacing w:after="0"/>
      </w:pPr>
    </w:p>
    <w:p w14:paraId="776EAD15" w14:textId="77777777" w:rsidR="00321DF2" w:rsidRPr="00B57964" w:rsidRDefault="00321DF2" w:rsidP="00321DF2"/>
    <w:p w14:paraId="6BF2FB15" w14:textId="77777777" w:rsidR="00321DF2" w:rsidRPr="00B57964" w:rsidRDefault="00321DF2" w:rsidP="00321DF2">
      <w:pPr>
        <w:pStyle w:val="Bezmezer"/>
      </w:pPr>
    </w:p>
    <w:p w14:paraId="63974997" w14:textId="77777777" w:rsidR="002E47B7" w:rsidRDefault="002E47B7"/>
    <w:sectPr w:rsidR="002E47B7" w:rsidSect="00B951FF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55DC" w14:textId="77777777" w:rsidR="002C7A2A" w:rsidRDefault="002C7A2A" w:rsidP="000759F1">
      <w:pPr>
        <w:spacing w:after="0" w:line="240" w:lineRule="auto"/>
      </w:pPr>
      <w:r>
        <w:separator/>
      </w:r>
    </w:p>
  </w:endnote>
  <w:endnote w:type="continuationSeparator" w:id="0">
    <w:p w14:paraId="23A57138" w14:textId="77777777" w:rsidR="002C7A2A" w:rsidRDefault="002C7A2A" w:rsidP="000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B7696" w14:textId="77777777" w:rsidR="002C7A2A" w:rsidRDefault="002C7A2A" w:rsidP="000759F1">
      <w:pPr>
        <w:spacing w:after="0" w:line="240" w:lineRule="auto"/>
      </w:pPr>
      <w:r>
        <w:separator/>
      </w:r>
    </w:p>
  </w:footnote>
  <w:footnote w:type="continuationSeparator" w:id="0">
    <w:p w14:paraId="0139BFDB" w14:textId="77777777" w:rsidR="002C7A2A" w:rsidRDefault="002C7A2A" w:rsidP="0007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12EDF"/>
    <w:multiLevelType w:val="hybridMultilevel"/>
    <w:tmpl w:val="9ABA58FA"/>
    <w:lvl w:ilvl="0" w:tplc="0D6A0D2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18E4"/>
    <w:multiLevelType w:val="hybridMultilevel"/>
    <w:tmpl w:val="128847D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B72C4C"/>
    <w:multiLevelType w:val="hybridMultilevel"/>
    <w:tmpl w:val="4742135E"/>
    <w:lvl w:ilvl="0" w:tplc="7C60F71A">
      <w:start w:val="1"/>
      <w:numFmt w:val="decimal"/>
      <w:pStyle w:val="Nadpis1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C585D"/>
    <w:multiLevelType w:val="hybridMultilevel"/>
    <w:tmpl w:val="8048CFCE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63FC7826"/>
    <w:multiLevelType w:val="hybridMultilevel"/>
    <w:tmpl w:val="25800EB6"/>
    <w:lvl w:ilvl="0" w:tplc="04050017">
      <w:start w:val="1"/>
      <w:numFmt w:val="lowerLetter"/>
      <w:lvlText w:val="%1)"/>
      <w:lvlJc w:val="left"/>
      <w:pPr>
        <w:ind w:left="1717" w:hanging="360"/>
      </w:pPr>
    </w:lvl>
    <w:lvl w:ilvl="1" w:tplc="04050019" w:tentative="1">
      <w:start w:val="1"/>
      <w:numFmt w:val="lowerLetter"/>
      <w:lvlText w:val="%2."/>
      <w:lvlJc w:val="left"/>
      <w:pPr>
        <w:ind w:left="2437" w:hanging="360"/>
      </w:pPr>
    </w:lvl>
    <w:lvl w:ilvl="2" w:tplc="0405001B" w:tentative="1">
      <w:start w:val="1"/>
      <w:numFmt w:val="lowerRoman"/>
      <w:lvlText w:val="%3."/>
      <w:lvlJc w:val="right"/>
      <w:pPr>
        <w:ind w:left="3157" w:hanging="180"/>
      </w:pPr>
    </w:lvl>
    <w:lvl w:ilvl="3" w:tplc="0405000F" w:tentative="1">
      <w:start w:val="1"/>
      <w:numFmt w:val="decimal"/>
      <w:lvlText w:val="%4."/>
      <w:lvlJc w:val="left"/>
      <w:pPr>
        <w:ind w:left="3877" w:hanging="360"/>
      </w:pPr>
    </w:lvl>
    <w:lvl w:ilvl="4" w:tplc="04050019" w:tentative="1">
      <w:start w:val="1"/>
      <w:numFmt w:val="lowerLetter"/>
      <w:lvlText w:val="%5."/>
      <w:lvlJc w:val="left"/>
      <w:pPr>
        <w:ind w:left="4597" w:hanging="360"/>
      </w:pPr>
    </w:lvl>
    <w:lvl w:ilvl="5" w:tplc="0405001B" w:tentative="1">
      <w:start w:val="1"/>
      <w:numFmt w:val="lowerRoman"/>
      <w:lvlText w:val="%6."/>
      <w:lvlJc w:val="right"/>
      <w:pPr>
        <w:ind w:left="5317" w:hanging="180"/>
      </w:pPr>
    </w:lvl>
    <w:lvl w:ilvl="6" w:tplc="0405000F" w:tentative="1">
      <w:start w:val="1"/>
      <w:numFmt w:val="decimal"/>
      <w:lvlText w:val="%7."/>
      <w:lvlJc w:val="left"/>
      <w:pPr>
        <w:ind w:left="6037" w:hanging="360"/>
      </w:pPr>
    </w:lvl>
    <w:lvl w:ilvl="7" w:tplc="04050019" w:tentative="1">
      <w:start w:val="1"/>
      <w:numFmt w:val="lowerLetter"/>
      <w:lvlText w:val="%8."/>
      <w:lvlJc w:val="left"/>
      <w:pPr>
        <w:ind w:left="6757" w:hanging="360"/>
      </w:pPr>
    </w:lvl>
    <w:lvl w:ilvl="8" w:tplc="0405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6" w15:restartNumberingAfterBreak="0">
    <w:nsid w:val="6D1E7205"/>
    <w:multiLevelType w:val="hybridMultilevel"/>
    <w:tmpl w:val="D25CC5DE"/>
    <w:lvl w:ilvl="0" w:tplc="2C5C3C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AC331A"/>
    <w:multiLevelType w:val="hybridMultilevel"/>
    <w:tmpl w:val="40D6BF2E"/>
    <w:lvl w:ilvl="0" w:tplc="7AC09A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C"/>
    <w:rsid w:val="00014E51"/>
    <w:rsid w:val="00030C46"/>
    <w:rsid w:val="000759F1"/>
    <w:rsid w:val="00133981"/>
    <w:rsid w:val="00175889"/>
    <w:rsid w:val="0022714A"/>
    <w:rsid w:val="00272B89"/>
    <w:rsid w:val="002C7A2A"/>
    <w:rsid w:val="002D0A73"/>
    <w:rsid w:val="002E47B7"/>
    <w:rsid w:val="00321DF2"/>
    <w:rsid w:val="003A4ABA"/>
    <w:rsid w:val="00414C22"/>
    <w:rsid w:val="00421ADB"/>
    <w:rsid w:val="00551E8D"/>
    <w:rsid w:val="005B4B96"/>
    <w:rsid w:val="005E29BD"/>
    <w:rsid w:val="005E5D8C"/>
    <w:rsid w:val="00685DFB"/>
    <w:rsid w:val="00735A68"/>
    <w:rsid w:val="007F19E7"/>
    <w:rsid w:val="008172DB"/>
    <w:rsid w:val="0083450F"/>
    <w:rsid w:val="00844D06"/>
    <w:rsid w:val="00850CC9"/>
    <w:rsid w:val="0088461D"/>
    <w:rsid w:val="00893E7A"/>
    <w:rsid w:val="008E6DA0"/>
    <w:rsid w:val="0090205F"/>
    <w:rsid w:val="00912E77"/>
    <w:rsid w:val="0092647A"/>
    <w:rsid w:val="009C34D0"/>
    <w:rsid w:val="009D7FC8"/>
    <w:rsid w:val="009E0D76"/>
    <w:rsid w:val="00A20101"/>
    <w:rsid w:val="00A41DB6"/>
    <w:rsid w:val="00A83FF4"/>
    <w:rsid w:val="00A87CE1"/>
    <w:rsid w:val="00AB3869"/>
    <w:rsid w:val="00B874AE"/>
    <w:rsid w:val="00B951FF"/>
    <w:rsid w:val="00BB1F25"/>
    <w:rsid w:val="00BD2353"/>
    <w:rsid w:val="00C12343"/>
    <w:rsid w:val="00C5227C"/>
    <w:rsid w:val="00C54924"/>
    <w:rsid w:val="00C60CBE"/>
    <w:rsid w:val="00C7790C"/>
    <w:rsid w:val="00C816EB"/>
    <w:rsid w:val="00CD7972"/>
    <w:rsid w:val="00D2677C"/>
    <w:rsid w:val="00D55E5D"/>
    <w:rsid w:val="00DB6C01"/>
    <w:rsid w:val="00DF2463"/>
    <w:rsid w:val="00E03BA3"/>
    <w:rsid w:val="00E608A9"/>
    <w:rsid w:val="00E874FE"/>
    <w:rsid w:val="00E9313C"/>
    <w:rsid w:val="00E97305"/>
    <w:rsid w:val="00EE3689"/>
    <w:rsid w:val="00E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0F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DF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321DF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1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321DF2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Bezmezer">
    <w:name w:val="No Spacing"/>
    <w:uiPriority w:val="1"/>
    <w:qFormat/>
    <w:rsid w:val="00321D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wrap">
    <w:name w:val="nowrap"/>
    <w:rsid w:val="00321DF2"/>
  </w:style>
  <w:style w:type="paragraph" w:customStyle="1" w:styleId="Import6">
    <w:name w:val="Import 6"/>
    <w:rsid w:val="00321DF2"/>
    <w:pPr>
      <w:tabs>
        <w:tab w:val="left" w:pos="2520"/>
      </w:tabs>
      <w:suppressAutoHyphens/>
      <w:spacing w:after="0" w:line="240" w:lineRule="auto"/>
      <w:jc w:val="both"/>
    </w:pPr>
    <w:rPr>
      <w:rFonts w:ascii="Avinion" w:eastAsia="Arial" w:hAnsi="Avinion" w:cs="Avinion"/>
      <w:sz w:val="24"/>
      <w:szCs w:val="20"/>
      <w:lang w:val="en-US" w:eastAsia="ar-SA"/>
    </w:rPr>
  </w:style>
  <w:style w:type="paragraph" w:customStyle="1" w:styleId="Import3">
    <w:name w:val="Import 3"/>
    <w:rsid w:val="00321DF2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Arial" w:hAnsi="Avinion" w:cs="Avinion"/>
      <w:sz w:val="24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321DF2"/>
    <w:pPr>
      <w:ind w:left="708"/>
    </w:pPr>
  </w:style>
  <w:style w:type="character" w:styleId="Odkaznakoment">
    <w:name w:val="annotation reference"/>
    <w:uiPriority w:val="99"/>
    <w:semiHidden/>
    <w:unhideWhenUsed/>
    <w:rsid w:val="00321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D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DF2"/>
    <w:rPr>
      <w:rFonts w:ascii="Calibri" w:eastAsia="Calibri" w:hAnsi="Calibri" w:cs="Times New Roman"/>
      <w:sz w:val="20"/>
      <w:szCs w:val="20"/>
    </w:rPr>
  </w:style>
  <w:style w:type="paragraph" w:customStyle="1" w:styleId="Clanek11">
    <w:name w:val="Clanek 1.1"/>
    <w:basedOn w:val="Nadpis2"/>
    <w:link w:val="Clanek11Char"/>
    <w:qFormat/>
    <w:rsid w:val="00321DF2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321DF2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21D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DF2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9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7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9F1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E5D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E5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7B43-03DF-4FDA-86D3-1B7C83D3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2020-08-20T11:46:00Z</dcterms:created>
  <dcterms:modified xsi:type="dcterms:W3CDTF">2020-08-20T11:46:00Z</dcterms:modified>
</cp:coreProperties>
</file>