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E58DB" w14:textId="77777777" w:rsidR="005A2A8E" w:rsidRDefault="005A2A8E">
      <w:pPr>
        <w:pStyle w:val="Zkladntext"/>
        <w:spacing w:before="8"/>
        <w:rPr>
          <w:rFonts w:ascii="Times New Roman"/>
          <w:sz w:val="37"/>
        </w:rPr>
      </w:pPr>
    </w:p>
    <w:p w14:paraId="77A3B620" w14:textId="7FF9E9C6" w:rsidR="005A2A8E" w:rsidRDefault="008F4651">
      <w:pPr>
        <w:pStyle w:val="Nze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B2B2CE0" wp14:editId="655B708E">
                <wp:simplePos x="0" y="0"/>
                <wp:positionH relativeFrom="page">
                  <wp:posOffset>661035</wp:posOffset>
                </wp:positionH>
                <wp:positionV relativeFrom="paragraph">
                  <wp:posOffset>431800</wp:posOffset>
                </wp:positionV>
                <wp:extent cx="4906010" cy="1049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01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26"/>
                              <w:gridCol w:w="4300"/>
                            </w:tblGrid>
                            <w:tr w:rsidR="005A2A8E" w14:paraId="75C3C7F9" w14:textId="77777777">
                              <w:trPr>
                                <w:trHeight w:val="1651"/>
                              </w:trPr>
                              <w:tc>
                                <w:tcPr>
                                  <w:tcW w:w="3426" w:type="dxa"/>
                                </w:tcPr>
                                <w:p w14:paraId="75EF11B9" w14:textId="77777777" w:rsidR="005A2A8E" w:rsidRDefault="00DB1DC4">
                                  <w:pPr>
                                    <w:pStyle w:val="TableParagraph"/>
                                    <w:spacing w:before="0" w:line="264" w:lineRule="auto"/>
                                    <w:ind w:left="200" w:right="13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Veletržní palác Dukelských hrdinů 47</w:t>
                                  </w:r>
                                </w:p>
                                <w:p w14:paraId="6F87CD15" w14:textId="77777777" w:rsidR="005A2A8E" w:rsidRDefault="00DB1DC4">
                                  <w:pPr>
                                    <w:pStyle w:val="TableParagraph"/>
                                    <w:spacing w:before="0" w:line="218" w:lineRule="exact"/>
                                    <w:ind w:left="2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170 00 Praha 7</w:t>
                                  </w:r>
                                </w:p>
                                <w:p w14:paraId="47D3879A" w14:textId="77777777" w:rsidR="005A2A8E" w:rsidRDefault="005A2A8E">
                                  <w:pPr>
                                    <w:pStyle w:val="TableParagraph"/>
                                    <w:spacing w:before="1"/>
                                    <w:ind w:left="0"/>
                                  </w:pPr>
                                </w:p>
                                <w:p w14:paraId="19060B38" w14:textId="77777777" w:rsidR="005A2A8E" w:rsidRDefault="00DB1DC4">
                                  <w:pPr>
                                    <w:pStyle w:val="TableParagraph"/>
                                    <w:spacing w:before="1"/>
                                    <w:ind w:left="2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+420 224 301 285</w:t>
                                  </w:r>
                                </w:p>
                                <w:p w14:paraId="17E928E1" w14:textId="77777777" w:rsidR="005A2A8E" w:rsidRDefault="00DB1DC4">
                                  <w:pPr>
                                    <w:pStyle w:val="TableParagraph"/>
                                    <w:spacing w:before="0" w:line="240" w:lineRule="atLeast"/>
                                    <w:ind w:left="200" w:right="134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pavla.polivkova@ fondkinematografie.cz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</w:tcPr>
                                <w:p w14:paraId="66D208CB" w14:textId="77777777" w:rsidR="005A2A8E" w:rsidRDefault="00DB1DC4">
                                  <w:pPr>
                                    <w:pStyle w:val="TableParagraph"/>
                                    <w:spacing w:before="0" w:line="264" w:lineRule="auto"/>
                                    <w:ind w:left="1366" w:right="17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Městská správa kin v Kolíně p.o. Smetanova 764</w:t>
                                  </w:r>
                                </w:p>
                                <w:p w14:paraId="22A83169" w14:textId="77777777" w:rsidR="005A2A8E" w:rsidRDefault="00DB1DC4">
                                  <w:pPr>
                                    <w:pStyle w:val="TableParagraph"/>
                                    <w:spacing w:before="0" w:line="218" w:lineRule="exact"/>
                                    <w:ind w:left="136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280 02 Kolín</w:t>
                                  </w:r>
                                </w:p>
                                <w:p w14:paraId="297C3E92" w14:textId="77777777" w:rsidR="005A2A8E" w:rsidRDefault="005A2A8E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E792E13" w14:textId="77777777" w:rsidR="005A2A8E" w:rsidRDefault="005A2A8E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9E949DF" w14:textId="77777777" w:rsidR="005A2A8E" w:rsidRDefault="00DB1DC4">
                                  <w:pPr>
                                    <w:pStyle w:val="TableParagraph"/>
                                    <w:spacing w:before="0"/>
                                    <w:ind w:left="136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Č.j.:</w:t>
                                  </w:r>
                                  <w:r>
                                    <w:rPr>
                                      <w:spacing w:val="5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SFKMG/8019/2020</w:t>
                                  </w:r>
                                </w:p>
                              </w:tc>
                            </w:tr>
                          </w:tbl>
                          <w:p w14:paraId="72DBA519" w14:textId="77777777" w:rsidR="005A2A8E" w:rsidRDefault="005A2A8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B2C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05pt;margin-top:34pt;width:386.3pt;height:82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3L5wEAALcDAAAOAAAAZHJzL2Uyb0RvYy54bWysU9tu1DAQfUfiHyy/s8lGqIJos1VpVYRU&#10;LlLLB0wcJ7FIPGbs3WT5esbOZinwhnixxuPx8Zkzx7vreRzEUZM3aCu53eRSaKuwMbar5Nen+1dv&#10;pPABbAMDWl3Jk/byev/yxW5ypS6wx6HRJBjE+nJylexDcGWWedXrEfwGnbZ82CKNEHhLXdYQTIw+&#10;DlmR51fZhNQ4QqW95+zdcij3Cb9ttQqf29brIIZKMreQVkprHddsv4OyI3C9UWca8A8sRjCWH71A&#10;3UEAcSDzF9RoFKHHNmwUjhm2rVE69cDdbPM/unnswenUC4vj3UUm//9g1afjFxKmqWQhhYWRR/Sk&#10;5yDe4SyKqM7kfMlFj47LwsxpnnLq1LsHVN+8sHjbg+30DRFOvYaG2W3jzezZ1QXHR5B6+ogNPwOH&#10;gAlobmmM0rEYgtF5SqfLZCIVxcnXb/Mr1kcKxWfbnLdFml0G5XrdkQ/vNY4iBpUkHn2Ch+ODD5EO&#10;lGtJfM3ivRmGNP7B/pbgwphJ9CPjhXuY6/ksR43NiRshXNzE7uegR/ohxcROqqT/fgDSUgwfLIsR&#10;bbcGtAb1GoBVfLWSQYolvA2LPQ+OTNcz8iK3xRsWrDWplajswuLMk92ROjw7Odrv+T5V/fpv+58A&#10;AAD//wMAUEsDBBQABgAIAAAAIQDImKkx3wAAAAoBAAAPAAAAZHJzL2Rvd25yZXYueG1sTI/BTsMw&#10;EETvSPyDtUjcqN0UpSHEqSoEJ6SKNBw4OrGbWI3XIXbb8PddTnAc7dPsm2Izu4GdzRSsRwnLhQBm&#10;sPXaYifhs357yICFqFCrwaOR8GMCbMrbm0Ll2l+wMud97BiVYMiVhD7GMec8tL1xKiz8aJBuBz85&#10;FSlOHdeTulC5G3giRMqdskgfejWal960x/3JSdh+YfVqv3fNR3WobF0/CXxPj1Le383bZ2DRzPEP&#10;hl99UoeSnBp/Qh3YQFk8LgmVkGa0iYBsna6BNRKS1SoBXhb8/4TyCgAA//8DAFBLAQItABQABgAI&#10;AAAAIQC2gziS/gAAAOEBAAATAAAAAAAAAAAAAAAAAAAAAABbQ29udGVudF9UeXBlc10ueG1sUEsB&#10;Ai0AFAAGAAgAAAAhADj9If/WAAAAlAEAAAsAAAAAAAAAAAAAAAAALwEAAF9yZWxzLy5yZWxzUEsB&#10;Ai0AFAAGAAgAAAAhACkeLcvnAQAAtwMAAA4AAAAAAAAAAAAAAAAALgIAAGRycy9lMm9Eb2MueG1s&#10;UEsBAi0AFAAGAAgAAAAhAMiYqTHfAAAACgEAAA8AAAAAAAAAAAAAAAAAQQ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26"/>
                        <w:gridCol w:w="4300"/>
                      </w:tblGrid>
                      <w:tr w:rsidR="005A2A8E" w14:paraId="75C3C7F9" w14:textId="77777777">
                        <w:trPr>
                          <w:trHeight w:val="1651"/>
                        </w:trPr>
                        <w:tc>
                          <w:tcPr>
                            <w:tcW w:w="3426" w:type="dxa"/>
                          </w:tcPr>
                          <w:p w14:paraId="75EF11B9" w14:textId="77777777" w:rsidR="005A2A8E" w:rsidRDefault="00DB1DC4">
                            <w:pPr>
                              <w:pStyle w:val="TableParagraph"/>
                              <w:spacing w:before="0" w:line="264" w:lineRule="auto"/>
                              <w:ind w:left="200" w:right="138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Veletržní palác Dukelských hrdinů 47</w:t>
                            </w:r>
                          </w:p>
                          <w:p w14:paraId="6F87CD15" w14:textId="77777777" w:rsidR="005A2A8E" w:rsidRDefault="00DB1DC4">
                            <w:pPr>
                              <w:pStyle w:val="TableParagraph"/>
                              <w:spacing w:before="0" w:line="218" w:lineRule="exact"/>
                              <w:ind w:left="20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170 00 Praha 7</w:t>
                            </w:r>
                          </w:p>
                          <w:p w14:paraId="47D3879A" w14:textId="77777777" w:rsidR="005A2A8E" w:rsidRDefault="005A2A8E">
                            <w:pPr>
                              <w:pStyle w:val="TableParagraph"/>
                              <w:spacing w:before="1"/>
                              <w:ind w:left="0"/>
                            </w:pPr>
                          </w:p>
                          <w:p w14:paraId="19060B38" w14:textId="77777777" w:rsidR="005A2A8E" w:rsidRDefault="00DB1DC4">
                            <w:pPr>
                              <w:pStyle w:val="TableParagraph"/>
                              <w:spacing w:before="1"/>
                              <w:ind w:left="20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+420 224 301 285</w:t>
                            </w:r>
                          </w:p>
                          <w:p w14:paraId="17E928E1" w14:textId="77777777" w:rsidR="005A2A8E" w:rsidRDefault="00DB1DC4">
                            <w:pPr>
                              <w:pStyle w:val="TableParagraph"/>
                              <w:spacing w:before="0" w:line="240" w:lineRule="atLeast"/>
                              <w:ind w:left="200" w:right="134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pavla.polivkova@ fondkinematografie.cz</w:t>
                            </w:r>
                          </w:p>
                        </w:tc>
                        <w:tc>
                          <w:tcPr>
                            <w:tcW w:w="4300" w:type="dxa"/>
                          </w:tcPr>
                          <w:p w14:paraId="66D208CB" w14:textId="77777777" w:rsidR="005A2A8E" w:rsidRDefault="00DB1DC4">
                            <w:pPr>
                              <w:pStyle w:val="TableParagraph"/>
                              <w:spacing w:before="0" w:line="264" w:lineRule="auto"/>
                              <w:ind w:left="1366" w:right="17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Městská správa kin v Kolíně p.o. Smetanova 764</w:t>
                            </w:r>
                          </w:p>
                          <w:p w14:paraId="22A83169" w14:textId="77777777" w:rsidR="005A2A8E" w:rsidRDefault="00DB1DC4">
                            <w:pPr>
                              <w:pStyle w:val="TableParagraph"/>
                              <w:spacing w:before="0" w:line="218" w:lineRule="exact"/>
                              <w:ind w:left="136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280 02 Kolín</w:t>
                            </w:r>
                          </w:p>
                          <w:p w14:paraId="297C3E92" w14:textId="77777777" w:rsidR="005A2A8E" w:rsidRDefault="005A2A8E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1E792E13" w14:textId="77777777" w:rsidR="005A2A8E" w:rsidRDefault="005A2A8E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3"/>
                              </w:rPr>
                            </w:pPr>
                          </w:p>
                          <w:p w14:paraId="29E949DF" w14:textId="77777777" w:rsidR="005A2A8E" w:rsidRDefault="00DB1DC4">
                            <w:pPr>
                              <w:pStyle w:val="TableParagraph"/>
                              <w:spacing w:before="0"/>
                              <w:ind w:left="136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Č.j.:</w:t>
                            </w:r>
                            <w:r>
                              <w:rPr>
                                <w:spacing w:val="5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SFKMG/8019/2020</w:t>
                            </w:r>
                          </w:p>
                        </w:tc>
                      </w:tr>
                    </w:tbl>
                    <w:p w14:paraId="72DBA519" w14:textId="77777777" w:rsidR="005A2A8E" w:rsidRDefault="005A2A8E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B1DC4">
        <w:t>Státní fond kinematografie</w:t>
      </w:r>
    </w:p>
    <w:p w14:paraId="5E8EF165" w14:textId="77777777" w:rsidR="005A2A8E" w:rsidRDefault="005A2A8E">
      <w:pPr>
        <w:pStyle w:val="Zkladntext"/>
        <w:rPr>
          <w:b/>
          <w:sz w:val="40"/>
        </w:rPr>
      </w:pPr>
    </w:p>
    <w:p w14:paraId="2CCF8EA1" w14:textId="77777777" w:rsidR="005A2A8E" w:rsidRDefault="005A2A8E">
      <w:pPr>
        <w:pStyle w:val="Zkladntext"/>
        <w:rPr>
          <w:b/>
          <w:sz w:val="40"/>
        </w:rPr>
      </w:pPr>
    </w:p>
    <w:p w14:paraId="319F6F49" w14:textId="77777777" w:rsidR="005A2A8E" w:rsidRDefault="005A2A8E">
      <w:pPr>
        <w:pStyle w:val="Zkladntext"/>
        <w:rPr>
          <w:b/>
          <w:sz w:val="40"/>
        </w:rPr>
      </w:pPr>
    </w:p>
    <w:p w14:paraId="4C7D1138" w14:textId="77777777" w:rsidR="005A2A8E" w:rsidRDefault="005A2A8E">
      <w:pPr>
        <w:pStyle w:val="Zkladntext"/>
        <w:rPr>
          <w:b/>
          <w:sz w:val="40"/>
        </w:rPr>
      </w:pPr>
    </w:p>
    <w:p w14:paraId="750A790B" w14:textId="77777777" w:rsidR="005A2A8E" w:rsidRDefault="005A2A8E">
      <w:pPr>
        <w:pStyle w:val="Zkladntext"/>
        <w:rPr>
          <w:b/>
          <w:sz w:val="40"/>
        </w:rPr>
      </w:pPr>
    </w:p>
    <w:p w14:paraId="2DD283D2" w14:textId="77777777" w:rsidR="005A2A8E" w:rsidRDefault="005A2A8E">
      <w:pPr>
        <w:pStyle w:val="Zkladntext"/>
        <w:rPr>
          <w:b/>
          <w:sz w:val="33"/>
        </w:rPr>
      </w:pPr>
    </w:p>
    <w:p w14:paraId="0017EDA1" w14:textId="77777777" w:rsidR="005A2A8E" w:rsidRDefault="00DB1DC4">
      <w:pPr>
        <w:pStyle w:val="Nzev"/>
        <w:spacing w:before="1"/>
      </w:pPr>
      <w:r>
        <w:t>Rozhodnutí o podpoře</w:t>
      </w:r>
      <w:r>
        <w:rPr>
          <w:spacing w:val="-20"/>
        </w:rPr>
        <w:t xml:space="preserve"> </w:t>
      </w:r>
      <w:r>
        <w:t>kinematografie</w:t>
      </w:r>
    </w:p>
    <w:p w14:paraId="3103E0E7" w14:textId="77777777" w:rsidR="005A2A8E" w:rsidRDefault="00DB1DC4">
      <w:pPr>
        <w:spacing w:before="73" w:line="247" w:lineRule="auto"/>
        <w:ind w:left="189" w:right="236"/>
      </w:pPr>
      <w:r>
        <w:br w:type="column"/>
      </w:r>
      <w:r>
        <w:t>Digitálně  podepsáno Jméno: Helena Bendová Datum: 31.07.2020</w:t>
      </w:r>
      <w:r>
        <w:rPr>
          <w:spacing w:val="-20"/>
        </w:rPr>
        <w:t xml:space="preserve"> </w:t>
      </w:r>
      <w:r>
        <w:t>20:17:17</w:t>
      </w:r>
    </w:p>
    <w:p w14:paraId="7CD7C639" w14:textId="77777777" w:rsidR="005A2A8E" w:rsidRDefault="005A2A8E">
      <w:pPr>
        <w:spacing w:line="247" w:lineRule="auto"/>
        <w:sectPr w:rsidR="005A2A8E">
          <w:footerReference w:type="default" r:id="rId7"/>
          <w:type w:val="continuous"/>
          <w:pgSz w:w="11910" w:h="16840"/>
          <w:pgMar w:top="720" w:right="1020" w:bottom="1540" w:left="940" w:header="708" w:footer="1350" w:gutter="0"/>
          <w:pgNumType w:start="1"/>
          <w:cols w:num="2" w:space="708" w:equalWidth="0">
            <w:col w:w="6691" w:space="40"/>
            <w:col w:w="3219"/>
          </w:cols>
        </w:sectPr>
      </w:pPr>
    </w:p>
    <w:p w14:paraId="7CDC6B0B" w14:textId="77777777" w:rsidR="005A2A8E" w:rsidRDefault="005A2A8E">
      <w:pPr>
        <w:pStyle w:val="Zkladntext"/>
        <w:rPr>
          <w:sz w:val="20"/>
        </w:rPr>
      </w:pPr>
    </w:p>
    <w:p w14:paraId="2F038C65" w14:textId="77777777" w:rsidR="005A2A8E" w:rsidRDefault="005A2A8E">
      <w:pPr>
        <w:pStyle w:val="Zkladntext"/>
        <w:spacing w:before="2"/>
        <w:rPr>
          <w:sz w:val="23"/>
        </w:rPr>
      </w:pPr>
    </w:p>
    <w:p w14:paraId="362DBADC" w14:textId="77777777" w:rsidR="005A2A8E" w:rsidRDefault="00DB1DC4">
      <w:pPr>
        <w:pStyle w:val="Zkladntext"/>
        <w:ind w:left="192"/>
      </w:pPr>
      <w:r>
        <w:t>Rada Státního fondu kinematografie (dále jen „Rada“), orgán Státního fondu kinematografie (dále jen „Fond“),</w:t>
      </w:r>
    </w:p>
    <w:p w14:paraId="13665E4B" w14:textId="77777777" w:rsidR="005A2A8E" w:rsidRDefault="00DB1DC4">
      <w:pPr>
        <w:pStyle w:val="Zkladntext"/>
        <w:spacing w:before="22" w:line="264" w:lineRule="auto"/>
        <w:ind w:left="192" w:right="274"/>
      </w:pPr>
      <w:r>
        <w:t>v souladu s ustanovením § 13 odst. 1 písm. c) a § 35 odst. 3 zákona č. 496/2012 Sb., o audiovizuálních dílech a podpoře kinematografie a o změně ně</w:t>
      </w:r>
      <w:r>
        <w:t>kterých zákonů (zákon o audiovizi), ve znění pozdějších předpisů (dále jen</w:t>
      </w:r>
    </w:p>
    <w:p w14:paraId="593C2AF4" w14:textId="77777777" w:rsidR="005A2A8E" w:rsidRDefault="00DB1DC4">
      <w:pPr>
        <w:pStyle w:val="Zkladntext"/>
        <w:spacing w:line="528" w:lineRule="auto"/>
        <w:ind w:left="192" w:right="887"/>
      </w:pPr>
      <w:r>
        <w:t>„zákon“), a odst. 7.6.2 Statutu Fondu, ve znění pozdějších předpisů (dále jen „Statut Fondu“), vydává toto rozhodnutí:</w:t>
      </w:r>
    </w:p>
    <w:p w14:paraId="7448A5F5" w14:textId="77777777" w:rsidR="005A2A8E" w:rsidRDefault="00DB1DC4">
      <w:pPr>
        <w:pStyle w:val="Zkladntext"/>
        <w:spacing w:line="264" w:lineRule="auto"/>
        <w:ind w:left="192" w:right="106"/>
      </w:pPr>
      <w:r>
        <w:t xml:space="preserve">Fond poskytuje podporu kinematografie (dále jen „podpora“) ve </w:t>
      </w:r>
      <w:r>
        <w:t>výši a formě, jak je uvedeno níže v čl. 4 této výrokové části rozhodnutí, a to příjemci podpory, jenž je specifikován níže v čl. 1 této výrokové části rozhodnutí, za účelem použití podpory při realizaci projektu, jenž je definován níže v článcích 2 a 3 tét</w:t>
      </w:r>
      <w:r>
        <w:t>o výrokové části rozhodnutí a za ostatních podmínek uvedených níže v této výrokové části rozhodnutí.</w:t>
      </w:r>
    </w:p>
    <w:p w14:paraId="2213A79C" w14:textId="77777777" w:rsidR="005A2A8E" w:rsidRDefault="005A2A8E">
      <w:pPr>
        <w:pStyle w:val="Zkladntext"/>
        <w:spacing w:before="6"/>
        <w:rPr>
          <w:sz w:val="20"/>
        </w:rPr>
      </w:pPr>
    </w:p>
    <w:p w14:paraId="6711CC09" w14:textId="77777777" w:rsidR="005A2A8E" w:rsidRDefault="00DB1DC4">
      <w:pPr>
        <w:pStyle w:val="Nadpis1"/>
      </w:pPr>
      <w:r>
        <w:t>Článek 1</w:t>
      </w:r>
    </w:p>
    <w:p w14:paraId="30CD503C" w14:textId="77777777" w:rsidR="005A2A8E" w:rsidRDefault="005A2A8E">
      <w:pPr>
        <w:pStyle w:val="Zkladntext"/>
        <w:spacing w:before="6"/>
        <w:rPr>
          <w:b/>
          <w:sz w:val="21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806"/>
      </w:tblGrid>
      <w:tr w:rsidR="005A2A8E" w14:paraId="658A5A30" w14:textId="77777777">
        <w:trPr>
          <w:trHeight w:val="376"/>
        </w:trPr>
        <w:tc>
          <w:tcPr>
            <w:tcW w:w="4825" w:type="dxa"/>
          </w:tcPr>
          <w:p w14:paraId="4F8BD4E7" w14:textId="77777777" w:rsidR="005A2A8E" w:rsidRDefault="00DB1DC4">
            <w:pPr>
              <w:pStyle w:val="TableParagraph"/>
              <w:spacing w:before="80"/>
              <w:rPr>
                <w:b/>
                <w:sz w:val="19"/>
              </w:rPr>
            </w:pPr>
            <w:r>
              <w:rPr>
                <w:b/>
                <w:sz w:val="19"/>
              </w:rPr>
              <w:t>1.1. Příjemce podpory (název / jméno a příjmení)</w:t>
            </w:r>
          </w:p>
        </w:tc>
        <w:tc>
          <w:tcPr>
            <w:tcW w:w="4806" w:type="dxa"/>
          </w:tcPr>
          <w:p w14:paraId="42738A38" w14:textId="77777777" w:rsidR="005A2A8E" w:rsidRDefault="00DB1DC4">
            <w:pPr>
              <w:pStyle w:val="TableParagraph"/>
              <w:spacing w:before="80"/>
              <w:ind w:left="122"/>
              <w:rPr>
                <w:sz w:val="19"/>
              </w:rPr>
            </w:pPr>
            <w:r>
              <w:rPr>
                <w:sz w:val="19"/>
              </w:rPr>
              <w:t>Městská správa kin v Kolíně p.o.</w:t>
            </w:r>
          </w:p>
        </w:tc>
      </w:tr>
      <w:tr w:rsidR="005A2A8E" w14:paraId="5FE9C44C" w14:textId="77777777">
        <w:trPr>
          <w:trHeight w:val="374"/>
        </w:trPr>
        <w:tc>
          <w:tcPr>
            <w:tcW w:w="4825" w:type="dxa"/>
          </w:tcPr>
          <w:p w14:paraId="07B2C719" w14:textId="77777777" w:rsidR="005A2A8E" w:rsidRDefault="00DB1DC4">
            <w:pPr>
              <w:pStyle w:val="TableParagraph"/>
              <w:spacing w:before="80"/>
              <w:rPr>
                <w:b/>
                <w:sz w:val="19"/>
              </w:rPr>
            </w:pPr>
            <w:r>
              <w:rPr>
                <w:b/>
                <w:sz w:val="19"/>
              </w:rPr>
              <w:t>1.2. IČ/datum narození</w:t>
            </w:r>
          </w:p>
        </w:tc>
        <w:tc>
          <w:tcPr>
            <w:tcW w:w="4806" w:type="dxa"/>
          </w:tcPr>
          <w:p w14:paraId="708CAD85" w14:textId="77777777" w:rsidR="005A2A8E" w:rsidRDefault="00DB1DC4">
            <w:pPr>
              <w:pStyle w:val="TableParagraph"/>
              <w:spacing w:before="80"/>
              <w:ind w:left="122"/>
              <w:rPr>
                <w:sz w:val="19"/>
              </w:rPr>
            </w:pPr>
            <w:r>
              <w:rPr>
                <w:sz w:val="19"/>
              </w:rPr>
              <w:t>003 53 566</w:t>
            </w:r>
          </w:p>
        </w:tc>
      </w:tr>
      <w:tr w:rsidR="005A2A8E" w14:paraId="7A6B907A" w14:textId="77777777">
        <w:trPr>
          <w:trHeight w:val="376"/>
        </w:trPr>
        <w:tc>
          <w:tcPr>
            <w:tcW w:w="4825" w:type="dxa"/>
          </w:tcPr>
          <w:p w14:paraId="261C708D" w14:textId="77777777" w:rsidR="005A2A8E" w:rsidRDefault="00DB1DC4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1.3. Adresa sídla / trvalého pobytu / místa podnikání</w:t>
            </w:r>
          </w:p>
        </w:tc>
        <w:tc>
          <w:tcPr>
            <w:tcW w:w="4806" w:type="dxa"/>
          </w:tcPr>
          <w:p w14:paraId="2C169C01" w14:textId="77777777" w:rsidR="005A2A8E" w:rsidRDefault="00DB1DC4">
            <w:pPr>
              <w:pStyle w:val="TableParagraph"/>
              <w:ind w:left="122"/>
              <w:rPr>
                <w:sz w:val="19"/>
              </w:rPr>
            </w:pPr>
            <w:r>
              <w:rPr>
                <w:sz w:val="19"/>
              </w:rPr>
              <w:t>Smetanova 764, 280 02 Kolín</w:t>
            </w:r>
          </w:p>
        </w:tc>
      </w:tr>
      <w:tr w:rsidR="005A2A8E" w14:paraId="73604D97" w14:textId="77777777">
        <w:trPr>
          <w:trHeight w:val="376"/>
        </w:trPr>
        <w:tc>
          <w:tcPr>
            <w:tcW w:w="4825" w:type="dxa"/>
          </w:tcPr>
          <w:p w14:paraId="0B92886B" w14:textId="77777777" w:rsidR="005A2A8E" w:rsidRDefault="00DB1DC4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1.4. Bankovní spojení</w:t>
            </w:r>
          </w:p>
        </w:tc>
        <w:tc>
          <w:tcPr>
            <w:tcW w:w="4806" w:type="dxa"/>
          </w:tcPr>
          <w:p w14:paraId="0F881A29" w14:textId="77777777" w:rsidR="005A2A8E" w:rsidRDefault="00DB1DC4">
            <w:pPr>
              <w:pStyle w:val="TableParagraph"/>
              <w:ind w:left="122"/>
              <w:rPr>
                <w:sz w:val="19"/>
              </w:rPr>
            </w:pPr>
            <w:r>
              <w:rPr>
                <w:sz w:val="19"/>
              </w:rPr>
              <w:t>734151/0100</w:t>
            </w:r>
          </w:p>
        </w:tc>
      </w:tr>
    </w:tbl>
    <w:p w14:paraId="508D8A9F" w14:textId="77777777" w:rsidR="005A2A8E" w:rsidRDefault="00DB1DC4">
      <w:pPr>
        <w:pStyle w:val="Zkladntext"/>
        <w:spacing w:before="13"/>
        <w:ind w:left="192"/>
      </w:pPr>
      <w:r>
        <w:t>(dále jen „příjemce podpory“ nebo „žadatel“)</w:t>
      </w:r>
    </w:p>
    <w:p w14:paraId="610BDDD6" w14:textId="77777777" w:rsidR="005A2A8E" w:rsidRDefault="005A2A8E">
      <w:pPr>
        <w:pStyle w:val="Zkladntext"/>
        <w:spacing w:before="9"/>
        <w:rPr>
          <w:sz w:val="22"/>
        </w:rPr>
      </w:pPr>
    </w:p>
    <w:p w14:paraId="1F4A400C" w14:textId="77777777" w:rsidR="005A2A8E" w:rsidRDefault="00DB1DC4">
      <w:pPr>
        <w:pStyle w:val="Odstavecseseznamem"/>
        <w:numPr>
          <w:ilvl w:val="1"/>
          <w:numId w:val="12"/>
        </w:numPr>
        <w:tabs>
          <w:tab w:val="left" w:pos="554"/>
        </w:tabs>
        <w:spacing w:line="264" w:lineRule="auto"/>
        <w:ind w:right="382"/>
        <w:rPr>
          <w:sz w:val="19"/>
        </w:rPr>
      </w:pPr>
      <w:r>
        <w:rPr>
          <w:sz w:val="19"/>
        </w:rPr>
        <w:t>Příjemce podpory musí až do doby předložení vyúčtování dle čl. 6.2. rozhodnutí, resp. čl. 6.6.4. rozhodnutí, splňovat předpoklady podle § 39 zákona, a to</w:t>
      </w:r>
      <w:r>
        <w:rPr>
          <w:spacing w:val="-8"/>
          <w:sz w:val="19"/>
        </w:rPr>
        <w:t xml:space="preserve"> </w:t>
      </w:r>
      <w:r>
        <w:rPr>
          <w:sz w:val="19"/>
        </w:rPr>
        <w:t>tyto:</w:t>
      </w:r>
    </w:p>
    <w:p w14:paraId="7E87D603" w14:textId="77777777" w:rsidR="005A2A8E" w:rsidRDefault="00DB1DC4">
      <w:pPr>
        <w:pStyle w:val="Odstavecseseznamem"/>
        <w:numPr>
          <w:ilvl w:val="2"/>
          <w:numId w:val="12"/>
        </w:numPr>
        <w:tabs>
          <w:tab w:val="left" w:pos="1232"/>
          <w:tab w:val="left" w:pos="1233"/>
        </w:tabs>
        <w:spacing w:line="218" w:lineRule="exact"/>
        <w:rPr>
          <w:sz w:val="19"/>
        </w:rPr>
      </w:pPr>
      <w:r>
        <w:rPr>
          <w:sz w:val="19"/>
        </w:rPr>
        <w:t>příjemce podpory je evidován v evidenci v oblasti audiovize vedené Fondem podle § 30</w:t>
      </w:r>
      <w:r>
        <w:rPr>
          <w:spacing w:val="-29"/>
          <w:sz w:val="19"/>
        </w:rPr>
        <w:t xml:space="preserve"> </w:t>
      </w:r>
      <w:r>
        <w:rPr>
          <w:sz w:val="19"/>
        </w:rPr>
        <w:t>zákona;</w:t>
      </w:r>
    </w:p>
    <w:p w14:paraId="3C2A2022" w14:textId="77777777" w:rsidR="005A2A8E" w:rsidRDefault="00DB1DC4">
      <w:pPr>
        <w:pStyle w:val="Odstavecseseznamem"/>
        <w:numPr>
          <w:ilvl w:val="2"/>
          <w:numId w:val="12"/>
        </w:numPr>
        <w:tabs>
          <w:tab w:val="left" w:pos="1232"/>
          <w:tab w:val="left" w:pos="1233"/>
        </w:tabs>
        <w:spacing w:before="22"/>
        <w:rPr>
          <w:sz w:val="19"/>
        </w:rPr>
      </w:pPr>
      <w:r>
        <w:rPr>
          <w:sz w:val="19"/>
        </w:rPr>
        <w:t>pří</w:t>
      </w:r>
      <w:r>
        <w:rPr>
          <w:sz w:val="19"/>
        </w:rPr>
        <w:t>jemce podpory je v souladu s § 39 odst. 1 zákona</w:t>
      </w:r>
      <w:r>
        <w:rPr>
          <w:spacing w:val="-10"/>
          <w:sz w:val="19"/>
        </w:rPr>
        <w:t xml:space="preserve"> </w:t>
      </w:r>
      <w:r>
        <w:rPr>
          <w:sz w:val="19"/>
        </w:rPr>
        <w:t>bezúhonný;</w:t>
      </w:r>
    </w:p>
    <w:p w14:paraId="371F99AF" w14:textId="77777777" w:rsidR="005A2A8E" w:rsidRDefault="00DB1DC4">
      <w:pPr>
        <w:pStyle w:val="Odstavecseseznamem"/>
        <w:numPr>
          <w:ilvl w:val="2"/>
          <w:numId w:val="12"/>
        </w:numPr>
        <w:tabs>
          <w:tab w:val="left" w:pos="1232"/>
          <w:tab w:val="left" w:pos="1233"/>
        </w:tabs>
        <w:spacing w:before="21" w:line="264" w:lineRule="auto"/>
        <w:ind w:right="329"/>
        <w:rPr>
          <w:sz w:val="19"/>
        </w:rPr>
      </w:pPr>
      <w:r>
        <w:rPr>
          <w:sz w:val="19"/>
        </w:rPr>
        <w:t>neprobíhá insolvenční řízení, ve kterém se řeší úpadek nebo hrozící úpadek příjemce podpory, v posledních 3 letech nebylo rozhodnuto o jeho úpadku, o zamítnutí insolvenčního návrhu proto, že jeho majetek nepostačuje k úhradě nákladů insolvenčního řízení, n</w:t>
      </w:r>
      <w:r>
        <w:rPr>
          <w:sz w:val="19"/>
        </w:rPr>
        <w:t>ebo o zrušení konkurzu proto, že pro uspokojení věřitelů byl jeho majetek zcela nepostačující, nebo nebyla vůči němu zavedena nucená správa podle jiného právního</w:t>
      </w:r>
      <w:r>
        <w:rPr>
          <w:spacing w:val="-6"/>
          <w:sz w:val="19"/>
        </w:rPr>
        <w:t xml:space="preserve"> </w:t>
      </w:r>
      <w:r>
        <w:rPr>
          <w:sz w:val="19"/>
        </w:rPr>
        <w:t>předpisu;</w:t>
      </w:r>
    </w:p>
    <w:p w14:paraId="5257A68A" w14:textId="77777777" w:rsidR="005A2A8E" w:rsidRDefault="00DB1DC4">
      <w:pPr>
        <w:pStyle w:val="Odstavecseseznamem"/>
        <w:numPr>
          <w:ilvl w:val="2"/>
          <w:numId w:val="12"/>
        </w:numPr>
        <w:tabs>
          <w:tab w:val="left" w:pos="1232"/>
          <w:tab w:val="left" w:pos="1233"/>
        </w:tabs>
        <w:spacing w:line="217" w:lineRule="exact"/>
        <w:rPr>
          <w:sz w:val="19"/>
        </w:rPr>
      </w:pPr>
      <w:r>
        <w:rPr>
          <w:sz w:val="19"/>
        </w:rPr>
        <w:t>příjemce podpory není v</w:t>
      </w:r>
      <w:r>
        <w:rPr>
          <w:spacing w:val="-2"/>
          <w:sz w:val="19"/>
        </w:rPr>
        <w:t xml:space="preserve"> </w:t>
      </w:r>
      <w:r>
        <w:rPr>
          <w:sz w:val="19"/>
        </w:rPr>
        <w:t>likvidaci;</w:t>
      </w:r>
    </w:p>
    <w:p w14:paraId="079CDF6B" w14:textId="77777777" w:rsidR="005A2A8E" w:rsidRDefault="00DB1DC4">
      <w:pPr>
        <w:pStyle w:val="Odstavecseseznamem"/>
        <w:numPr>
          <w:ilvl w:val="2"/>
          <w:numId w:val="12"/>
        </w:numPr>
        <w:tabs>
          <w:tab w:val="left" w:pos="1232"/>
          <w:tab w:val="left" w:pos="1233"/>
        </w:tabs>
        <w:spacing w:before="22" w:line="264" w:lineRule="auto"/>
        <w:ind w:right="157"/>
        <w:rPr>
          <w:sz w:val="19"/>
        </w:rPr>
      </w:pPr>
      <w:r>
        <w:rPr>
          <w:sz w:val="19"/>
        </w:rPr>
        <w:t>příjemce podpory nemá splatné nedoplatky na pojis</w:t>
      </w:r>
      <w:r>
        <w:rPr>
          <w:sz w:val="19"/>
        </w:rPr>
        <w:t>tném a na penále na veřejné zdravotní pojištění, a to jak v České republice, tak ve státě sídla, místa podnikání nebo trvalého</w:t>
      </w:r>
      <w:r>
        <w:rPr>
          <w:spacing w:val="-18"/>
          <w:sz w:val="19"/>
        </w:rPr>
        <w:t xml:space="preserve"> </w:t>
      </w:r>
      <w:r>
        <w:rPr>
          <w:sz w:val="19"/>
        </w:rPr>
        <w:t>pobytu;</w:t>
      </w:r>
    </w:p>
    <w:p w14:paraId="2833B2D6" w14:textId="77777777" w:rsidR="005A2A8E" w:rsidRDefault="00DB1DC4">
      <w:pPr>
        <w:pStyle w:val="Odstavecseseznamem"/>
        <w:numPr>
          <w:ilvl w:val="2"/>
          <w:numId w:val="12"/>
        </w:numPr>
        <w:tabs>
          <w:tab w:val="left" w:pos="1232"/>
          <w:tab w:val="left" w:pos="1233"/>
        </w:tabs>
        <w:spacing w:line="264" w:lineRule="auto"/>
        <w:ind w:right="520"/>
        <w:rPr>
          <w:sz w:val="19"/>
        </w:rPr>
      </w:pPr>
      <w:r>
        <w:rPr>
          <w:sz w:val="19"/>
        </w:rPr>
        <w:t xml:space="preserve">příjemce podpory nemá evidován nedoplatek u orgánů Finanční správy České republiky a orgánů Celní správy České republiky </w:t>
      </w:r>
      <w:r>
        <w:rPr>
          <w:sz w:val="19"/>
        </w:rPr>
        <w:t>ani u obdobných orgánů státu, ve kterém má sídlo, místo podnikání nebo trvalý pobyt s výjimkou nedoplatku, u kterého bylo povoleno posečkání jeho úhrady nebo rozložení jeho úhrady na</w:t>
      </w:r>
      <w:r>
        <w:rPr>
          <w:spacing w:val="-3"/>
          <w:sz w:val="19"/>
        </w:rPr>
        <w:t xml:space="preserve"> </w:t>
      </w:r>
      <w:r>
        <w:rPr>
          <w:sz w:val="19"/>
        </w:rPr>
        <w:t>splátky;</w:t>
      </w:r>
    </w:p>
    <w:p w14:paraId="62608099" w14:textId="77777777" w:rsidR="005A2A8E" w:rsidRDefault="005A2A8E">
      <w:pPr>
        <w:spacing w:line="264" w:lineRule="auto"/>
        <w:rPr>
          <w:sz w:val="19"/>
        </w:rPr>
        <w:sectPr w:rsidR="005A2A8E">
          <w:type w:val="continuous"/>
          <w:pgSz w:w="11910" w:h="16840"/>
          <w:pgMar w:top="720" w:right="1020" w:bottom="1540" w:left="940" w:header="708" w:footer="708" w:gutter="0"/>
          <w:cols w:space="708"/>
        </w:sectPr>
      </w:pPr>
    </w:p>
    <w:p w14:paraId="2B326B03" w14:textId="77777777" w:rsidR="005A2A8E" w:rsidRDefault="00DB1DC4">
      <w:pPr>
        <w:pStyle w:val="Odstavecseseznamem"/>
        <w:numPr>
          <w:ilvl w:val="2"/>
          <w:numId w:val="12"/>
        </w:numPr>
        <w:tabs>
          <w:tab w:val="left" w:pos="1232"/>
          <w:tab w:val="left" w:pos="1233"/>
        </w:tabs>
        <w:spacing w:before="83" w:line="264" w:lineRule="auto"/>
        <w:ind w:right="653"/>
        <w:rPr>
          <w:sz w:val="19"/>
        </w:rPr>
      </w:pPr>
      <w:r>
        <w:rPr>
          <w:sz w:val="19"/>
        </w:rPr>
        <w:lastRenderedPageBreak/>
        <w:t>příjemce podpory nemá splatné nedoplatky na poji</w:t>
      </w:r>
      <w:r>
        <w:rPr>
          <w:sz w:val="19"/>
        </w:rPr>
        <w:t>stném a na penále na sociální zabezpečení a příspěvku na státní politiku zaměstnanosti, a to jak v České republice, tak ve státě sídla, místa podnikání nebo trvalého</w:t>
      </w:r>
      <w:r>
        <w:rPr>
          <w:spacing w:val="-2"/>
          <w:sz w:val="19"/>
        </w:rPr>
        <w:t xml:space="preserve"> </w:t>
      </w:r>
      <w:r>
        <w:rPr>
          <w:sz w:val="19"/>
        </w:rPr>
        <w:t>pobytu;</w:t>
      </w:r>
    </w:p>
    <w:p w14:paraId="48402E7A" w14:textId="77777777" w:rsidR="005A2A8E" w:rsidRDefault="00DB1DC4">
      <w:pPr>
        <w:pStyle w:val="Odstavecseseznamem"/>
        <w:numPr>
          <w:ilvl w:val="2"/>
          <w:numId w:val="12"/>
        </w:numPr>
        <w:tabs>
          <w:tab w:val="left" w:pos="1232"/>
          <w:tab w:val="left" w:pos="1233"/>
        </w:tabs>
        <w:spacing w:line="218" w:lineRule="exact"/>
        <w:rPr>
          <w:sz w:val="19"/>
        </w:rPr>
      </w:pPr>
      <w:r>
        <w:rPr>
          <w:sz w:val="19"/>
        </w:rPr>
        <w:t>příjemce podpory nemá nesplněné splatné závazky vůči</w:t>
      </w:r>
      <w:r>
        <w:rPr>
          <w:spacing w:val="-8"/>
          <w:sz w:val="19"/>
        </w:rPr>
        <w:t xml:space="preserve"> </w:t>
      </w:r>
      <w:r>
        <w:rPr>
          <w:sz w:val="19"/>
        </w:rPr>
        <w:t>Fondu.</w:t>
      </w:r>
    </w:p>
    <w:p w14:paraId="6143D6BC" w14:textId="77777777" w:rsidR="005A2A8E" w:rsidRDefault="00DB1DC4">
      <w:pPr>
        <w:pStyle w:val="Odstavecseseznamem"/>
        <w:numPr>
          <w:ilvl w:val="1"/>
          <w:numId w:val="12"/>
        </w:numPr>
        <w:tabs>
          <w:tab w:val="left" w:pos="554"/>
        </w:tabs>
        <w:spacing w:before="22" w:line="264" w:lineRule="auto"/>
        <w:ind w:right="225"/>
        <w:rPr>
          <w:sz w:val="19"/>
        </w:rPr>
      </w:pPr>
      <w:r>
        <w:rPr>
          <w:sz w:val="19"/>
        </w:rPr>
        <w:t>Příjemce podpory nesmí být v souladu s příslušnými ustanoveními nařízení Evropské komise č. 651/2014 ze dne 17. června 2014, kterým se v souladu s články 107 a 108 Smlouvy prohlašují určité kategorie podpory za neslučitelné s vnitřním trhem, tzv. obecné na</w:t>
      </w:r>
      <w:r>
        <w:rPr>
          <w:sz w:val="19"/>
        </w:rPr>
        <w:t>řízení o blokových výjimkách (dále také jen</w:t>
      </w:r>
      <w:r>
        <w:rPr>
          <w:spacing w:val="-28"/>
          <w:sz w:val="19"/>
        </w:rPr>
        <w:t xml:space="preserve"> </w:t>
      </w:r>
      <w:r>
        <w:rPr>
          <w:sz w:val="19"/>
        </w:rPr>
        <w:t>„GBER“):</w:t>
      </w:r>
    </w:p>
    <w:p w14:paraId="0291D107" w14:textId="77777777" w:rsidR="005A2A8E" w:rsidRDefault="00DB1DC4">
      <w:pPr>
        <w:pStyle w:val="Odstavecseseznamem"/>
        <w:numPr>
          <w:ilvl w:val="2"/>
          <w:numId w:val="12"/>
        </w:numPr>
        <w:tabs>
          <w:tab w:val="left" w:pos="1232"/>
          <w:tab w:val="left" w:pos="1233"/>
        </w:tabs>
        <w:spacing w:line="256" w:lineRule="auto"/>
        <w:ind w:right="220"/>
        <w:rPr>
          <w:rFonts w:ascii="Symbol" w:hAnsi="Symbol"/>
          <w:sz w:val="19"/>
        </w:rPr>
      </w:pPr>
      <w:r>
        <w:rPr>
          <w:sz w:val="19"/>
        </w:rPr>
        <w:t>podnikem, vůči němuž je v návaznosti na rozhodnutí Evropské komise vystaven inkasní příkaz, jímž byla podpora obdržená od poskytovatele z České republiky prohlášena za protiprávní a neslučitelnou s vnitř</w:t>
      </w:r>
      <w:r>
        <w:rPr>
          <w:sz w:val="19"/>
        </w:rPr>
        <w:t>ním trhem, který dosud nebyl</w:t>
      </w:r>
      <w:r>
        <w:rPr>
          <w:spacing w:val="-2"/>
          <w:sz w:val="19"/>
        </w:rPr>
        <w:t xml:space="preserve"> </w:t>
      </w:r>
      <w:r>
        <w:rPr>
          <w:sz w:val="19"/>
        </w:rPr>
        <w:t>splacen</w:t>
      </w:r>
      <w:r>
        <w:rPr>
          <w:rFonts w:ascii="Symbol" w:hAnsi="Symbol"/>
          <w:color w:val="211E1F"/>
          <w:sz w:val="19"/>
        </w:rPr>
        <w:t></w:t>
      </w:r>
    </w:p>
    <w:p w14:paraId="2F0CAE25" w14:textId="77777777" w:rsidR="005A2A8E" w:rsidRDefault="00DB1DC4">
      <w:pPr>
        <w:pStyle w:val="Odstavecseseznamem"/>
        <w:numPr>
          <w:ilvl w:val="2"/>
          <w:numId w:val="12"/>
        </w:numPr>
        <w:tabs>
          <w:tab w:val="left" w:pos="1232"/>
          <w:tab w:val="left" w:pos="1233"/>
        </w:tabs>
        <w:spacing w:before="2"/>
        <w:rPr>
          <w:sz w:val="19"/>
        </w:rPr>
      </w:pPr>
      <w:r>
        <w:rPr>
          <w:sz w:val="19"/>
        </w:rPr>
        <w:t>podnikem v obtížích ve smyslu čl. 2 bodu 18</w:t>
      </w:r>
      <w:r>
        <w:rPr>
          <w:spacing w:val="-9"/>
          <w:sz w:val="19"/>
        </w:rPr>
        <w:t xml:space="preserve"> </w:t>
      </w:r>
      <w:r>
        <w:rPr>
          <w:sz w:val="19"/>
        </w:rPr>
        <w:t>GBER.</w:t>
      </w:r>
    </w:p>
    <w:p w14:paraId="1481888E" w14:textId="77777777" w:rsidR="005A2A8E" w:rsidRDefault="00DB1DC4">
      <w:pPr>
        <w:pStyle w:val="Odstavecseseznamem"/>
        <w:numPr>
          <w:ilvl w:val="1"/>
          <w:numId w:val="12"/>
        </w:numPr>
        <w:tabs>
          <w:tab w:val="left" w:pos="554"/>
        </w:tabs>
        <w:spacing w:before="22" w:line="264" w:lineRule="auto"/>
        <w:ind w:right="692"/>
        <w:rPr>
          <w:sz w:val="19"/>
        </w:rPr>
      </w:pPr>
      <w:r>
        <w:rPr>
          <w:sz w:val="19"/>
        </w:rPr>
        <w:t>Příjemce podpory je povinen Fond písemně informovat bez odkladu o tom, že přestal splňovat některou z podmínek dle čl. 1.5. nebo 1.6. rozhodnutí s výjimkou čl. 1.5.1. a 1.5.8.</w:t>
      </w:r>
      <w:r>
        <w:rPr>
          <w:spacing w:val="-21"/>
          <w:sz w:val="19"/>
        </w:rPr>
        <w:t xml:space="preserve"> </w:t>
      </w:r>
      <w:r>
        <w:rPr>
          <w:sz w:val="19"/>
        </w:rPr>
        <w:t>rozhodnutí.</w:t>
      </w:r>
    </w:p>
    <w:p w14:paraId="4860622A" w14:textId="77777777" w:rsidR="005A2A8E" w:rsidRDefault="00DB1DC4">
      <w:pPr>
        <w:pStyle w:val="Odstavecseseznamem"/>
        <w:numPr>
          <w:ilvl w:val="1"/>
          <w:numId w:val="12"/>
        </w:numPr>
        <w:tabs>
          <w:tab w:val="left" w:pos="554"/>
        </w:tabs>
        <w:spacing w:line="264" w:lineRule="auto"/>
        <w:ind w:right="281"/>
        <w:rPr>
          <w:sz w:val="19"/>
        </w:rPr>
      </w:pPr>
      <w:r>
        <w:rPr>
          <w:sz w:val="19"/>
        </w:rPr>
        <w:t>Příjemce</w:t>
      </w:r>
      <w:r>
        <w:rPr>
          <w:spacing w:val="-5"/>
          <w:sz w:val="19"/>
        </w:rPr>
        <w:t xml:space="preserve"> </w:t>
      </w:r>
      <w:r>
        <w:rPr>
          <w:sz w:val="19"/>
        </w:rPr>
        <w:t>podpory</w:t>
      </w:r>
      <w:r>
        <w:rPr>
          <w:spacing w:val="-4"/>
          <w:sz w:val="19"/>
        </w:rPr>
        <w:t xml:space="preserve"> </w:t>
      </w:r>
      <w:r>
        <w:rPr>
          <w:sz w:val="19"/>
        </w:rPr>
        <w:t>je</w:t>
      </w:r>
      <w:r>
        <w:rPr>
          <w:spacing w:val="-5"/>
          <w:sz w:val="19"/>
        </w:rPr>
        <w:t xml:space="preserve"> </w:t>
      </w:r>
      <w:r>
        <w:rPr>
          <w:sz w:val="19"/>
        </w:rPr>
        <w:t>povinen</w:t>
      </w:r>
      <w:r>
        <w:rPr>
          <w:spacing w:val="-5"/>
          <w:sz w:val="19"/>
        </w:rPr>
        <w:t xml:space="preserve"> </w:t>
      </w:r>
      <w:r>
        <w:rPr>
          <w:sz w:val="19"/>
        </w:rPr>
        <w:t>do</w:t>
      </w:r>
      <w:r>
        <w:rPr>
          <w:spacing w:val="-5"/>
          <w:sz w:val="19"/>
        </w:rPr>
        <w:t xml:space="preserve"> </w:t>
      </w:r>
      <w:r>
        <w:rPr>
          <w:sz w:val="19"/>
        </w:rPr>
        <w:t>doby</w:t>
      </w:r>
      <w:r>
        <w:rPr>
          <w:spacing w:val="-3"/>
          <w:sz w:val="19"/>
        </w:rPr>
        <w:t xml:space="preserve"> </w:t>
      </w:r>
      <w:r>
        <w:rPr>
          <w:sz w:val="19"/>
        </w:rPr>
        <w:t>splnění</w:t>
      </w:r>
      <w:r>
        <w:rPr>
          <w:spacing w:val="-3"/>
          <w:sz w:val="19"/>
        </w:rPr>
        <w:t xml:space="preserve"> </w:t>
      </w:r>
      <w:r>
        <w:rPr>
          <w:sz w:val="19"/>
        </w:rPr>
        <w:t>povinnosti</w:t>
      </w:r>
      <w:r>
        <w:rPr>
          <w:spacing w:val="-6"/>
          <w:sz w:val="19"/>
        </w:rPr>
        <w:t xml:space="preserve"> </w:t>
      </w:r>
      <w:r>
        <w:rPr>
          <w:sz w:val="19"/>
        </w:rPr>
        <w:t>vyplývající</w:t>
      </w:r>
      <w:r>
        <w:rPr>
          <w:spacing w:val="-7"/>
          <w:sz w:val="19"/>
        </w:rPr>
        <w:t xml:space="preserve"> </w:t>
      </w:r>
      <w:r>
        <w:rPr>
          <w:sz w:val="19"/>
        </w:rPr>
        <w:t>z</w:t>
      </w:r>
      <w:r>
        <w:rPr>
          <w:spacing w:val="-3"/>
          <w:sz w:val="19"/>
        </w:rPr>
        <w:t xml:space="preserve"> </w:t>
      </w:r>
      <w:r>
        <w:rPr>
          <w:sz w:val="19"/>
        </w:rPr>
        <w:t>čl.</w:t>
      </w:r>
      <w:r>
        <w:rPr>
          <w:spacing w:val="-5"/>
          <w:sz w:val="19"/>
        </w:rPr>
        <w:t xml:space="preserve"> </w:t>
      </w:r>
      <w:r>
        <w:rPr>
          <w:sz w:val="19"/>
        </w:rPr>
        <w:t>6.2.</w:t>
      </w:r>
      <w:r>
        <w:rPr>
          <w:spacing w:val="-5"/>
          <w:sz w:val="19"/>
        </w:rPr>
        <w:t xml:space="preserve"> </w:t>
      </w:r>
      <w:r>
        <w:rPr>
          <w:sz w:val="19"/>
        </w:rPr>
        <w:t>rozhodnutí</w:t>
      </w:r>
      <w:r>
        <w:rPr>
          <w:spacing w:val="-4"/>
          <w:sz w:val="19"/>
        </w:rPr>
        <w:t xml:space="preserve"> </w:t>
      </w:r>
      <w:r>
        <w:rPr>
          <w:sz w:val="19"/>
        </w:rPr>
        <w:t>písemně</w:t>
      </w:r>
      <w:r>
        <w:rPr>
          <w:spacing w:val="-5"/>
          <w:sz w:val="19"/>
        </w:rPr>
        <w:t xml:space="preserve"> </w:t>
      </w:r>
      <w:r>
        <w:rPr>
          <w:sz w:val="19"/>
        </w:rPr>
        <w:t>oznamovat Fondu</w:t>
      </w:r>
      <w:r>
        <w:rPr>
          <w:spacing w:val="-3"/>
          <w:sz w:val="19"/>
        </w:rPr>
        <w:t xml:space="preserve"> </w:t>
      </w:r>
      <w:r>
        <w:rPr>
          <w:sz w:val="19"/>
        </w:rPr>
        <w:t>změnu</w:t>
      </w:r>
      <w:r>
        <w:rPr>
          <w:spacing w:val="-3"/>
          <w:sz w:val="19"/>
        </w:rPr>
        <w:t xml:space="preserve"> </w:t>
      </w:r>
      <w:r>
        <w:rPr>
          <w:sz w:val="19"/>
        </w:rPr>
        <w:t>všech</w:t>
      </w:r>
      <w:r>
        <w:rPr>
          <w:spacing w:val="-4"/>
          <w:sz w:val="19"/>
        </w:rPr>
        <w:t xml:space="preserve"> </w:t>
      </w:r>
      <w:r>
        <w:rPr>
          <w:sz w:val="19"/>
        </w:rPr>
        <w:t>svých</w:t>
      </w:r>
      <w:r>
        <w:rPr>
          <w:spacing w:val="-3"/>
          <w:sz w:val="19"/>
        </w:rPr>
        <w:t xml:space="preserve"> </w:t>
      </w:r>
      <w:r>
        <w:rPr>
          <w:sz w:val="19"/>
        </w:rPr>
        <w:t>identifikačních</w:t>
      </w:r>
      <w:r>
        <w:rPr>
          <w:spacing w:val="-4"/>
          <w:sz w:val="19"/>
        </w:rPr>
        <w:t xml:space="preserve"> </w:t>
      </w:r>
      <w:r>
        <w:rPr>
          <w:sz w:val="19"/>
        </w:rPr>
        <w:t>údajů</w:t>
      </w:r>
      <w:r>
        <w:rPr>
          <w:spacing w:val="-3"/>
          <w:sz w:val="19"/>
        </w:rPr>
        <w:t xml:space="preserve"> </w:t>
      </w:r>
      <w:r>
        <w:rPr>
          <w:sz w:val="19"/>
        </w:rPr>
        <w:t>uvedených</w:t>
      </w:r>
      <w:r>
        <w:rPr>
          <w:spacing w:val="-4"/>
          <w:sz w:val="19"/>
        </w:rPr>
        <w:t xml:space="preserve"> </w:t>
      </w:r>
      <w:r>
        <w:rPr>
          <w:sz w:val="19"/>
        </w:rPr>
        <w:t>v</w:t>
      </w:r>
      <w:r>
        <w:rPr>
          <w:spacing w:val="3"/>
          <w:sz w:val="19"/>
        </w:rPr>
        <w:t xml:space="preserve"> </w:t>
      </w:r>
      <w:r>
        <w:rPr>
          <w:sz w:val="19"/>
        </w:rPr>
        <w:t>čl.</w:t>
      </w:r>
      <w:r>
        <w:rPr>
          <w:spacing w:val="-2"/>
          <w:sz w:val="19"/>
        </w:rPr>
        <w:t xml:space="preserve"> </w:t>
      </w:r>
      <w:r>
        <w:rPr>
          <w:sz w:val="19"/>
        </w:rPr>
        <w:t>1.1.</w:t>
      </w:r>
      <w:r>
        <w:rPr>
          <w:spacing w:val="-3"/>
          <w:sz w:val="19"/>
        </w:rPr>
        <w:t xml:space="preserve"> </w:t>
      </w:r>
      <w:r>
        <w:rPr>
          <w:sz w:val="19"/>
        </w:rPr>
        <w:t>až</w:t>
      </w:r>
      <w:r>
        <w:rPr>
          <w:spacing w:val="-2"/>
          <w:sz w:val="19"/>
        </w:rPr>
        <w:t xml:space="preserve"> </w:t>
      </w:r>
      <w:r>
        <w:rPr>
          <w:sz w:val="19"/>
        </w:rPr>
        <w:t>1.3.</w:t>
      </w:r>
      <w:r>
        <w:rPr>
          <w:spacing w:val="-3"/>
          <w:sz w:val="19"/>
        </w:rPr>
        <w:t xml:space="preserve"> </w:t>
      </w:r>
      <w:r>
        <w:rPr>
          <w:sz w:val="19"/>
        </w:rPr>
        <w:t>rozhodnutí,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to</w:t>
      </w:r>
      <w:r>
        <w:rPr>
          <w:spacing w:val="-3"/>
          <w:sz w:val="19"/>
        </w:rPr>
        <w:t xml:space="preserve"> </w:t>
      </w:r>
      <w:r>
        <w:rPr>
          <w:sz w:val="19"/>
        </w:rPr>
        <w:t>do</w:t>
      </w:r>
      <w:r>
        <w:rPr>
          <w:spacing w:val="-4"/>
          <w:sz w:val="19"/>
        </w:rPr>
        <w:t xml:space="preserve"> </w:t>
      </w:r>
      <w:r>
        <w:rPr>
          <w:sz w:val="19"/>
        </w:rPr>
        <w:t>15</w:t>
      </w:r>
      <w:r>
        <w:rPr>
          <w:spacing w:val="-2"/>
          <w:sz w:val="19"/>
        </w:rPr>
        <w:t xml:space="preserve"> </w:t>
      </w:r>
      <w:r>
        <w:rPr>
          <w:sz w:val="19"/>
        </w:rPr>
        <w:t>dnů</w:t>
      </w:r>
      <w:r>
        <w:rPr>
          <w:spacing w:val="-3"/>
          <w:sz w:val="19"/>
        </w:rPr>
        <w:t xml:space="preserve"> </w:t>
      </w:r>
      <w:r>
        <w:rPr>
          <w:sz w:val="19"/>
        </w:rPr>
        <w:t>od</w:t>
      </w:r>
    </w:p>
    <w:p w14:paraId="34A2B00A" w14:textId="77777777" w:rsidR="005A2A8E" w:rsidRDefault="00DB1DC4">
      <w:pPr>
        <w:pStyle w:val="Zkladntext"/>
        <w:spacing w:line="264" w:lineRule="auto"/>
        <w:ind w:left="553" w:right="314"/>
      </w:pPr>
      <w:r>
        <w:t>této změny, a současně je povinen do doby předložení vyúčtování dle čl. 6.2. rozhodnutí, resp. čl. 6.6.4. rozhodnutí, písemně oznamovat změnu bankovního spojení uvedeného v čl. 1.4. rozhodnutí, a to do 15 dnů od této změny. Přílohou oznámení o změně bankov</w:t>
      </w:r>
      <w:r>
        <w:t>ního spojení je kopie smlouvy o vedení účtu příjemce podpory nebo potvrzení banky o vedení účtu příjemce podpory. V případě, že příjemce podpory požaduje vyplatit podporu dle čl. 5 rozhodnutí na jiný bankovní účet než uvedený v čl. 1.4. rozhodnutí, je povi</w:t>
      </w:r>
      <w:r>
        <w:t>nen tuto skutečnost Fondu oznámit a současně zaslat kopii smlouvy o vedení účtu příjemce podpory nebo potvrzení banky o vedení účtu příjemce podpory.</w:t>
      </w:r>
    </w:p>
    <w:p w14:paraId="60482DBF" w14:textId="77777777" w:rsidR="005A2A8E" w:rsidRDefault="00DB1DC4">
      <w:pPr>
        <w:pStyle w:val="Odstavecseseznamem"/>
        <w:numPr>
          <w:ilvl w:val="1"/>
          <w:numId w:val="12"/>
        </w:numPr>
        <w:tabs>
          <w:tab w:val="left" w:pos="554"/>
        </w:tabs>
        <w:spacing w:line="217" w:lineRule="exact"/>
        <w:ind w:hanging="362"/>
        <w:rPr>
          <w:sz w:val="19"/>
        </w:rPr>
      </w:pPr>
      <w:r>
        <w:rPr>
          <w:sz w:val="19"/>
        </w:rPr>
        <w:t>Podporu není možné převést na jiný</w:t>
      </w:r>
      <w:r>
        <w:rPr>
          <w:spacing w:val="-7"/>
          <w:sz w:val="19"/>
        </w:rPr>
        <w:t xml:space="preserve"> </w:t>
      </w:r>
      <w:r>
        <w:rPr>
          <w:sz w:val="19"/>
        </w:rPr>
        <w:t>subjekt.</w:t>
      </w:r>
    </w:p>
    <w:p w14:paraId="4C0FE87B" w14:textId="77777777" w:rsidR="005A2A8E" w:rsidRDefault="005A2A8E">
      <w:pPr>
        <w:pStyle w:val="Zkladntext"/>
        <w:spacing w:before="7"/>
        <w:rPr>
          <w:sz w:val="22"/>
        </w:rPr>
      </w:pPr>
    </w:p>
    <w:p w14:paraId="19568656" w14:textId="77777777" w:rsidR="005A2A8E" w:rsidRDefault="00DB1DC4">
      <w:pPr>
        <w:pStyle w:val="Nadpis1"/>
        <w:spacing w:before="0"/>
      </w:pPr>
      <w:r>
        <w:t>Článek 2</w:t>
      </w:r>
    </w:p>
    <w:p w14:paraId="276C47F1" w14:textId="77777777" w:rsidR="005A2A8E" w:rsidRDefault="005A2A8E">
      <w:pPr>
        <w:pStyle w:val="Zkladntext"/>
        <w:spacing w:before="6"/>
        <w:rPr>
          <w:b/>
          <w:sz w:val="21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866"/>
      </w:tblGrid>
      <w:tr w:rsidR="005A2A8E" w14:paraId="0273CBEB" w14:textId="77777777">
        <w:trPr>
          <w:trHeight w:val="376"/>
        </w:trPr>
        <w:tc>
          <w:tcPr>
            <w:tcW w:w="2715" w:type="dxa"/>
          </w:tcPr>
          <w:p w14:paraId="0010B2F5" w14:textId="77777777" w:rsidR="005A2A8E" w:rsidRDefault="00DB1DC4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2.1. Evidenční číslo projektu</w:t>
            </w:r>
          </w:p>
        </w:tc>
        <w:tc>
          <w:tcPr>
            <w:tcW w:w="6866" w:type="dxa"/>
          </w:tcPr>
          <w:p w14:paraId="1BAE22A5" w14:textId="77777777" w:rsidR="005A2A8E" w:rsidRDefault="00DB1DC4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3761/2020</w:t>
            </w:r>
          </w:p>
        </w:tc>
      </w:tr>
      <w:tr w:rsidR="005A2A8E" w14:paraId="635EE3F5" w14:textId="77777777">
        <w:trPr>
          <w:trHeight w:val="376"/>
        </w:trPr>
        <w:tc>
          <w:tcPr>
            <w:tcW w:w="2715" w:type="dxa"/>
          </w:tcPr>
          <w:p w14:paraId="2F62AB6C" w14:textId="77777777" w:rsidR="005A2A8E" w:rsidRDefault="00DB1DC4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2.2. Název dotačního okruhu</w:t>
            </w:r>
          </w:p>
        </w:tc>
        <w:tc>
          <w:tcPr>
            <w:tcW w:w="6866" w:type="dxa"/>
          </w:tcPr>
          <w:p w14:paraId="775718CA" w14:textId="77777777" w:rsidR="005A2A8E" w:rsidRDefault="00DB1DC4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5. propagace českého kinematografického díla</w:t>
            </w:r>
          </w:p>
        </w:tc>
      </w:tr>
      <w:tr w:rsidR="005A2A8E" w14:paraId="0E1AA414" w14:textId="77777777">
        <w:trPr>
          <w:trHeight w:val="376"/>
        </w:trPr>
        <w:tc>
          <w:tcPr>
            <w:tcW w:w="2715" w:type="dxa"/>
          </w:tcPr>
          <w:p w14:paraId="4A5C2178" w14:textId="77777777" w:rsidR="005A2A8E" w:rsidRDefault="00DB1DC4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2.3. Číslo výzvy</w:t>
            </w:r>
          </w:p>
        </w:tc>
        <w:tc>
          <w:tcPr>
            <w:tcW w:w="6866" w:type="dxa"/>
          </w:tcPr>
          <w:p w14:paraId="4B7CCEE9" w14:textId="77777777" w:rsidR="005A2A8E" w:rsidRDefault="00DB1DC4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2020-5-3-22</w:t>
            </w:r>
          </w:p>
        </w:tc>
      </w:tr>
      <w:tr w:rsidR="005A2A8E" w14:paraId="2FBF39FA" w14:textId="77777777">
        <w:trPr>
          <w:trHeight w:val="376"/>
        </w:trPr>
        <w:tc>
          <w:tcPr>
            <w:tcW w:w="2715" w:type="dxa"/>
          </w:tcPr>
          <w:p w14:paraId="2F15482B" w14:textId="77777777" w:rsidR="005A2A8E" w:rsidRDefault="00DB1DC4">
            <w:pPr>
              <w:pStyle w:val="TableParagraph"/>
              <w:spacing w:before="80"/>
              <w:rPr>
                <w:b/>
                <w:sz w:val="19"/>
              </w:rPr>
            </w:pPr>
            <w:r>
              <w:rPr>
                <w:b/>
                <w:sz w:val="19"/>
              </w:rPr>
              <w:t>2.4. Název projektu</w:t>
            </w:r>
          </w:p>
        </w:tc>
        <w:tc>
          <w:tcPr>
            <w:tcW w:w="6866" w:type="dxa"/>
          </w:tcPr>
          <w:p w14:paraId="5E7E563D" w14:textId="77777777" w:rsidR="005A2A8E" w:rsidRDefault="00DB1DC4">
            <w:pPr>
              <w:pStyle w:val="TableParagraph"/>
              <w:spacing w:before="80"/>
              <w:ind w:left="120"/>
              <w:rPr>
                <w:sz w:val="19"/>
              </w:rPr>
            </w:pPr>
            <w:r>
              <w:rPr>
                <w:sz w:val="19"/>
              </w:rPr>
              <w:t>Provoz KINA99 KOLÍN</w:t>
            </w:r>
          </w:p>
        </w:tc>
      </w:tr>
    </w:tbl>
    <w:p w14:paraId="5620012A" w14:textId="77777777" w:rsidR="005A2A8E" w:rsidRDefault="00DB1DC4">
      <w:pPr>
        <w:pStyle w:val="Zkladntext"/>
        <w:spacing w:before="13"/>
        <w:ind w:left="192"/>
      </w:pPr>
      <w:r>
        <w:t>(dále jen „projekt“)</w:t>
      </w:r>
    </w:p>
    <w:p w14:paraId="24D97DD4" w14:textId="77777777" w:rsidR="005A2A8E" w:rsidRDefault="005A2A8E">
      <w:pPr>
        <w:pStyle w:val="Zkladntext"/>
        <w:spacing w:before="9"/>
        <w:rPr>
          <w:sz w:val="22"/>
        </w:rPr>
      </w:pPr>
    </w:p>
    <w:p w14:paraId="46BCF220" w14:textId="77777777" w:rsidR="005A2A8E" w:rsidRDefault="00DB1DC4">
      <w:pPr>
        <w:pStyle w:val="Odstavecseseznamem"/>
        <w:numPr>
          <w:ilvl w:val="1"/>
          <w:numId w:val="11"/>
        </w:numPr>
        <w:tabs>
          <w:tab w:val="left" w:pos="554"/>
        </w:tabs>
        <w:spacing w:line="264" w:lineRule="auto"/>
        <w:ind w:right="479"/>
        <w:rPr>
          <w:sz w:val="19"/>
        </w:rPr>
      </w:pPr>
      <w:r>
        <w:rPr>
          <w:sz w:val="19"/>
        </w:rPr>
        <w:t>Pokud nedojde k realizaci projektu, je příjemce podpory povinen o této skutečnosti inform</w:t>
      </w:r>
      <w:r>
        <w:rPr>
          <w:sz w:val="19"/>
        </w:rPr>
        <w:t>ovat Fond a současně je povinen bezodkladně vrátit na účet Fondu již čerpané prostředky podpory, nejpozději však do skončení lhůty pro dokončení projektu dle čl. 6.1.</w:t>
      </w:r>
      <w:r>
        <w:rPr>
          <w:spacing w:val="-12"/>
          <w:sz w:val="19"/>
        </w:rPr>
        <w:t xml:space="preserve"> </w:t>
      </w:r>
      <w:r>
        <w:rPr>
          <w:sz w:val="19"/>
        </w:rPr>
        <w:t>rozhodnutí.</w:t>
      </w:r>
    </w:p>
    <w:p w14:paraId="59A193BC" w14:textId="77777777" w:rsidR="005A2A8E" w:rsidRDefault="00DB1DC4">
      <w:pPr>
        <w:pStyle w:val="Odstavecseseznamem"/>
        <w:numPr>
          <w:ilvl w:val="1"/>
          <w:numId w:val="11"/>
        </w:numPr>
        <w:tabs>
          <w:tab w:val="left" w:pos="554"/>
        </w:tabs>
        <w:spacing w:line="217" w:lineRule="exact"/>
        <w:ind w:hanging="362"/>
        <w:rPr>
          <w:sz w:val="19"/>
        </w:rPr>
      </w:pPr>
      <w:r>
        <w:rPr>
          <w:sz w:val="19"/>
        </w:rPr>
        <w:t>Příjemce podpory je povinen realizovat projekt za podmínek a parametrů stanovených v tomto</w:t>
      </w:r>
      <w:r>
        <w:rPr>
          <w:spacing w:val="-35"/>
          <w:sz w:val="19"/>
        </w:rPr>
        <w:t xml:space="preserve"> </w:t>
      </w:r>
      <w:r>
        <w:rPr>
          <w:sz w:val="19"/>
        </w:rPr>
        <w:t>rozhodnutí.</w:t>
      </w:r>
    </w:p>
    <w:p w14:paraId="26AD7288" w14:textId="77777777" w:rsidR="005A2A8E" w:rsidRDefault="005A2A8E">
      <w:pPr>
        <w:pStyle w:val="Zkladntext"/>
        <w:spacing w:before="9"/>
        <w:rPr>
          <w:sz w:val="22"/>
        </w:rPr>
      </w:pPr>
    </w:p>
    <w:p w14:paraId="670FA013" w14:textId="77777777" w:rsidR="005A2A8E" w:rsidRDefault="00DB1DC4">
      <w:pPr>
        <w:pStyle w:val="Nadpis1"/>
        <w:spacing w:before="0"/>
      </w:pPr>
      <w:r>
        <w:t>Článek 3</w:t>
      </w:r>
    </w:p>
    <w:p w14:paraId="5D7CDC7B" w14:textId="77777777" w:rsidR="005A2A8E" w:rsidRDefault="005A2A8E">
      <w:pPr>
        <w:pStyle w:val="Zkladntext"/>
        <w:spacing w:before="6"/>
        <w:rPr>
          <w:b/>
          <w:sz w:val="21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8080"/>
      </w:tblGrid>
      <w:tr w:rsidR="005A2A8E" w14:paraId="759C83AB" w14:textId="77777777">
        <w:trPr>
          <w:trHeight w:val="856"/>
        </w:trPr>
        <w:tc>
          <w:tcPr>
            <w:tcW w:w="1556" w:type="dxa"/>
          </w:tcPr>
          <w:p w14:paraId="1A2343E3" w14:textId="77777777" w:rsidR="005A2A8E" w:rsidRDefault="00DB1DC4">
            <w:pPr>
              <w:pStyle w:val="TableParagraph"/>
              <w:spacing w:before="80" w:line="264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3.1. Účel podpory </w:t>
            </w:r>
            <w:r>
              <w:rPr>
                <w:b/>
                <w:w w:val="95"/>
                <w:sz w:val="19"/>
              </w:rPr>
              <w:t>kinematografie</w:t>
            </w:r>
          </w:p>
        </w:tc>
        <w:tc>
          <w:tcPr>
            <w:tcW w:w="8080" w:type="dxa"/>
          </w:tcPr>
          <w:p w14:paraId="55F00FD7" w14:textId="77777777" w:rsidR="005A2A8E" w:rsidRDefault="00DB1DC4">
            <w:pPr>
              <w:pStyle w:val="TableParagraph"/>
              <w:spacing w:before="80" w:line="264" w:lineRule="auto"/>
              <w:ind w:left="68" w:right="92"/>
              <w:rPr>
                <w:sz w:val="19"/>
              </w:rPr>
            </w:pPr>
            <w:r>
              <w:rPr>
                <w:color w:val="211E1F"/>
                <w:sz w:val="19"/>
              </w:rPr>
              <w:t>Propagace kinematografie v kině se stálým provozem, kterou se rozumí zejména podpora znovuotevření kin po uko</w:t>
            </w:r>
            <w:r>
              <w:rPr>
                <w:color w:val="211E1F"/>
                <w:sz w:val="19"/>
              </w:rPr>
              <w:t>nčení opatření proti COVID-19 včetně zajištění bezpečnosti provozu, propagace českých a evropských filmů a další činnosti potřené pro provoz a propagaci kina.</w:t>
            </w:r>
          </w:p>
        </w:tc>
      </w:tr>
    </w:tbl>
    <w:p w14:paraId="10742BCA" w14:textId="77777777" w:rsidR="005A2A8E" w:rsidRDefault="005A2A8E">
      <w:pPr>
        <w:pStyle w:val="Zkladntext"/>
        <w:rPr>
          <w:b/>
          <w:sz w:val="22"/>
        </w:rPr>
      </w:pPr>
    </w:p>
    <w:p w14:paraId="53C090D0" w14:textId="77777777" w:rsidR="005A2A8E" w:rsidRDefault="00DB1DC4">
      <w:pPr>
        <w:pStyle w:val="Zkladntext"/>
        <w:spacing w:before="1" w:line="264" w:lineRule="auto"/>
        <w:ind w:left="625" w:hanging="433"/>
      </w:pPr>
      <w:r>
        <w:t>3.2. Příjemce podpory je povinen použít poskytnutou podporu výlučně na účel stanovený v čl. 3.1. rozhodnutí a současně projekt realizovat za dodržení parametrů obsažených v čl. 3.3. až 3.4. rozhodnutí, které se dále označují jako „definice projektu“.</w:t>
      </w:r>
    </w:p>
    <w:p w14:paraId="1D8070C1" w14:textId="77777777" w:rsidR="005A2A8E" w:rsidRDefault="005A2A8E">
      <w:pPr>
        <w:pStyle w:val="Zkladntext"/>
        <w:spacing w:before="7"/>
      </w:pPr>
    </w:p>
    <w:tbl>
      <w:tblPr>
        <w:tblStyle w:val="TableNormal"/>
        <w:tblW w:w="0" w:type="auto"/>
        <w:tblInd w:w="20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7933"/>
      </w:tblGrid>
      <w:tr w:rsidR="005A2A8E" w14:paraId="33E29FD7" w14:textId="77777777">
        <w:trPr>
          <w:trHeight w:val="450"/>
        </w:trPr>
        <w:tc>
          <w:tcPr>
            <w:tcW w:w="9630" w:type="dxa"/>
            <w:gridSpan w:val="2"/>
          </w:tcPr>
          <w:p w14:paraId="637252E2" w14:textId="77777777" w:rsidR="005A2A8E" w:rsidRDefault="00DB1DC4">
            <w:pPr>
              <w:pStyle w:val="TableParagraph"/>
              <w:spacing w:before="80"/>
              <w:rPr>
                <w:b/>
                <w:sz w:val="19"/>
              </w:rPr>
            </w:pPr>
            <w:r>
              <w:rPr>
                <w:b/>
                <w:sz w:val="19"/>
              </w:rPr>
              <w:t>Definice projektu:</w:t>
            </w:r>
          </w:p>
        </w:tc>
      </w:tr>
      <w:tr w:rsidR="005A2A8E" w14:paraId="58B20E36" w14:textId="77777777">
        <w:trPr>
          <w:trHeight w:val="376"/>
        </w:trPr>
        <w:tc>
          <w:tcPr>
            <w:tcW w:w="1697" w:type="dxa"/>
          </w:tcPr>
          <w:p w14:paraId="181AB8A0" w14:textId="77777777" w:rsidR="005A2A8E" w:rsidRDefault="00DB1DC4">
            <w:pPr>
              <w:pStyle w:val="TableParagraph"/>
              <w:spacing w:before="80"/>
              <w:rPr>
                <w:b/>
                <w:sz w:val="19"/>
              </w:rPr>
            </w:pPr>
            <w:r>
              <w:rPr>
                <w:b/>
                <w:sz w:val="19"/>
              </w:rPr>
              <w:t>3.3. Název kina</w:t>
            </w:r>
          </w:p>
        </w:tc>
        <w:tc>
          <w:tcPr>
            <w:tcW w:w="7933" w:type="dxa"/>
          </w:tcPr>
          <w:p w14:paraId="54298A78" w14:textId="77777777" w:rsidR="005A2A8E" w:rsidRDefault="00DB1DC4">
            <w:pPr>
              <w:pStyle w:val="TableParagraph"/>
              <w:spacing w:before="80"/>
              <w:rPr>
                <w:b/>
                <w:sz w:val="19"/>
              </w:rPr>
            </w:pPr>
            <w:r>
              <w:rPr>
                <w:b/>
                <w:sz w:val="19"/>
              </w:rPr>
              <w:t>KINO99</w:t>
            </w:r>
          </w:p>
        </w:tc>
      </w:tr>
      <w:tr w:rsidR="005A2A8E" w14:paraId="2A120669" w14:textId="77777777">
        <w:trPr>
          <w:trHeight w:val="376"/>
        </w:trPr>
        <w:tc>
          <w:tcPr>
            <w:tcW w:w="1697" w:type="dxa"/>
          </w:tcPr>
          <w:p w14:paraId="41D807AE" w14:textId="77777777" w:rsidR="005A2A8E" w:rsidRDefault="00DB1DC4">
            <w:pPr>
              <w:pStyle w:val="TableParagraph"/>
              <w:spacing w:before="80"/>
              <w:rPr>
                <w:b/>
                <w:sz w:val="19"/>
              </w:rPr>
            </w:pPr>
            <w:r>
              <w:rPr>
                <w:b/>
                <w:sz w:val="19"/>
              </w:rPr>
              <w:t>3.4. Sídlo kina</w:t>
            </w:r>
          </w:p>
        </w:tc>
        <w:tc>
          <w:tcPr>
            <w:tcW w:w="7933" w:type="dxa"/>
          </w:tcPr>
          <w:p w14:paraId="17AB84CA" w14:textId="77777777" w:rsidR="005A2A8E" w:rsidRDefault="00DB1DC4">
            <w:pPr>
              <w:pStyle w:val="TableParagraph"/>
              <w:spacing w:before="80"/>
              <w:rPr>
                <w:b/>
                <w:sz w:val="19"/>
              </w:rPr>
            </w:pPr>
            <w:r>
              <w:rPr>
                <w:b/>
                <w:sz w:val="19"/>
              </w:rPr>
              <w:t>Smetanova 764, 280 02 Kolín</w:t>
            </w:r>
          </w:p>
        </w:tc>
      </w:tr>
    </w:tbl>
    <w:p w14:paraId="108CB97F" w14:textId="77777777" w:rsidR="005A2A8E" w:rsidRDefault="005A2A8E">
      <w:pPr>
        <w:rPr>
          <w:sz w:val="19"/>
        </w:rPr>
        <w:sectPr w:rsidR="005A2A8E">
          <w:pgSz w:w="11910" w:h="16840"/>
          <w:pgMar w:top="1100" w:right="1020" w:bottom="1540" w:left="940" w:header="0" w:footer="1350" w:gutter="0"/>
          <w:cols w:space="708"/>
        </w:sectPr>
      </w:pPr>
    </w:p>
    <w:p w14:paraId="01B4FE54" w14:textId="77777777" w:rsidR="005A2A8E" w:rsidRDefault="00DB1DC4">
      <w:pPr>
        <w:pStyle w:val="Zkladntext"/>
        <w:spacing w:before="83" w:line="264" w:lineRule="auto"/>
        <w:ind w:left="553" w:right="148" w:hanging="361"/>
      </w:pPr>
      <w:r>
        <w:lastRenderedPageBreak/>
        <w:t xml:space="preserve">3.5. Příjemce podpory je oprávněn na formuláři vydaném Fondem požádat Radu o změnu parametrů stanovených v čl. 3.3. až 3.4. rozhodnutí z důvodů změn </w:t>
      </w:r>
      <w:r>
        <w:t>okolností v souladu s § 36 zákona, a to nejpozději do skončení lhůty pro dokončení projektu dle čl. 6.1. rozhodnutí. V případě, že Radou nebude o takovéto žádosti o změnu rozhodnutí příjemce podpory rozhodnuto do skončení lhůty pro dokončení projektu dle č</w:t>
      </w:r>
      <w:r>
        <w:t>l. 6.1. rozhodnutí, odevzdá příjemce podpory doklady dle čl. 6.4. ve lhůtě uvedené v čl. 6.1. rozhodnutí s parametry obsaženými v žádosti příjemce podpory o změnu rozhodnutí. V případě, že Rada Fondu takovéto žádosti příjemci podpory o změnu rozhodnutí nev</w:t>
      </w:r>
      <w:r>
        <w:t>yhoví, jedná se o porušení povinností vyplývající z tohoto rozhodnutí (čl. 9 rozhodnutí).</w:t>
      </w:r>
    </w:p>
    <w:p w14:paraId="178D910B" w14:textId="77777777" w:rsidR="005A2A8E" w:rsidRDefault="005A2A8E">
      <w:pPr>
        <w:pStyle w:val="Zkladntext"/>
        <w:spacing w:before="8"/>
        <w:rPr>
          <w:sz w:val="20"/>
        </w:rPr>
      </w:pPr>
    </w:p>
    <w:p w14:paraId="2D021323" w14:textId="77777777" w:rsidR="005A2A8E" w:rsidRDefault="00DB1DC4">
      <w:pPr>
        <w:pStyle w:val="Nadpis1"/>
        <w:spacing w:before="0"/>
      </w:pPr>
      <w:r>
        <w:t>Článek 4</w:t>
      </w:r>
    </w:p>
    <w:p w14:paraId="43A502C7" w14:textId="77777777" w:rsidR="005A2A8E" w:rsidRDefault="005A2A8E">
      <w:pPr>
        <w:pStyle w:val="Zkladntext"/>
        <w:spacing w:before="6"/>
        <w:rPr>
          <w:b/>
          <w:sz w:val="21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7704"/>
      </w:tblGrid>
      <w:tr w:rsidR="005A2A8E" w14:paraId="67E8A217" w14:textId="77777777">
        <w:trPr>
          <w:trHeight w:val="376"/>
        </w:trPr>
        <w:tc>
          <w:tcPr>
            <w:tcW w:w="1928" w:type="dxa"/>
          </w:tcPr>
          <w:p w14:paraId="2C6856B3" w14:textId="77777777" w:rsidR="005A2A8E" w:rsidRDefault="00DB1DC4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4.1. Forma podpory</w:t>
            </w:r>
          </w:p>
        </w:tc>
        <w:tc>
          <w:tcPr>
            <w:tcW w:w="7704" w:type="dxa"/>
          </w:tcPr>
          <w:p w14:paraId="39D2D2AA" w14:textId="77777777" w:rsidR="005A2A8E" w:rsidRDefault="00DB1DC4">
            <w:pPr>
              <w:pStyle w:val="TableParagraph"/>
              <w:ind w:left="121"/>
              <w:rPr>
                <w:sz w:val="19"/>
              </w:rPr>
            </w:pPr>
            <w:r>
              <w:rPr>
                <w:sz w:val="19"/>
              </w:rPr>
              <w:t>Neinvestiční dotace</w:t>
            </w:r>
          </w:p>
        </w:tc>
      </w:tr>
      <w:tr w:rsidR="005A2A8E" w14:paraId="6FD5A3C0" w14:textId="77777777">
        <w:trPr>
          <w:trHeight w:val="376"/>
        </w:trPr>
        <w:tc>
          <w:tcPr>
            <w:tcW w:w="1928" w:type="dxa"/>
          </w:tcPr>
          <w:p w14:paraId="629F407E" w14:textId="77777777" w:rsidR="005A2A8E" w:rsidRDefault="00DB1DC4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4.2. Výše podpory</w:t>
            </w:r>
          </w:p>
        </w:tc>
        <w:tc>
          <w:tcPr>
            <w:tcW w:w="7704" w:type="dxa"/>
          </w:tcPr>
          <w:p w14:paraId="127A1072" w14:textId="77777777" w:rsidR="005A2A8E" w:rsidRDefault="00DB1DC4">
            <w:pPr>
              <w:pStyle w:val="TableParagraph"/>
              <w:ind w:left="121"/>
              <w:rPr>
                <w:b/>
                <w:sz w:val="19"/>
              </w:rPr>
            </w:pPr>
            <w:r>
              <w:rPr>
                <w:b/>
                <w:sz w:val="19"/>
              </w:rPr>
              <w:t>125.070 Kč</w:t>
            </w:r>
          </w:p>
        </w:tc>
      </w:tr>
      <w:tr w:rsidR="005A2A8E" w14:paraId="76F3A566" w14:textId="77777777">
        <w:trPr>
          <w:trHeight w:val="616"/>
        </w:trPr>
        <w:tc>
          <w:tcPr>
            <w:tcW w:w="1928" w:type="dxa"/>
          </w:tcPr>
          <w:p w14:paraId="71F801BF" w14:textId="77777777" w:rsidR="005A2A8E" w:rsidRDefault="00DB1DC4">
            <w:pPr>
              <w:pStyle w:val="TableParagraph"/>
              <w:spacing w:line="264" w:lineRule="auto"/>
              <w:ind w:right="403"/>
              <w:rPr>
                <w:b/>
                <w:sz w:val="19"/>
              </w:rPr>
            </w:pPr>
            <w:r>
              <w:rPr>
                <w:b/>
                <w:sz w:val="19"/>
              </w:rPr>
              <w:t>4.3. Kulturně náročný projekt</w:t>
            </w:r>
          </w:p>
        </w:tc>
        <w:tc>
          <w:tcPr>
            <w:tcW w:w="7704" w:type="dxa"/>
          </w:tcPr>
          <w:p w14:paraId="5267E61C" w14:textId="77777777" w:rsidR="005A2A8E" w:rsidRDefault="00DB1DC4">
            <w:pPr>
              <w:pStyle w:val="TableParagraph"/>
              <w:ind w:left="68"/>
              <w:rPr>
                <w:sz w:val="19"/>
              </w:rPr>
            </w:pPr>
            <w:r>
              <w:rPr>
                <w:sz w:val="19"/>
              </w:rPr>
              <w:t>ano</w:t>
            </w:r>
          </w:p>
        </w:tc>
      </w:tr>
      <w:tr w:rsidR="005A2A8E" w14:paraId="030FF44D" w14:textId="77777777">
        <w:trPr>
          <w:trHeight w:val="616"/>
        </w:trPr>
        <w:tc>
          <w:tcPr>
            <w:tcW w:w="1928" w:type="dxa"/>
          </w:tcPr>
          <w:p w14:paraId="7C1D231A" w14:textId="77777777" w:rsidR="005A2A8E" w:rsidRDefault="00DB1DC4">
            <w:pPr>
              <w:pStyle w:val="TableParagraph"/>
              <w:spacing w:before="80" w:line="264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>4.4. Max. intenzita veřejné podpory</w:t>
            </w:r>
          </w:p>
        </w:tc>
        <w:tc>
          <w:tcPr>
            <w:tcW w:w="7704" w:type="dxa"/>
          </w:tcPr>
          <w:p w14:paraId="04D88FC4" w14:textId="77777777" w:rsidR="005A2A8E" w:rsidRDefault="00DB1DC4">
            <w:pPr>
              <w:pStyle w:val="TableParagraph"/>
              <w:spacing w:before="80"/>
              <w:ind w:left="68"/>
              <w:rPr>
                <w:sz w:val="19"/>
              </w:rPr>
            </w:pPr>
            <w:r>
              <w:rPr>
                <w:sz w:val="19"/>
              </w:rPr>
              <w:t>80%</w:t>
            </w:r>
          </w:p>
        </w:tc>
      </w:tr>
      <w:tr w:rsidR="005A2A8E" w14:paraId="60A427E6" w14:textId="77777777">
        <w:trPr>
          <w:trHeight w:val="4593"/>
        </w:trPr>
        <w:tc>
          <w:tcPr>
            <w:tcW w:w="1928" w:type="dxa"/>
          </w:tcPr>
          <w:p w14:paraId="161BD3E4" w14:textId="77777777" w:rsidR="005A2A8E" w:rsidRDefault="00DB1DC4">
            <w:pPr>
              <w:pStyle w:val="TableParagraph"/>
              <w:spacing w:before="80" w:line="264" w:lineRule="auto"/>
              <w:ind w:right="97"/>
              <w:rPr>
                <w:b/>
                <w:sz w:val="19"/>
              </w:rPr>
            </w:pPr>
            <w:r>
              <w:rPr>
                <w:b/>
                <w:sz w:val="19"/>
              </w:rPr>
              <w:t>4.5. Max. podíl podpory na celkových skutečných nákladech projektu a jeho určení</w:t>
            </w:r>
          </w:p>
        </w:tc>
        <w:tc>
          <w:tcPr>
            <w:tcW w:w="7704" w:type="dxa"/>
          </w:tcPr>
          <w:p w14:paraId="449C81DC" w14:textId="77777777" w:rsidR="005A2A8E" w:rsidRDefault="00DB1DC4">
            <w:pPr>
              <w:pStyle w:val="TableParagraph"/>
              <w:numPr>
                <w:ilvl w:val="2"/>
                <w:numId w:val="9"/>
              </w:numPr>
              <w:tabs>
                <w:tab w:val="left" w:pos="597"/>
              </w:tabs>
              <w:spacing w:before="80" w:line="264" w:lineRule="auto"/>
              <w:ind w:left="68" w:right="115" w:firstLine="0"/>
              <w:rPr>
                <w:sz w:val="19"/>
              </w:rPr>
            </w:pPr>
            <w:r>
              <w:rPr>
                <w:sz w:val="19"/>
              </w:rPr>
              <w:t xml:space="preserve">Max. podíl podpory na celkových skutečných nákladech projektu je kalkulován jako podíl výše podpory dle čl. 4.2. rozhodnutí a hodnoty </w:t>
            </w:r>
            <w:r>
              <w:rPr>
                <w:sz w:val="19"/>
              </w:rPr>
              <w:t>odpovídající 70 % plánovaných nákladů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projektu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dle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žádosti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podporu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příjemce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podpory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(dále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také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jen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„žádost“),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která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je pro účely tohoto výpočtu uvedená v čl. 4.5.3. rozhodnutí, a nesmí být vyšší než takto vypočtená hodnota v procentech, pokud Rada nerozh</w:t>
            </w:r>
            <w:r>
              <w:rPr>
                <w:sz w:val="19"/>
              </w:rPr>
              <w:t>odne na základě odůvodněné žádosti příjemce podpory o změnu rozhodnutí o změnu plánovaných nákladů projektu uvedených v čl. 4.5.3.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rozhodnutí.</w:t>
            </w:r>
          </w:p>
          <w:p w14:paraId="432EAFF6" w14:textId="77777777" w:rsidR="005A2A8E" w:rsidRDefault="005A2A8E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71213E71" w14:textId="77777777" w:rsidR="005A2A8E" w:rsidRDefault="00DB1DC4">
            <w:pPr>
              <w:pStyle w:val="TableParagraph"/>
              <w:numPr>
                <w:ilvl w:val="2"/>
                <w:numId w:val="9"/>
              </w:numPr>
              <w:tabs>
                <w:tab w:val="left" w:pos="598"/>
              </w:tabs>
              <w:spacing w:before="0"/>
              <w:ind w:left="68" w:right="656" w:firstLine="0"/>
              <w:rPr>
                <w:sz w:val="19"/>
              </w:rPr>
            </w:pPr>
            <w:r>
              <w:rPr>
                <w:sz w:val="19"/>
              </w:rPr>
              <w:t>V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případě,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že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celkové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skutečné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náklady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projektu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dle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vyúčtování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nedosáhnou alespoň:</w:t>
            </w:r>
          </w:p>
          <w:p w14:paraId="2365593B" w14:textId="77777777" w:rsidR="005A2A8E" w:rsidRDefault="00DB1DC4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  <w:tab w:val="left" w:pos="429"/>
              </w:tabs>
              <w:spacing w:before="0" w:line="226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70 % souhrnu plánovaných nákladů projektu dle žádosti,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nebo</w:t>
            </w:r>
          </w:p>
          <w:p w14:paraId="021D00BB" w14:textId="77777777" w:rsidR="005A2A8E" w:rsidRDefault="00DB1DC4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  <w:tab w:val="left" w:pos="429"/>
              </w:tabs>
              <w:spacing w:before="2" w:line="230" w:lineRule="auto"/>
              <w:ind w:left="428" w:right="748"/>
              <w:rPr>
                <w:sz w:val="19"/>
              </w:rPr>
            </w:pPr>
            <w:r>
              <w:rPr>
                <w:sz w:val="19"/>
              </w:rPr>
              <w:t>70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%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upravených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plánovaných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nákladů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projektu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dle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Radou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schválené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žádosti příjemce podpory o změnu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rozhodnutí</w:t>
            </w:r>
          </w:p>
          <w:p w14:paraId="2DB1C6AC" w14:textId="77777777" w:rsidR="005A2A8E" w:rsidRDefault="005A2A8E">
            <w:pPr>
              <w:pStyle w:val="TableParagraph"/>
              <w:spacing w:before="4"/>
              <w:ind w:left="0"/>
              <w:rPr>
                <w:b/>
              </w:rPr>
            </w:pPr>
          </w:p>
          <w:p w14:paraId="181F8BEE" w14:textId="77777777" w:rsidR="005A2A8E" w:rsidRDefault="00DB1DC4">
            <w:pPr>
              <w:pStyle w:val="TableParagraph"/>
              <w:spacing w:before="0" w:line="264" w:lineRule="auto"/>
              <w:ind w:left="68"/>
              <w:rPr>
                <w:sz w:val="19"/>
              </w:rPr>
            </w:pPr>
            <w:r>
              <w:rPr>
                <w:sz w:val="19"/>
              </w:rPr>
              <w:t>bude podpora automaticky snížena tak, aby její podíl na celkových skutečných nákladech</w:t>
            </w:r>
            <w:r>
              <w:rPr>
                <w:sz w:val="19"/>
              </w:rPr>
              <w:t xml:space="preserve"> projektu dle vyúčtování byl stejný nebo nižší než hodnota v procentech vypočtená dle čl.</w:t>
            </w:r>
          </w:p>
          <w:p w14:paraId="0D47F2F8" w14:textId="77777777" w:rsidR="005A2A8E" w:rsidRDefault="00DB1DC4">
            <w:pPr>
              <w:pStyle w:val="TableParagraph"/>
              <w:spacing w:before="0" w:line="218" w:lineRule="exact"/>
              <w:ind w:left="68"/>
              <w:rPr>
                <w:sz w:val="19"/>
              </w:rPr>
            </w:pPr>
            <w:r>
              <w:rPr>
                <w:sz w:val="19"/>
              </w:rPr>
              <w:t>4.5.1. rozhodnutí.</w:t>
            </w:r>
          </w:p>
          <w:p w14:paraId="1C40CED7" w14:textId="77777777" w:rsidR="005A2A8E" w:rsidRDefault="005A2A8E">
            <w:pPr>
              <w:pStyle w:val="TableParagraph"/>
              <w:spacing w:before="8"/>
              <w:ind w:left="0"/>
              <w:rPr>
                <w:b/>
              </w:rPr>
            </w:pPr>
          </w:p>
          <w:p w14:paraId="7D4BD12A" w14:textId="77777777" w:rsidR="005A2A8E" w:rsidRDefault="00DB1DC4">
            <w:pPr>
              <w:pStyle w:val="TableParagraph"/>
              <w:spacing w:before="1"/>
              <w:ind w:left="68"/>
              <w:rPr>
                <w:sz w:val="19"/>
              </w:rPr>
            </w:pPr>
            <w:r>
              <w:rPr>
                <w:sz w:val="19"/>
              </w:rPr>
              <w:t xml:space="preserve">4.5.3. Plánované náklady projektu dle žádosti: </w:t>
            </w:r>
            <w:r>
              <w:rPr>
                <w:b/>
                <w:sz w:val="19"/>
              </w:rPr>
              <w:t>156.338 Kč</w:t>
            </w:r>
            <w:r>
              <w:rPr>
                <w:sz w:val="19"/>
              </w:rPr>
              <w:t>.</w:t>
            </w:r>
          </w:p>
        </w:tc>
      </w:tr>
    </w:tbl>
    <w:p w14:paraId="149B9546" w14:textId="77777777" w:rsidR="005A2A8E" w:rsidRDefault="005A2A8E">
      <w:pPr>
        <w:pStyle w:val="Zkladntext"/>
        <w:rPr>
          <w:b/>
          <w:sz w:val="22"/>
        </w:rPr>
      </w:pPr>
    </w:p>
    <w:p w14:paraId="2FBA556E" w14:textId="77777777" w:rsidR="005A2A8E" w:rsidRDefault="00DB1DC4">
      <w:pPr>
        <w:pStyle w:val="Odstavecseseznamem"/>
        <w:numPr>
          <w:ilvl w:val="1"/>
          <w:numId w:val="10"/>
        </w:numPr>
        <w:tabs>
          <w:tab w:val="left" w:pos="554"/>
        </w:tabs>
        <w:spacing w:before="1" w:line="264" w:lineRule="auto"/>
        <w:ind w:right="328"/>
        <w:rPr>
          <w:sz w:val="19"/>
        </w:rPr>
      </w:pPr>
      <w:r>
        <w:rPr>
          <w:sz w:val="19"/>
        </w:rPr>
        <w:t>Příjemce podpory je povinen vrátit Fondu ke dni vyúčtování podpory dle čl. 6.6.4. rozhodnutí poměrnou část čerpaných prostředků podpory, a to v případě</w:t>
      </w:r>
      <w:r>
        <w:rPr>
          <w:spacing w:val="-5"/>
          <w:sz w:val="19"/>
        </w:rPr>
        <w:t xml:space="preserve"> </w:t>
      </w:r>
      <w:r>
        <w:rPr>
          <w:sz w:val="19"/>
        </w:rPr>
        <w:t>nedodržení:</w:t>
      </w:r>
    </w:p>
    <w:p w14:paraId="1A6C1CE1" w14:textId="77777777" w:rsidR="005A2A8E" w:rsidRDefault="00DB1DC4">
      <w:pPr>
        <w:pStyle w:val="Odstavecseseznamem"/>
        <w:numPr>
          <w:ilvl w:val="2"/>
          <w:numId w:val="10"/>
        </w:numPr>
        <w:tabs>
          <w:tab w:val="left" w:pos="1065"/>
        </w:tabs>
        <w:spacing w:line="264" w:lineRule="auto"/>
        <w:ind w:right="292"/>
        <w:rPr>
          <w:sz w:val="19"/>
        </w:rPr>
      </w:pPr>
      <w:r>
        <w:rPr>
          <w:sz w:val="19"/>
        </w:rPr>
        <w:t>limitu maximální intenzity veřejné podpory dle čl. 4.4. rozhodnutí, tj. pokud je výše veřejn</w:t>
      </w:r>
      <w:r>
        <w:rPr>
          <w:sz w:val="19"/>
        </w:rPr>
        <w:t>é podpory dle vyúčtování vyšší než max. intenzita veřejné podpory dle čl. 4.4. rozhodnutí, dochází k automatickému snížení podpory tak, aby byla dodržena max. intenzita veřejné podpory dle rozhodnutí – nová výše podpory. Výpočet probíhá až v rámci vyúčtová</w:t>
      </w:r>
      <w:r>
        <w:rPr>
          <w:sz w:val="19"/>
        </w:rPr>
        <w:t>ní dle čl. 6.6.4. rozhodnutí a je vztažen k výši podpory uvedené v čl. 4.2. rozhodnutí. Intenzitou veřejné podpory se rozumí podíl součtu všech prostředků majících povahu veřejné podpory poskytnutých projektu (zahrnujících také podporu poskytnutou Fondem p</w:t>
      </w:r>
      <w:r>
        <w:rPr>
          <w:sz w:val="19"/>
        </w:rPr>
        <w:t>odle tohoto rozhodnutí) k celkovým skutečným nákladům</w:t>
      </w:r>
      <w:r>
        <w:rPr>
          <w:spacing w:val="-14"/>
          <w:sz w:val="19"/>
        </w:rPr>
        <w:t xml:space="preserve"> </w:t>
      </w:r>
      <w:r>
        <w:rPr>
          <w:sz w:val="19"/>
        </w:rPr>
        <w:t>projektu;</w:t>
      </w:r>
    </w:p>
    <w:p w14:paraId="409C94E4" w14:textId="77777777" w:rsidR="005A2A8E" w:rsidRDefault="00DB1DC4">
      <w:pPr>
        <w:pStyle w:val="Odstavecseseznamem"/>
        <w:numPr>
          <w:ilvl w:val="2"/>
          <w:numId w:val="10"/>
        </w:numPr>
        <w:tabs>
          <w:tab w:val="left" w:pos="1065"/>
        </w:tabs>
        <w:spacing w:line="264" w:lineRule="auto"/>
        <w:ind w:right="113"/>
        <w:rPr>
          <w:sz w:val="19"/>
        </w:rPr>
      </w:pPr>
      <w:r>
        <w:rPr>
          <w:sz w:val="19"/>
        </w:rPr>
        <w:t>limitu maximálního podílu podpory na celkových skutečných nákladech projektu dle čl. 4.5.1. rozhodnutí, tj. pokud je podíl podpory na celkových skutečných nákladech projektu vyšší než max. pod</w:t>
      </w:r>
      <w:r>
        <w:rPr>
          <w:sz w:val="19"/>
        </w:rPr>
        <w:t xml:space="preserve">íl podpory na celkových skutečných nákladech projektu dle čl. 4.5.1. rozhodnutí, dochází k automatickému snížení podpory tak, aby byl dodržen max. podíl podpory na celkových skutečných nákladech projektu dle rozhodnutí – nová výše podpory. Výpočet probíhá </w:t>
      </w:r>
      <w:r>
        <w:rPr>
          <w:sz w:val="19"/>
        </w:rPr>
        <w:t>až v rámci vyúčtování dle čl. 6.6.4. rozhodnutí a</w:t>
      </w:r>
      <w:r>
        <w:rPr>
          <w:spacing w:val="-36"/>
          <w:sz w:val="19"/>
        </w:rPr>
        <w:t xml:space="preserve"> </w:t>
      </w:r>
      <w:r>
        <w:rPr>
          <w:sz w:val="19"/>
        </w:rPr>
        <w:t>je</w:t>
      </w:r>
    </w:p>
    <w:p w14:paraId="5208CEA9" w14:textId="77777777" w:rsidR="005A2A8E" w:rsidRDefault="00DB1DC4">
      <w:pPr>
        <w:pStyle w:val="Zkladntext"/>
        <w:spacing w:line="217" w:lineRule="exact"/>
        <w:ind w:left="1064"/>
      </w:pPr>
      <w:r>
        <w:t>vztažen k výši podpory uvedené v čl. 4.2. rozhodnutí.</w:t>
      </w:r>
    </w:p>
    <w:p w14:paraId="36ED0F73" w14:textId="77777777" w:rsidR="005A2A8E" w:rsidRDefault="00DB1DC4">
      <w:pPr>
        <w:pStyle w:val="Odstavecseseznamem"/>
        <w:numPr>
          <w:ilvl w:val="1"/>
          <w:numId w:val="10"/>
        </w:numPr>
        <w:tabs>
          <w:tab w:val="left" w:pos="554"/>
        </w:tabs>
        <w:spacing w:before="18" w:line="264" w:lineRule="auto"/>
        <w:ind w:right="200"/>
        <w:rPr>
          <w:sz w:val="19"/>
        </w:rPr>
      </w:pPr>
      <w:r>
        <w:rPr>
          <w:sz w:val="19"/>
        </w:rPr>
        <w:t>Příjemce podpory je oprávněn na formuláři vydaném Fondem požádat Radu o změnu podmínek stanovených v</w:t>
      </w:r>
      <w:r>
        <w:rPr>
          <w:spacing w:val="-2"/>
          <w:sz w:val="19"/>
        </w:rPr>
        <w:t xml:space="preserve"> </w:t>
      </w:r>
      <w:r>
        <w:rPr>
          <w:sz w:val="19"/>
        </w:rPr>
        <w:t>tomto</w:t>
      </w:r>
      <w:r>
        <w:rPr>
          <w:spacing w:val="-3"/>
          <w:sz w:val="19"/>
        </w:rPr>
        <w:t xml:space="preserve"> </w:t>
      </w:r>
      <w:r>
        <w:rPr>
          <w:sz w:val="19"/>
        </w:rPr>
        <w:t>článku</w:t>
      </w:r>
      <w:r>
        <w:rPr>
          <w:spacing w:val="-2"/>
          <w:sz w:val="19"/>
        </w:rPr>
        <w:t xml:space="preserve"> </w:t>
      </w:r>
      <w:r>
        <w:rPr>
          <w:sz w:val="19"/>
        </w:rPr>
        <w:t>rozhodnutí</w:t>
      </w:r>
      <w:r>
        <w:rPr>
          <w:spacing w:val="-3"/>
          <w:sz w:val="19"/>
        </w:rPr>
        <w:t xml:space="preserve"> </w:t>
      </w:r>
      <w:r>
        <w:rPr>
          <w:sz w:val="19"/>
        </w:rPr>
        <w:t>z</w:t>
      </w:r>
      <w:r>
        <w:rPr>
          <w:spacing w:val="-3"/>
          <w:sz w:val="19"/>
        </w:rPr>
        <w:t xml:space="preserve"> </w:t>
      </w:r>
      <w:r>
        <w:rPr>
          <w:sz w:val="19"/>
        </w:rPr>
        <w:t>důvodu</w:t>
      </w:r>
      <w:r>
        <w:rPr>
          <w:spacing w:val="-2"/>
          <w:sz w:val="19"/>
        </w:rPr>
        <w:t xml:space="preserve"> </w:t>
      </w:r>
      <w:r>
        <w:rPr>
          <w:sz w:val="19"/>
        </w:rPr>
        <w:t>změn</w:t>
      </w:r>
      <w:r>
        <w:rPr>
          <w:spacing w:val="-3"/>
          <w:sz w:val="19"/>
        </w:rPr>
        <w:t xml:space="preserve"> </w:t>
      </w:r>
      <w:r>
        <w:rPr>
          <w:sz w:val="19"/>
        </w:rPr>
        <w:t>okolností</w:t>
      </w:r>
      <w:r>
        <w:rPr>
          <w:spacing w:val="-4"/>
          <w:sz w:val="19"/>
        </w:rPr>
        <w:t xml:space="preserve"> </w:t>
      </w:r>
      <w:r>
        <w:rPr>
          <w:sz w:val="19"/>
        </w:rPr>
        <w:t>v</w:t>
      </w:r>
      <w:r>
        <w:rPr>
          <w:spacing w:val="-1"/>
          <w:sz w:val="19"/>
        </w:rPr>
        <w:t xml:space="preserve"> </w:t>
      </w:r>
      <w:r>
        <w:rPr>
          <w:sz w:val="19"/>
        </w:rPr>
        <w:t>souladu</w:t>
      </w:r>
      <w:r>
        <w:rPr>
          <w:spacing w:val="-2"/>
          <w:sz w:val="19"/>
        </w:rPr>
        <w:t xml:space="preserve"> </w:t>
      </w:r>
      <w:r>
        <w:rPr>
          <w:sz w:val="19"/>
        </w:rPr>
        <w:t>s</w:t>
      </w:r>
      <w:r>
        <w:rPr>
          <w:spacing w:val="-2"/>
          <w:sz w:val="19"/>
        </w:rPr>
        <w:t xml:space="preserve"> </w:t>
      </w:r>
      <w:r>
        <w:rPr>
          <w:sz w:val="19"/>
        </w:rPr>
        <w:t>§</w:t>
      </w:r>
      <w:r>
        <w:rPr>
          <w:spacing w:val="-3"/>
          <w:sz w:val="19"/>
        </w:rPr>
        <w:t xml:space="preserve"> </w:t>
      </w:r>
      <w:r>
        <w:rPr>
          <w:sz w:val="19"/>
        </w:rPr>
        <w:t>36</w:t>
      </w:r>
      <w:r>
        <w:rPr>
          <w:spacing w:val="-2"/>
          <w:sz w:val="19"/>
        </w:rPr>
        <w:t xml:space="preserve"> </w:t>
      </w:r>
      <w:r>
        <w:rPr>
          <w:sz w:val="19"/>
        </w:rPr>
        <w:t>zákona</w:t>
      </w:r>
      <w:r>
        <w:rPr>
          <w:spacing w:val="-3"/>
          <w:sz w:val="19"/>
        </w:rPr>
        <w:t xml:space="preserve"> </w:t>
      </w:r>
      <w:r>
        <w:rPr>
          <w:sz w:val="19"/>
        </w:rPr>
        <w:t>vyplývající</w:t>
      </w:r>
      <w:r>
        <w:rPr>
          <w:spacing w:val="-3"/>
          <w:sz w:val="19"/>
        </w:rPr>
        <w:t xml:space="preserve"> </w:t>
      </w:r>
      <w:r>
        <w:rPr>
          <w:sz w:val="19"/>
        </w:rPr>
        <w:t>zejména</w:t>
      </w:r>
      <w:r>
        <w:rPr>
          <w:spacing w:val="-5"/>
          <w:sz w:val="19"/>
        </w:rPr>
        <w:t xml:space="preserve"> </w:t>
      </w:r>
      <w:r>
        <w:rPr>
          <w:sz w:val="19"/>
        </w:rPr>
        <w:t>z</w:t>
      </w:r>
      <w:r>
        <w:rPr>
          <w:spacing w:val="1"/>
          <w:sz w:val="19"/>
        </w:rPr>
        <w:t xml:space="preserve"> </w:t>
      </w:r>
      <w:r>
        <w:rPr>
          <w:sz w:val="19"/>
        </w:rPr>
        <w:t>čl.</w:t>
      </w:r>
      <w:r>
        <w:rPr>
          <w:spacing w:val="-3"/>
          <w:sz w:val="19"/>
        </w:rPr>
        <w:t xml:space="preserve"> </w:t>
      </w:r>
      <w:r>
        <w:rPr>
          <w:sz w:val="19"/>
        </w:rPr>
        <w:t>4.2.</w:t>
      </w:r>
      <w:r>
        <w:rPr>
          <w:spacing w:val="-2"/>
          <w:sz w:val="19"/>
        </w:rPr>
        <w:t xml:space="preserve"> </w:t>
      </w:r>
      <w:r>
        <w:rPr>
          <w:sz w:val="19"/>
        </w:rPr>
        <w:t>–</w:t>
      </w:r>
    </w:p>
    <w:p w14:paraId="3F767164" w14:textId="77777777" w:rsidR="005A2A8E" w:rsidRDefault="005A2A8E">
      <w:pPr>
        <w:spacing w:line="264" w:lineRule="auto"/>
        <w:rPr>
          <w:sz w:val="19"/>
        </w:rPr>
        <w:sectPr w:rsidR="005A2A8E">
          <w:pgSz w:w="11910" w:h="16840"/>
          <w:pgMar w:top="1100" w:right="1020" w:bottom="1540" w:left="940" w:header="0" w:footer="1350" w:gutter="0"/>
          <w:cols w:space="708"/>
        </w:sectPr>
      </w:pPr>
    </w:p>
    <w:p w14:paraId="3DE8CF29" w14:textId="77777777" w:rsidR="005A2A8E" w:rsidRDefault="00DB1DC4">
      <w:pPr>
        <w:pStyle w:val="Zkladntext"/>
        <w:spacing w:before="83"/>
        <w:ind w:left="553"/>
      </w:pPr>
      <w:r>
        <w:lastRenderedPageBreak/>
        <w:t>4.5. rozhodnutí, a to nejpozději do skončení lhůty pro předložení vyúčtování projektu uvedené ve větě první čl.</w:t>
      </w:r>
    </w:p>
    <w:p w14:paraId="27603CD3" w14:textId="77777777" w:rsidR="005A2A8E" w:rsidRDefault="00DB1DC4">
      <w:pPr>
        <w:pStyle w:val="Zkladntext"/>
        <w:spacing w:before="22" w:line="264" w:lineRule="auto"/>
        <w:ind w:left="553" w:right="399"/>
      </w:pPr>
      <w:r>
        <w:t>6.2. rozhodnutí. V případě takto podané žádosti příjemce podpory o změnu rozhodnutí je příjemce podpory povinen odevzdat vyúčtování dle čl. 6.6.</w:t>
      </w:r>
      <w:r>
        <w:t>4. rozhodnutí:</w:t>
      </w:r>
    </w:p>
    <w:p w14:paraId="320A37D4" w14:textId="77777777" w:rsidR="005A2A8E" w:rsidRDefault="00DB1DC4">
      <w:pPr>
        <w:pStyle w:val="Odstavecseseznamem"/>
        <w:numPr>
          <w:ilvl w:val="0"/>
          <w:numId w:val="7"/>
        </w:numPr>
        <w:tabs>
          <w:tab w:val="left" w:pos="913"/>
          <w:tab w:val="left" w:pos="914"/>
        </w:tabs>
        <w:spacing w:line="220" w:lineRule="exact"/>
        <w:ind w:hanging="361"/>
        <w:rPr>
          <w:sz w:val="19"/>
        </w:rPr>
      </w:pPr>
      <w:r>
        <w:rPr>
          <w:sz w:val="19"/>
        </w:rPr>
        <w:t>ve</w:t>
      </w:r>
      <w:r>
        <w:rPr>
          <w:spacing w:val="-4"/>
          <w:sz w:val="19"/>
        </w:rPr>
        <w:t xml:space="preserve"> </w:t>
      </w:r>
      <w:r>
        <w:rPr>
          <w:sz w:val="19"/>
        </w:rPr>
        <w:t>lhůtě</w:t>
      </w:r>
      <w:r>
        <w:rPr>
          <w:spacing w:val="-2"/>
          <w:sz w:val="19"/>
        </w:rPr>
        <w:t xml:space="preserve"> </w:t>
      </w:r>
      <w:r>
        <w:rPr>
          <w:sz w:val="19"/>
        </w:rPr>
        <w:t>pro</w:t>
      </w:r>
      <w:r>
        <w:rPr>
          <w:spacing w:val="-3"/>
          <w:sz w:val="19"/>
        </w:rPr>
        <w:t xml:space="preserve"> </w:t>
      </w:r>
      <w:r>
        <w:rPr>
          <w:sz w:val="19"/>
        </w:rPr>
        <w:t>odevzdání</w:t>
      </w:r>
      <w:r>
        <w:rPr>
          <w:spacing w:val="-2"/>
          <w:sz w:val="19"/>
        </w:rPr>
        <w:t xml:space="preserve"> </w:t>
      </w:r>
      <w:r>
        <w:rPr>
          <w:sz w:val="19"/>
        </w:rPr>
        <w:t>vyúčtování</w:t>
      </w:r>
      <w:r>
        <w:rPr>
          <w:spacing w:val="-4"/>
          <w:sz w:val="19"/>
        </w:rPr>
        <w:t xml:space="preserve"> </w:t>
      </w:r>
      <w:r>
        <w:rPr>
          <w:sz w:val="19"/>
        </w:rPr>
        <w:t>uvedené</w:t>
      </w:r>
      <w:r>
        <w:rPr>
          <w:spacing w:val="-3"/>
          <w:sz w:val="19"/>
        </w:rPr>
        <w:t xml:space="preserve"> </w:t>
      </w:r>
      <w:r>
        <w:rPr>
          <w:sz w:val="19"/>
        </w:rPr>
        <w:t>ve</w:t>
      </w:r>
      <w:r>
        <w:rPr>
          <w:spacing w:val="-3"/>
          <w:sz w:val="19"/>
        </w:rPr>
        <w:t xml:space="preserve"> </w:t>
      </w:r>
      <w:r>
        <w:rPr>
          <w:sz w:val="19"/>
        </w:rPr>
        <w:t>větě</w:t>
      </w:r>
      <w:r>
        <w:rPr>
          <w:spacing w:val="-3"/>
          <w:sz w:val="19"/>
        </w:rPr>
        <w:t xml:space="preserve"> </w:t>
      </w:r>
      <w:r>
        <w:rPr>
          <w:sz w:val="19"/>
        </w:rPr>
        <w:t>první</w:t>
      </w:r>
      <w:r>
        <w:rPr>
          <w:spacing w:val="-5"/>
          <w:sz w:val="19"/>
        </w:rPr>
        <w:t xml:space="preserve"> </w:t>
      </w:r>
      <w:r>
        <w:rPr>
          <w:sz w:val="19"/>
        </w:rPr>
        <w:t>čl.</w:t>
      </w:r>
      <w:r>
        <w:rPr>
          <w:spacing w:val="-3"/>
          <w:sz w:val="19"/>
        </w:rPr>
        <w:t xml:space="preserve"> </w:t>
      </w:r>
      <w:r>
        <w:rPr>
          <w:sz w:val="19"/>
        </w:rPr>
        <w:t>6.2.</w:t>
      </w:r>
      <w:r>
        <w:rPr>
          <w:spacing w:val="-4"/>
          <w:sz w:val="19"/>
        </w:rPr>
        <w:t xml:space="preserve"> </w:t>
      </w:r>
      <w:r>
        <w:rPr>
          <w:sz w:val="19"/>
        </w:rPr>
        <w:t>rozhodnutí</w:t>
      </w:r>
      <w:r>
        <w:rPr>
          <w:spacing w:val="-3"/>
          <w:sz w:val="19"/>
        </w:rPr>
        <w:t xml:space="preserve"> </w:t>
      </w:r>
      <w:r>
        <w:rPr>
          <w:sz w:val="19"/>
        </w:rPr>
        <w:t>v</w:t>
      </w:r>
      <w:r>
        <w:rPr>
          <w:spacing w:val="6"/>
          <w:sz w:val="19"/>
        </w:rPr>
        <w:t xml:space="preserve"> </w:t>
      </w:r>
      <w:r>
        <w:rPr>
          <w:sz w:val="19"/>
        </w:rPr>
        <w:t>případě,</w:t>
      </w:r>
      <w:r>
        <w:rPr>
          <w:spacing w:val="-6"/>
          <w:sz w:val="19"/>
        </w:rPr>
        <w:t xml:space="preserve"> </w:t>
      </w:r>
      <w:r>
        <w:rPr>
          <w:sz w:val="19"/>
        </w:rPr>
        <w:t>že</w:t>
      </w:r>
      <w:r>
        <w:rPr>
          <w:spacing w:val="-3"/>
          <w:sz w:val="19"/>
        </w:rPr>
        <w:t xml:space="preserve"> </w:t>
      </w:r>
      <w:r>
        <w:rPr>
          <w:sz w:val="19"/>
        </w:rPr>
        <w:t>rozhodnutí</w:t>
      </w:r>
      <w:r>
        <w:rPr>
          <w:spacing w:val="-3"/>
          <w:sz w:val="19"/>
        </w:rPr>
        <w:t xml:space="preserve"> </w:t>
      </w:r>
      <w:r>
        <w:rPr>
          <w:sz w:val="19"/>
        </w:rPr>
        <w:t>o</w:t>
      </w:r>
    </w:p>
    <w:p w14:paraId="4D0C9D4D" w14:textId="77777777" w:rsidR="005A2A8E" w:rsidRDefault="00DB1DC4">
      <w:pPr>
        <w:pStyle w:val="Zkladntext"/>
        <w:spacing w:before="20" w:line="264" w:lineRule="auto"/>
        <w:ind w:left="913" w:right="525"/>
      </w:pPr>
      <w:r>
        <w:t>žádosti příjemce podpory o změnu rozhodnutí bude příjemci podpory doručeno ve lhůtě 30 a více dní před skončením lhůty pro předložení vyúčtování dle věty první čl. 6.2. rozhodnutí nebo,</w:t>
      </w:r>
    </w:p>
    <w:p w14:paraId="77FB7247" w14:textId="77777777" w:rsidR="005A2A8E" w:rsidRDefault="00DB1DC4">
      <w:pPr>
        <w:pStyle w:val="Odstavecseseznamem"/>
        <w:numPr>
          <w:ilvl w:val="0"/>
          <w:numId w:val="7"/>
        </w:numPr>
        <w:tabs>
          <w:tab w:val="left" w:pos="913"/>
          <w:tab w:val="left" w:pos="914"/>
        </w:tabs>
        <w:spacing w:line="219" w:lineRule="exact"/>
        <w:ind w:hanging="361"/>
        <w:rPr>
          <w:sz w:val="19"/>
        </w:rPr>
      </w:pPr>
      <w:r>
        <w:rPr>
          <w:sz w:val="19"/>
        </w:rPr>
        <w:t>ve lhůtě do 30-ti dní ode dne doručení rozhodnutí o žádosti příjemce p</w:t>
      </w:r>
      <w:r>
        <w:rPr>
          <w:sz w:val="19"/>
        </w:rPr>
        <w:t>odpory o změnu</w:t>
      </w:r>
      <w:r>
        <w:rPr>
          <w:spacing w:val="-35"/>
          <w:sz w:val="19"/>
        </w:rPr>
        <w:t xml:space="preserve"> </w:t>
      </w:r>
      <w:r>
        <w:rPr>
          <w:sz w:val="19"/>
        </w:rPr>
        <w:t>rozhodnutí</w:t>
      </w:r>
    </w:p>
    <w:p w14:paraId="045C0FCC" w14:textId="77777777" w:rsidR="005A2A8E" w:rsidRDefault="00DB1DC4">
      <w:pPr>
        <w:pStyle w:val="Zkladntext"/>
        <w:spacing w:before="20" w:line="264" w:lineRule="auto"/>
        <w:ind w:left="913" w:right="123"/>
      </w:pPr>
      <w:r>
        <w:t>v případě, že rozhodnutí o žádosti příjemce podpory o změnu rozhodnutí bude příjemci podpory doručeno ve lhůtě méně než 30 dní před skončením lhůty pro předložení vyúčtování dle věty první čl. 6.2. rozhodnutí, nebo po uplynutí lhů</w:t>
      </w:r>
      <w:r>
        <w:t>ty pro předložení vyúčtování dle věty první čl. 6.2. rozhodnutí.</w:t>
      </w:r>
    </w:p>
    <w:p w14:paraId="5AD6BE47" w14:textId="77777777" w:rsidR="005A2A8E" w:rsidRDefault="005A2A8E">
      <w:pPr>
        <w:pStyle w:val="Zkladntext"/>
        <w:spacing w:before="9"/>
        <w:rPr>
          <w:sz w:val="20"/>
        </w:rPr>
      </w:pPr>
    </w:p>
    <w:p w14:paraId="7B4E9A55" w14:textId="77777777" w:rsidR="005A2A8E" w:rsidRDefault="00DB1DC4">
      <w:pPr>
        <w:pStyle w:val="Nadpis1"/>
        <w:spacing w:before="0"/>
      </w:pPr>
      <w:r>
        <w:t>Článek 5</w:t>
      </w:r>
    </w:p>
    <w:p w14:paraId="1183A857" w14:textId="77777777" w:rsidR="005A2A8E" w:rsidRDefault="005A2A8E">
      <w:pPr>
        <w:pStyle w:val="Zkladntext"/>
        <w:spacing w:before="6"/>
        <w:rPr>
          <w:b/>
          <w:sz w:val="21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230"/>
      </w:tblGrid>
      <w:tr w:rsidR="005A2A8E" w14:paraId="1E4946A8" w14:textId="77777777">
        <w:trPr>
          <w:trHeight w:val="376"/>
        </w:trPr>
        <w:tc>
          <w:tcPr>
            <w:tcW w:w="2405" w:type="dxa"/>
          </w:tcPr>
          <w:p w14:paraId="02DDD605" w14:textId="77777777" w:rsidR="005A2A8E" w:rsidRDefault="00DB1DC4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5.1. Počet splátek</w:t>
            </w:r>
          </w:p>
        </w:tc>
        <w:tc>
          <w:tcPr>
            <w:tcW w:w="7230" w:type="dxa"/>
          </w:tcPr>
          <w:p w14:paraId="13682B13" w14:textId="77777777" w:rsidR="005A2A8E" w:rsidRDefault="00DB1DC4">
            <w:pPr>
              <w:pStyle w:val="TableParagraph"/>
              <w:ind w:left="122"/>
              <w:rPr>
                <w:sz w:val="19"/>
              </w:rPr>
            </w:pPr>
            <w:r>
              <w:rPr>
                <w:sz w:val="19"/>
              </w:rPr>
              <w:t>1 (jedna)</w:t>
            </w:r>
          </w:p>
        </w:tc>
      </w:tr>
      <w:tr w:rsidR="005A2A8E" w14:paraId="343E4189" w14:textId="77777777">
        <w:trPr>
          <w:trHeight w:val="376"/>
        </w:trPr>
        <w:tc>
          <w:tcPr>
            <w:tcW w:w="9635" w:type="dxa"/>
            <w:gridSpan w:val="2"/>
          </w:tcPr>
          <w:p w14:paraId="7C2861D6" w14:textId="77777777" w:rsidR="005A2A8E" w:rsidRDefault="00DB1DC4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První splátka</w:t>
            </w:r>
          </w:p>
        </w:tc>
      </w:tr>
      <w:tr w:rsidR="005A2A8E" w14:paraId="242BC209" w14:textId="77777777">
        <w:trPr>
          <w:trHeight w:val="376"/>
        </w:trPr>
        <w:tc>
          <w:tcPr>
            <w:tcW w:w="2405" w:type="dxa"/>
          </w:tcPr>
          <w:p w14:paraId="5364E2BC" w14:textId="77777777" w:rsidR="005A2A8E" w:rsidRDefault="00DB1DC4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5.2. Výše splátky</w:t>
            </w:r>
          </w:p>
        </w:tc>
        <w:tc>
          <w:tcPr>
            <w:tcW w:w="7230" w:type="dxa"/>
          </w:tcPr>
          <w:p w14:paraId="605B2874" w14:textId="77777777" w:rsidR="005A2A8E" w:rsidRDefault="00DB1DC4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100 % podpory</w:t>
            </w:r>
          </w:p>
        </w:tc>
      </w:tr>
      <w:tr w:rsidR="005A2A8E" w14:paraId="3245023B" w14:textId="77777777">
        <w:trPr>
          <w:trHeight w:val="376"/>
        </w:trPr>
        <w:tc>
          <w:tcPr>
            <w:tcW w:w="2405" w:type="dxa"/>
          </w:tcPr>
          <w:p w14:paraId="3DBF8938" w14:textId="77777777" w:rsidR="005A2A8E" w:rsidRDefault="00DB1DC4">
            <w:pPr>
              <w:pStyle w:val="TableParagraph"/>
              <w:spacing w:before="81"/>
              <w:rPr>
                <w:b/>
                <w:sz w:val="19"/>
              </w:rPr>
            </w:pPr>
            <w:r>
              <w:rPr>
                <w:b/>
                <w:sz w:val="19"/>
              </w:rPr>
              <w:t>5.3. Podmínky vyplacení</w:t>
            </w:r>
          </w:p>
        </w:tc>
        <w:tc>
          <w:tcPr>
            <w:tcW w:w="7230" w:type="dxa"/>
          </w:tcPr>
          <w:p w14:paraId="77FFFACA" w14:textId="77777777" w:rsidR="005A2A8E" w:rsidRDefault="00DB1DC4">
            <w:pPr>
              <w:pStyle w:val="TableParagraph"/>
              <w:spacing w:before="81"/>
              <w:rPr>
                <w:sz w:val="19"/>
              </w:rPr>
            </w:pPr>
            <w:r>
              <w:rPr>
                <w:sz w:val="19"/>
              </w:rPr>
              <w:t>Do 30 dní ode dne nabytí právní moci rozhodnutí.</w:t>
            </w:r>
          </w:p>
        </w:tc>
      </w:tr>
    </w:tbl>
    <w:p w14:paraId="1C736C2D" w14:textId="77777777" w:rsidR="005A2A8E" w:rsidRDefault="005A2A8E">
      <w:pPr>
        <w:pStyle w:val="Zkladntext"/>
        <w:rPr>
          <w:b/>
          <w:sz w:val="22"/>
        </w:rPr>
      </w:pPr>
    </w:p>
    <w:p w14:paraId="1309AC8D" w14:textId="77777777" w:rsidR="005A2A8E" w:rsidRDefault="00DB1DC4">
      <w:pPr>
        <w:pStyle w:val="Zkladntext"/>
        <w:spacing w:before="1" w:line="264" w:lineRule="auto"/>
        <w:ind w:left="553" w:right="274" w:hanging="361"/>
      </w:pPr>
      <w:r>
        <w:t>5.4. Fond je ze závažných důvodů, zejména při důvodném podezření na porušení rozpočtové kázně příjemcem podpory, oprávněn pozastavit proplácení podpory. O této skutečnosti Fond informuje příjemce podpory písemně.</w:t>
      </w:r>
    </w:p>
    <w:p w14:paraId="752D6B85" w14:textId="77777777" w:rsidR="005A2A8E" w:rsidRDefault="005A2A8E">
      <w:pPr>
        <w:pStyle w:val="Zkladntext"/>
        <w:spacing w:before="8"/>
        <w:rPr>
          <w:sz w:val="20"/>
        </w:rPr>
      </w:pPr>
    </w:p>
    <w:p w14:paraId="6A82C666" w14:textId="77777777" w:rsidR="005A2A8E" w:rsidRDefault="00DB1DC4">
      <w:pPr>
        <w:pStyle w:val="Nadpis1"/>
      </w:pPr>
      <w:r>
        <w:t>Článek 6</w:t>
      </w:r>
    </w:p>
    <w:p w14:paraId="36022546" w14:textId="77777777" w:rsidR="005A2A8E" w:rsidRDefault="005A2A8E">
      <w:pPr>
        <w:pStyle w:val="Zkladntext"/>
        <w:spacing w:before="6"/>
        <w:rPr>
          <w:b/>
          <w:sz w:val="21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225"/>
      </w:tblGrid>
      <w:tr w:rsidR="005A2A8E" w14:paraId="2B3EAF3A" w14:textId="77777777">
        <w:trPr>
          <w:trHeight w:val="1576"/>
        </w:trPr>
        <w:tc>
          <w:tcPr>
            <w:tcW w:w="2405" w:type="dxa"/>
          </w:tcPr>
          <w:p w14:paraId="0B5CCFB1" w14:textId="77777777" w:rsidR="005A2A8E" w:rsidRDefault="00DB1DC4">
            <w:pPr>
              <w:pStyle w:val="TableParagraph"/>
              <w:spacing w:before="80" w:line="264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>6.1. Lhůta pro dokončení projekt</w:t>
            </w:r>
            <w:r>
              <w:rPr>
                <w:b/>
                <w:sz w:val="19"/>
              </w:rPr>
              <w:t xml:space="preserve">u, </w:t>
            </w:r>
            <w:r>
              <w:rPr>
                <w:b/>
                <w:sz w:val="19"/>
                <w:u w:val="single"/>
              </w:rPr>
              <w:t>tj. lhůta pro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  <w:u w:val="single"/>
              </w:rPr>
              <w:t>předložení závěrečné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  <w:u w:val="single"/>
              </w:rPr>
              <w:t>zprávy dle čl. 6.4.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  <w:u w:val="single"/>
              </w:rPr>
              <w:t>rozhodnutí (viz čl. 6.6.1.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  <w:u w:val="single"/>
              </w:rPr>
              <w:t>rozhodnutí)</w:t>
            </w:r>
          </w:p>
        </w:tc>
        <w:tc>
          <w:tcPr>
            <w:tcW w:w="7225" w:type="dxa"/>
          </w:tcPr>
          <w:p w14:paraId="029863F0" w14:textId="77777777" w:rsidR="005A2A8E" w:rsidRDefault="00DB1DC4">
            <w:pPr>
              <w:pStyle w:val="TableParagraph"/>
              <w:spacing w:before="80"/>
              <w:rPr>
                <w:b/>
                <w:sz w:val="19"/>
              </w:rPr>
            </w:pPr>
            <w:r>
              <w:rPr>
                <w:b/>
                <w:sz w:val="19"/>
              </w:rPr>
              <w:t>31.1.2021</w:t>
            </w:r>
          </w:p>
        </w:tc>
      </w:tr>
      <w:tr w:rsidR="005A2A8E" w14:paraId="2C1EAC81" w14:textId="77777777">
        <w:trPr>
          <w:trHeight w:val="5270"/>
        </w:trPr>
        <w:tc>
          <w:tcPr>
            <w:tcW w:w="2405" w:type="dxa"/>
          </w:tcPr>
          <w:p w14:paraId="1ED51107" w14:textId="77777777" w:rsidR="005A2A8E" w:rsidRDefault="00DB1DC4">
            <w:pPr>
              <w:pStyle w:val="TableParagraph"/>
              <w:spacing w:before="81" w:line="264" w:lineRule="auto"/>
              <w:ind w:right="107"/>
              <w:rPr>
                <w:b/>
                <w:sz w:val="19"/>
              </w:rPr>
            </w:pPr>
            <w:r>
              <w:rPr>
                <w:b/>
                <w:sz w:val="19"/>
              </w:rPr>
              <w:t>6.2. Lhůta pro vyúčtování podpory projektu</w:t>
            </w:r>
          </w:p>
        </w:tc>
        <w:tc>
          <w:tcPr>
            <w:tcW w:w="7225" w:type="dxa"/>
          </w:tcPr>
          <w:p w14:paraId="6EFAF290" w14:textId="77777777" w:rsidR="005A2A8E" w:rsidRDefault="00DB1DC4">
            <w:pPr>
              <w:pStyle w:val="TableParagraph"/>
              <w:spacing w:before="81"/>
              <w:rPr>
                <w:b/>
                <w:sz w:val="19"/>
              </w:rPr>
            </w:pPr>
            <w:r>
              <w:rPr>
                <w:b/>
                <w:sz w:val="19"/>
              </w:rPr>
              <w:t>Do 90 dnů od skončení lhůty pro dokončení projektu,</w:t>
            </w:r>
          </w:p>
          <w:p w14:paraId="2C3860EB" w14:textId="77777777" w:rsidR="005A2A8E" w:rsidRDefault="005A2A8E">
            <w:pPr>
              <w:pStyle w:val="TableParagraph"/>
              <w:spacing w:before="8"/>
              <w:ind w:left="0"/>
              <w:rPr>
                <w:b/>
              </w:rPr>
            </w:pPr>
          </w:p>
          <w:p w14:paraId="09EAF2B6" w14:textId="77777777" w:rsidR="005A2A8E" w:rsidRDefault="00DB1DC4">
            <w:pPr>
              <w:pStyle w:val="TableParagraph"/>
              <w:spacing w:before="0"/>
              <w:rPr>
                <w:sz w:val="19"/>
              </w:rPr>
            </w:pPr>
            <w:r>
              <w:rPr>
                <w:sz w:val="19"/>
              </w:rPr>
              <w:t>nebo</w:t>
            </w:r>
          </w:p>
          <w:p w14:paraId="156DF3B5" w14:textId="77777777" w:rsidR="005A2A8E" w:rsidRDefault="005A2A8E">
            <w:pPr>
              <w:pStyle w:val="TableParagraph"/>
              <w:spacing w:before="9"/>
              <w:ind w:left="0"/>
              <w:rPr>
                <w:b/>
              </w:rPr>
            </w:pPr>
          </w:p>
          <w:p w14:paraId="362B1416" w14:textId="77777777" w:rsidR="005A2A8E" w:rsidRDefault="00DB1DC4">
            <w:pPr>
              <w:pStyle w:val="TableParagraph"/>
              <w:spacing w:before="0" w:line="264" w:lineRule="auto"/>
              <w:ind w:right="123"/>
              <w:rPr>
                <w:sz w:val="19"/>
              </w:rPr>
            </w:pPr>
            <w:r>
              <w:rPr>
                <w:sz w:val="19"/>
              </w:rPr>
              <w:t>do konce února roku následujícího po roce, v němž má být projekt dle čl. 6.1. rozhodnutí dokončen v případě, že je příjemce podpory plátce DPH, který uplatňuje pro doplatek/přeplatek DPH výpočet pomocí koeficientu.</w:t>
            </w:r>
          </w:p>
          <w:p w14:paraId="2DAE65B6" w14:textId="77777777" w:rsidR="005A2A8E" w:rsidRDefault="005A2A8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1680C92B" w14:textId="77777777" w:rsidR="005A2A8E" w:rsidRDefault="00DB1DC4">
            <w:pPr>
              <w:pStyle w:val="TableParagraph"/>
              <w:spacing w:before="0"/>
              <w:rPr>
                <w:sz w:val="19"/>
              </w:rPr>
            </w:pPr>
            <w:r>
              <w:rPr>
                <w:sz w:val="19"/>
              </w:rPr>
              <w:t>V případě, kdy Fond pozastavil proplácen</w:t>
            </w:r>
            <w:r>
              <w:rPr>
                <w:sz w:val="19"/>
              </w:rPr>
              <w:t>í podpory, resp. její části (dále také jen</w:t>
            </w:r>
          </w:p>
          <w:p w14:paraId="65B22620" w14:textId="77777777" w:rsidR="005A2A8E" w:rsidRDefault="00DB1DC4">
            <w:pPr>
              <w:pStyle w:val="TableParagraph"/>
              <w:spacing w:before="22" w:line="264" w:lineRule="auto"/>
              <w:ind w:right="683"/>
              <w:rPr>
                <w:sz w:val="19"/>
              </w:rPr>
            </w:pPr>
            <w:r>
              <w:rPr>
                <w:sz w:val="19"/>
              </w:rPr>
              <w:t>„podpora“), ve smyslu čl. 5.4. rozhodnutí, a následně dojde k doplacení takto pozastavené podpory, je příjemce podpory povinen odevzdat vyúčtování:</w:t>
            </w:r>
          </w:p>
          <w:p w14:paraId="7E6D799B" w14:textId="77777777" w:rsidR="005A2A8E" w:rsidRDefault="00DB1DC4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  <w:tab w:val="left" w:pos="431"/>
              </w:tabs>
              <w:spacing w:before="0" w:line="217" w:lineRule="exact"/>
              <w:ind w:hanging="362"/>
              <w:rPr>
                <w:sz w:val="19"/>
              </w:rPr>
            </w:pPr>
            <w:r>
              <w:rPr>
                <w:sz w:val="19"/>
              </w:rPr>
              <w:t>ve lhůtě pro odevzdání vyúčtování uvedené ve větě první tohoto</w:t>
            </w:r>
            <w:r>
              <w:rPr>
                <w:spacing w:val="-23"/>
                <w:sz w:val="19"/>
              </w:rPr>
              <w:t xml:space="preserve"> </w:t>
            </w:r>
            <w:r>
              <w:rPr>
                <w:sz w:val="19"/>
              </w:rPr>
              <w:t>článku</w:t>
            </w:r>
          </w:p>
          <w:p w14:paraId="48DF234C" w14:textId="77777777" w:rsidR="005A2A8E" w:rsidRDefault="00DB1DC4">
            <w:pPr>
              <w:pStyle w:val="TableParagraph"/>
              <w:spacing w:before="0"/>
              <w:ind w:left="430"/>
              <w:rPr>
                <w:sz w:val="19"/>
              </w:rPr>
            </w:pPr>
            <w:r>
              <w:rPr>
                <w:sz w:val="19"/>
              </w:rPr>
              <w:t>rozhodnutí v případě, že takto pozastavená podpora bude na účet příjemce podpory připsána ve lhůtě 30 a více dní před skončením lhůty pro předložení vyúčtování nebo,</w:t>
            </w:r>
          </w:p>
          <w:p w14:paraId="3359FB58" w14:textId="77777777" w:rsidR="005A2A8E" w:rsidRDefault="00DB1DC4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  <w:tab w:val="left" w:pos="431"/>
              </w:tabs>
              <w:spacing w:before="0"/>
              <w:ind w:right="66"/>
              <w:rPr>
                <w:sz w:val="19"/>
              </w:rPr>
            </w:pPr>
            <w:r>
              <w:rPr>
                <w:sz w:val="19"/>
              </w:rPr>
              <w:t>ve lhůtě do 30-ti dní ode připsání podpory na účet příjemce podpory v případě, že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</w:t>
            </w:r>
            <w:r>
              <w:rPr>
                <w:sz w:val="19"/>
              </w:rPr>
              <w:t>akto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pozastavená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podpora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bude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účet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příjemce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podpory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připsána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lhůtě méně než 30 dní před skončením lhůty pro předložení vyúčtování, nebo po lhůtě pro předložení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vyúčtování.</w:t>
            </w:r>
          </w:p>
          <w:p w14:paraId="1E0C258E" w14:textId="77777777" w:rsidR="005A2A8E" w:rsidRDefault="005A2A8E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309701B" w14:textId="77777777" w:rsidR="005A2A8E" w:rsidRDefault="00DB1DC4">
            <w:pPr>
              <w:pStyle w:val="TableParagraph"/>
              <w:spacing w:before="0" w:line="264" w:lineRule="auto"/>
              <w:ind w:right="155"/>
              <w:rPr>
                <w:sz w:val="19"/>
              </w:rPr>
            </w:pPr>
            <w:r>
              <w:rPr>
                <w:sz w:val="19"/>
              </w:rPr>
              <w:t>Přílohou vyúčtování je v takovém případě kopie výpisu z účtu příjemce podpory, ze kterého vyplývá datum připsání podpory na účet příjemce podpory.</w:t>
            </w:r>
          </w:p>
        </w:tc>
      </w:tr>
    </w:tbl>
    <w:p w14:paraId="2FCC8B89" w14:textId="77777777" w:rsidR="005A2A8E" w:rsidRDefault="005A2A8E">
      <w:pPr>
        <w:spacing w:line="264" w:lineRule="auto"/>
        <w:rPr>
          <w:sz w:val="19"/>
        </w:rPr>
        <w:sectPr w:rsidR="005A2A8E">
          <w:pgSz w:w="11910" w:h="16840"/>
          <w:pgMar w:top="1100" w:right="1020" w:bottom="1540" w:left="940" w:header="0" w:footer="1350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225"/>
      </w:tblGrid>
      <w:tr w:rsidR="005A2A8E" w14:paraId="4A3C1E26" w14:textId="77777777">
        <w:trPr>
          <w:trHeight w:val="616"/>
        </w:trPr>
        <w:tc>
          <w:tcPr>
            <w:tcW w:w="2405" w:type="dxa"/>
          </w:tcPr>
          <w:p w14:paraId="5511C2DC" w14:textId="77777777" w:rsidR="005A2A8E" w:rsidRDefault="00DB1DC4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6.3. Povinnosti</w:t>
            </w:r>
          </w:p>
          <w:p w14:paraId="256D65B0" w14:textId="77777777" w:rsidR="005A2A8E" w:rsidRDefault="00DB1DC4">
            <w:pPr>
              <w:pStyle w:val="TableParagraph"/>
              <w:spacing w:before="21"/>
              <w:rPr>
                <w:b/>
                <w:sz w:val="19"/>
              </w:rPr>
            </w:pPr>
            <w:r>
              <w:rPr>
                <w:b/>
                <w:sz w:val="19"/>
              </w:rPr>
              <w:t>v průběhu realizace</w:t>
            </w:r>
          </w:p>
        </w:tc>
        <w:tc>
          <w:tcPr>
            <w:tcW w:w="7225" w:type="dxa"/>
          </w:tcPr>
          <w:p w14:paraId="70E2DCC3" w14:textId="77777777" w:rsidR="005A2A8E" w:rsidRDefault="00DB1DC4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--------------</w:t>
            </w:r>
          </w:p>
        </w:tc>
      </w:tr>
      <w:tr w:rsidR="005A2A8E" w14:paraId="11352434" w14:textId="77777777">
        <w:trPr>
          <w:trHeight w:val="616"/>
        </w:trPr>
        <w:tc>
          <w:tcPr>
            <w:tcW w:w="2405" w:type="dxa"/>
          </w:tcPr>
          <w:p w14:paraId="7F5D74A3" w14:textId="77777777" w:rsidR="005A2A8E" w:rsidRDefault="00DB1DC4">
            <w:pPr>
              <w:pStyle w:val="TableParagraph"/>
              <w:spacing w:line="264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>6.4. Povinnosti při dokončení projektu</w:t>
            </w:r>
          </w:p>
        </w:tc>
        <w:tc>
          <w:tcPr>
            <w:tcW w:w="7225" w:type="dxa"/>
          </w:tcPr>
          <w:p w14:paraId="3F509371" w14:textId="77777777" w:rsidR="005A2A8E" w:rsidRDefault="00DB1DC4">
            <w:pPr>
              <w:pStyle w:val="TableParagraph"/>
              <w:spacing w:line="264" w:lineRule="auto"/>
              <w:rPr>
                <w:sz w:val="19"/>
              </w:rPr>
            </w:pPr>
            <w:r>
              <w:rPr>
                <w:sz w:val="19"/>
              </w:rPr>
              <w:t>Nejpozději do skončení lhůty pro dokončení projektu je příjemce podpory povinen předložit Fondu závěrečnou zprávu na formuláři vydaném Fondem.</w:t>
            </w:r>
          </w:p>
        </w:tc>
      </w:tr>
      <w:tr w:rsidR="005A2A8E" w14:paraId="600C6B6C" w14:textId="77777777">
        <w:trPr>
          <w:trHeight w:val="616"/>
        </w:trPr>
        <w:tc>
          <w:tcPr>
            <w:tcW w:w="2405" w:type="dxa"/>
          </w:tcPr>
          <w:p w14:paraId="3EBAA3AD" w14:textId="77777777" w:rsidR="005A2A8E" w:rsidRDefault="00DB1DC4">
            <w:pPr>
              <w:pStyle w:val="TableParagraph"/>
              <w:spacing w:line="264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>6.5. Povinnosti po dokončení projektu</w:t>
            </w:r>
          </w:p>
        </w:tc>
        <w:tc>
          <w:tcPr>
            <w:tcW w:w="7225" w:type="dxa"/>
          </w:tcPr>
          <w:p w14:paraId="1925F3F3" w14:textId="77777777" w:rsidR="005A2A8E" w:rsidRDefault="00DB1DC4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-----------------</w:t>
            </w:r>
          </w:p>
        </w:tc>
      </w:tr>
    </w:tbl>
    <w:p w14:paraId="5781E646" w14:textId="77777777" w:rsidR="005A2A8E" w:rsidRDefault="005A2A8E">
      <w:pPr>
        <w:pStyle w:val="Zkladntext"/>
        <w:spacing w:before="8"/>
        <w:rPr>
          <w:b/>
          <w:sz w:val="14"/>
        </w:rPr>
      </w:pPr>
    </w:p>
    <w:p w14:paraId="2D6BF5AE" w14:textId="77777777" w:rsidR="005A2A8E" w:rsidRDefault="00DB1DC4">
      <w:pPr>
        <w:pStyle w:val="Odstavecseseznamem"/>
        <w:numPr>
          <w:ilvl w:val="1"/>
          <w:numId w:val="5"/>
        </w:numPr>
        <w:tabs>
          <w:tab w:val="left" w:pos="626"/>
        </w:tabs>
        <w:spacing w:before="94"/>
        <w:ind w:hanging="434"/>
        <w:rPr>
          <w:sz w:val="19"/>
        </w:rPr>
      </w:pPr>
      <w:r>
        <w:rPr>
          <w:sz w:val="19"/>
        </w:rPr>
        <w:t>Příjemce podpor</w:t>
      </w:r>
      <w:r>
        <w:rPr>
          <w:sz w:val="19"/>
        </w:rPr>
        <w:t>y je</w:t>
      </w:r>
      <w:r>
        <w:rPr>
          <w:spacing w:val="-3"/>
          <w:sz w:val="19"/>
        </w:rPr>
        <w:t xml:space="preserve"> </w:t>
      </w:r>
      <w:r>
        <w:rPr>
          <w:sz w:val="19"/>
        </w:rPr>
        <w:t>povinen:</w:t>
      </w:r>
    </w:p>
    <w:p w14:paraId="21BCDD6B" w14:textId="77777777" w:rsidR="005A2A8E" w:rsidRDefault="00DB1DC4">
      <w:pPr>
        <w:pStyle w:val="Odstavecseseznamem"/>
        <w:numPr>
          <w:ilvl w:val="2"/>
          <w:numId w:val="5"/>
        </w:numPr>
        <w:tabs>
          <w:tab w:val="left" w:pos="1130"/>
        </w:tabs>
        <w:spacing w:before="22" w:line="264" w:lineRule="auto"/>
        <w:ind w:right="688"/>
        <w:rPr>
          <w:sz w:val="19"/>
        </w:rPr>
      </w:pPr>
      <w:r>
        <w:rPr>
          <w:sz w:val="19"/>
        </w:rPr>
        <w:t>dokončit projekt a předložit Fondu doklady dle čl. 6.4. rozhodnutí v termínu stanoveném v čl. 6.1. rozhodnutí;</w:t>
      </w:r>
    </w:p>
    <w:p w14:paraId="6587171A" w14:textId="77777777" w:rsidR="005A2A8E" w:rsidRDefault="00DB1DC4">
      <w:pPr>
        <w:pStyle w:val="Odstavecseseznamem"/>
        <w:numPr>
          <w:ilvl w:val="2"/>
          <w:numId w:val="5"/>
        </w:numPr>
        <w:tabs>
          <w:tab w:val="left" w:pos="1130"/>
        </w:tabs>
        <w:spacing w:line="264" w:lineRule="auto"/>
        <w:ind w:right="534"/>
        <w:rPr>
          <w:sz w:val="19"/>
        </w:rPr>
      </w:pPr>
      <w:r>
        <w:rPr>
          <w:sz w:val="19"/>
        </w:rPr>
        <w:t>poskytnutou podporu použít na úhradu uznatelných nákladů projektu ve smyslu čl. 7.1. rozhodnutí, které</w:t>
      </w:r>
      <w:r>
        <w:rPr>
          <w:spacing w:val="-4"/>
          <w:sz w:val="19"/>
        </w:rPr>
        <w:t xml:space="preserve"> </w:t>
      </w:r>
      <w:r>
        <w:rPr>
          <w:sz w:val="19"/>
        </w:rPr>
        <w:t>byly</w:t>
      </w:r>
      <w:r>
        <w:rPr>
          <w:spacing w:val="-2"/>
          <w:sz w:val="19"/>
        </w:rPr>
        <w:t xml:space="preserve"> </w:t>
      </w:r>
      <w:r>
        <w:rPr>
          <w:sz w:val="19"/>
        </w:rPr>
        <w:t>příjemcem</w:t>
      </w:r>
      <w:r>
        <w:rPr>
          <w:spacing w:val="-3"/>
          <w:sz w:val="19"/>
        </w:rPr>
        <w:t xml:space="preserve"> </w:t>
      </w:r>
      <w:r>
        <w:rPr>
          <w:sz w:val="19"/>
        </w:rPr>
        <w:t>podpory</w:t>
      </w:r>
      <w:r>
        <w:rPr>
          <w:spacing w:val="-3"/>
          <w:sz w:val="19"/>
        </w:rPr>
        <w:t xml:space="preserve"> </w:t>
      </w:r>
      <w:r>
        <w:rPr>
          <w:sz w:val="19"/>
        </w:rPr>
        <w:t>zapla</w:t>
      </w:r>
      <w:r>
        <w:rPr>
          <w:sz w:val="19"/>
        </w:rPr>
        <w:t>ceny</w:t>
      </w:r>
      <w:r>
        <w:rPr>
          <w:spacing w:val="-1"/>
          <w:sz w:val="19"/>
        </w:rPr>
        <w:t xml:space="preserve"> </w:t>
      </w:r>
      <w:r>
        <w:rPr>
          <w:sz w:val="19"/>
        </w:rPr>
        <w:t>v</w:t>
      </w:r>
      <w:r>
        <w:rPr>
          <w:spacing w:val="1"/>
          <w:sz w:val="19"/>
        </w:rPr>
        <w:t xml:space="preserve"> </w:t>
      </w:r>
      <w:r>
        <w:rPr>
          <w:sz w:val="19"/>
        </w:rPr>
        <w:t>hotovosti</w:t>
      </w:r>
      <w:r>
        <w:rPr>
          <w:spacing w:val="-2"/>
          <w:sz w:val="19"/>
        </w:rPr>
        <w:t xml:space="preserve"> </w:t>
      </w:r>
      <w:r>
        <w:rPr>
          <w:sz w:val="19"/>
        </w:rPr>
        <w:t>nebo</w:t>
      </w:r>
      <w:r>
        <w:rPr>
          <w:spacing w:val="-6"/>
          <w:sz w:val="19"/>
        </w:rPr>
        <w:t xml:space="preserve"> </w:t>
      </w:r>
      <w:r>
        <w:rPr>
          <w:sz w:val="19"/>
        </w:rPr>
        <w:t>bezhotovostně,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ve</w:t>
      </w:r>
      <w:r>
        <w:rPr>
          <w:spacing w:val="-6"/>
          <w:sz w:val="19"/>
        </w:rPr>
        <w:t xml:space="preserve"> </w:t>
      </w:r>
      <w:r>
        <w:rPr>
          <w:sz w:val="19"/>
        </w:rPr>
        <w:t>smyslu</w:t>
      </w:r>
      <w:r>
        <w:rPr>
          <w:spacing w:val="-3"/>
          <w:sz w:val="19"/>
        </w:rPr>
        <w:t xml:space="preserve"> </w:t>
      </w:r>
      <w:r>
        <w:rPr>
          <w:sz w:val="19"/>
        </w:rPr>
        <w:t>čl.</w:t>
      </w:r>
      <w:r>
        <w:rPr>
          <w:spacing w:val="-3"/>
          <w:sz w:val="19"/>
        </w:rPr>
        <w:t xml:space="preserve"> </w:t>
      </w:r>
      <w:r>
        <w:rPr>
          <w:sz w:val="19"/>
        </w:rPr>
        <w:t>7.3.</w:t>
      </w:r>
    </w:p>
    <w:p w14:paraId="0A8E3A5B" w14:textId="77777777" w:rsidR="005A2A8E" w:rsidRDefault="00DB1DC4">
      <w:pPr>
        <w:pStyle w:val="Zkladntext"/>
        <w:spacing w:line="264" w:lineRule="auto"/>
        <w:ind w:left="1129" w:right="109"/>
      </w:pPr>
      <w:r>
        <w:t>rozhodnutí (dle odst. 7.9.2 písm. a) a c) Statutu Fondu) a dále na vlastní honorář příjemce podpory, je-li fyzickou osobou, a režijní náklady příjemce podpory související s realizací projektu ve smyslu odst.</w:t>
      </w:r>
    </w:p>
    <w:p w14:paraId="0D617CD8" w14:textId="77777777" w:rsidR="005A2A8E" w:rsidRDefault="00DB1DC4">
      <w:pPr>
        <w:pStyle w:val="Zkladntext"/>
        <w:spacing w:line="264" w:lineRule="auto"/>
        <w:ind w:left="1129" w:right="721"/>
      </w:pPr>
      <w:r>
        <w:t>7.9.2 písm. b) a d) Statutu Fondu, a její nepouž</w:t>
      </w:r>
      <w:r>
        <w:t>itou část vrátit na účet Fondu ve smyslu čl. 6.6.3. rozhodnutí;</w:t>
      </w:r>
    </w:p>
    <w:p w14:paraId="6FFF1E64" w14:textId="77777777" w:rsidR="005A2A8E" w:rsidRDefault="00DB1DC4">
      <w:pPr>
        <w:pStyle w:val="Odstavecseseznamem"/>
        <w:numPr>
          <w:ilvl w:val="2"/>
          <w:numId w:val="5"/>
        </w:numPr>
        <w:tabs>
          <w:tab w:val="left" w:pos="1130"/>
        </w:tabs>
        <w:spacing w:line="264" w:lineRule="auto"/>
        <w:ind w:right="437"/>
        <w:rPr>
          <w:sz w:val="19"/>
        </w:rPr>
      </w:pPr>
      <w:r>
        <w:rPr>
          <w:sz w:val="19"/>
        </w:rPr>
        <w:t>nepoužitou podporu nebo její část vrátit na účet Fondu, a to nejpozději ke dni předložení vyúčtování podpory dle čl. 6.6.4. rozhodnutí a současně postupovat v souladu s čl. 4.6.</w:t>
      </w:r>
      <w:r>
        <w:rPr>
          <w:spacing w:val="-21"/>
          <w:sz w:val="19"/>
        </w:rPr>
        <w:t xml:space="preserve"> </w:t>
      </w:r>
      <w:r>
        <w:rPr>
          <w:sz w:val="19"/>
        </w:rPr>
        <w:t>rozhodnutí;</w:t>
      </w:r>
    </w:p>
    <w:p w14:paraId="293DDDD0" w14:textId="77777777" w:rsidR="005A2A8E" w:rsidRDefault="00DB1DC4">
      <w:pPr>
        <w:pStyle w:val="Odstavecseseznamem"/>
        <w:numPr>
          <w:ilvl w:val="2"/>
          <w:numId w:val="5"/>
        </w:numPr>
        <w:tabs>
          <w:tab w:val="left" w:pos="1130"/>
        </w:tabs>
        <w:spacing w:line="218" w:lineRule="exact"/>
        <w:ind w:hanging="505"/>
        <w:rPr>
          <w:sz w:val="19"/>
        </w:rPr>
      </w:pPr>
      <w:r>
        <w:rPr>
          <w:sz w:val="19"/>
        </w:rPr>
        <w:t>př</w:t>
      </w:r>
      <w:r>
        <w:rPr>
          <w:sz w:val="19"/>
        </w:rPr>
        <w:t>edložit Fondu v termínu dle čl. 6.2. rozhodnutí vyúčtování projektu na formuláři vydaném</w:t>
      </w:r>
      <w:r>
        <w:rPr>
          <w:spacing w:val="-33"/>
          <w:sz w:val="19"/>
        </w:rPr>
        <w:t xml:space="preserve"> </w:t>
      </w:r>
      <w:r>
        <w:rPr>
          <w:sz w:val="19"/>
        </w:rPr>
        <w:t>Fondem;</w:t>
      </w:r>
    </w:p>
    <w:p w14:paraId="4573353A" w14:textId="77777777" w:rsidR="005A2A8E" w:rsidRDefault="00DB1DC4">
      <w:pPr>
        <w:pStyle w:val="Odstavecseseznamem"/>
        <w:numPr>
          <w:ilvl w:val="2"/>
          <w:numId w:val="5"/>
        </w:numPr>
        <w:tabs>
          <w:tab w:val="left" w:pos="1130"/>
        </w:tabs>
        <w:spacing w:before="19" w:line="264" w:lineRule="auto"/>
        <w:ind w:right="123"/>
        <w:rPr>
          <w:sz w:val="19"/>
        </w:rPr>
      </w:pPr>
      <w:r>
        <w:rPr>
          <w:sz w:val="19"/>
        </w:rPr>
        <w:t>předložit Fondu zprávu auditora o ověření vynaložených nákladů projektu v případě, že přiznaná podpora je ve výši 3.000.000,- Kč a vyšší, a to v termínu dle čl</w:t>
      </w:r>
      <w:r>
        <w:rPr>
          <w:sz w:val="19"/>
        </w:rPr>
        <w:t>. 6.2. rozhodnutí. Zpráva auditora se týká celého</w:t>
      </w:r>
      <w:r>
        <w:rPr>
          <w:spacing w:val="-1"/>
          <w:sz w:val="19"/>
        </w:rPr>
        <w:t xml:space="preserve"> </w:t>
      </w:r>
      <w:r>
        <w:rPr>
          <w:sz w:val="19"/>
        </w:rPr>
        <w:t>projektu.</w:t>
      </w:r>
    </w:p>
    <w:p w14:paraId="6FCDC28A" w14:textId="77777777" w:rsidR="005A2A8E" w:rsidRDefault="00DB1DC4">
      <w:pPr>
        <w:pStyle w:val="Odstavecseseznamem"/>
        <w:numPr>
          <w:ilvl w:val="1"/>
          <w:numId w:val="5"/>
        </w:numPr>
        <w:tabs>
          <w:tab w:val="left" w:pos="626"/>
        </w:tabs>
        <w:spacing w:line="264" w:lineRule="auto"/>
        <w:ind w:right="195"/>
        <w:rPr>
          <w:sz w:val="19"/>
        </w:rPr>
      </w:pPr>
      <w:r>
        <w:rPr>
          <w:sz w:val="19"/>
        </w:rPr>
        <w:t>Budou-li doklady dodané dle čl. 6.4., 6.6.4. nebo 6.6.5. rozhodnutí obsahovat nedostatky nebo budou-li neúplné, Fond písemně vyzve příjemce podpory k nápravě. Příjemce podpory je povinen chybějící</w:t>
      </w:r>
      <w:r>
        <w:rPr>
          <w:sz w:val="19"/>
        </w:rPr>
        <w:t xml:space="preserve"> doklady podle této výzvy doplnit a odstranit všechny nedostatky do 15 dnů ode dne, kdy mu bude výzva Fondu doručena. V případě, že příjemce podpory nedoloží chybějící nebo neúplné doklady na základě výzvy Fondu dle tohoto ustanovení ve stanovené lhůtě neb</w:t>
      </w:r>
      <w:r>
        <w:rPr>
          <w:sz w:val="19"/>
        </w:rPr>
        <w:t>o budou doplněné doklady neúplné či budou</w:t>
      </w:r>
      <w:r>
        <w:rPr>
          <w:spacing w:val="-36"/>
          <w:sz w:val="19"/>
        </w:rPr>
        <w:t xml:space="preserve"> </w:t>
      </w:r>
      <w:r>
        <w:rPr>
          <w:sz w:val="19"/>
        </w:rPr>
        <w:t>obsahovat</w:t>
      </w:r>
    </w:p>
    <w:p w14:paraId="43AD2B7B" w14:textId="77777777" w:rsidR="005A2A8E" w:rsidRDefault="00DB1DC4">
      <w:pPr>
        <w:pStyle w:val="Zkladntext"/>
        <w:spacing w:line="264" w:lineRule="auto"/>
        <w:ind w:left="625" w:right="823"/>
      </w:pPr>
      <w:r>
        <w:t>nedostatky, jedná se o porušení nebo nesplnění povinností a Fond bude postupovat v souladu s čl. 9 rozhodnutí.</w:t>
      </w:r>
    </w:p>
    <w:p w14:paraId="6569F78E" w14:textId="77777777" w:rsidR="005A2A8E" w:rsidRDefault="00DB1DC4">
      <w:pPr>
        <w:pStyle w:val="Odstavecseseznamem"/>
        <w:numPr>
          <w:ilvl w:val="1"/>
          <w:numId w:val="5"/>
        </w:numPr>
        <w:tabs>
          <w:tab w:val="left" w:pos="626"/>
        </w:tabs>
        <w:spacing w:line="264" w:lineRule="auto"/>
        <w:ind w:right="472"/>
        <w:rPr>
          <w:sz w:val="19"/>
        </w:rPr>
      </w:pPr>
      <w:r>
        <w:rPr>
          <w:sz w:val="19"/>
        </w:rPr>
        <w:t>Příjemce podpory je oprávněn na formuláři vydaném Fondem v souladu s § 36 zákona požádat Radu</w:t>
      </w:r>
      <w:r>
        <w:rPr>
          <w:sz w:val="19"/>
        </w:rPr>
        <w:t xml:space="preserve"> o změnu lhůty pro dokončení projektu, nejpozději však do skončení lhůty pro dokončení projektu dle čl. 6.1. rozhodnutí.</w:t>
      </w:r>
    </w:p>
    <w:p w14:paraId="2D4AF5AD" w14:textId="77777777" w:rsidR="005A2A8E" w:rsidRDefault="00DB1DC4">
      <w:pPr>
        <w:pStyle w:val="Odstavecseseznamem"/>
        <w:numPr>
          <w:ilvl w:val="1"/>
          <w:numId w:val="5"/>
        </w:numPr>
        <w:tabs>
          <w:tab w:val="left" w:pos="626"/>
        </w:tabs>
        <w:spacing w:line="264" w:lineRule="auto"/>
        <w:ind w:right="120"/>
        <w:rPr>
          <w:sz w:val="19"/>
        </w:rPr>
      </w:pPr>
      <w:r>
        <w:rPr>
          <w:sz w:val="19"/>
        </w:rPr>
        <w:t xml:space="preserve">V případě, že Rada žádosti o změnu rozhodnutí dle čl. 6.8. rozhodnutí nevyhoví, je příjemce podpory povinen dokončit projet a odevzdat </w:t>
      </w:r>
      <w:r>
        <w:rPr>
          <w:sz w:val="19"/>
        </w:rPr>
        <w:t>doklady dle čl. 6.4.</w:t>
      </w:r>
      <w:r>
        <w:rPr>
          <w:spacing w:val="-8"/>
          <w:sz w:val="19"/>
        </w:rPr>
        <w:t xml:space="preserve"> </w:t>
      </w:r>
      <w:r>
        <w:rPr>
          <w:sz w:val="19"/>
        </w:rPr>
        <w:t>rozhodnutí:</w:t>
      </w:r>
    </w:p>
    <w:p w14:paraId="2FBFC7B0" w14:textId="77777777" w:rsidR="005A2A8E" w:rsidRDefault="00DB1DC4">
      <w:pPr>
        <w:pStyle w:val="Odstavecseseznamem"/>
        <w:numPr>
          <w:ilvl w:val="0"/>
          <w:numId w:val="4"/>
        </w:numPr>
        <w:tabs>
          <w:tab w:val="left" w:pos="985"/>
          <w:tab w:val="left" w:pos="986"/>
        </w:tabs>
        <w:spacing w:line="219" w:lineRule="exact"/>
        <w:ind w:hanging="361"/>
        <w:rPr>
          <w:sz w:val="19"/>
        </w:rPr>
      </w:pPr>
      <w:r>
        <w:rPr>
          <w:sz w:val="19"/>
        </w:rPr>
        <w:t>ve</w:t>
      </w:r>
      <w:r>
        <w:rPr>
          <w:spacing w:val="-3"/>
          <w:sz w:val="19"/>
        </w:rPr>
        <w:t xml:space="preserve"> </w:t>
      </w:r>
      <w:r>
        <w:rPr>
          <w:sz w:val="19"/>
        </w:rPr>
        <w:t>lhůtě</w:t>
      </w:r>
      <w:r>
        <w:rPr>
          <w:spacing w:val="-2"/>
          <w:sz w:val="19"/>
        </w:rPr>
        <w:t xml:space="preserve"> </w:t>
      </w:r>
      <w:r>
        <w:rPr>
          <w:sz w:val="19"/>
        </w:rPr>
        <w:t>uvedené</w:t>
      </w:r>
      <w:r>
        <w:rPr>
          <w:spacing w:val="-3"/>
          <w:sz w:val="19"/>
        </w:rPr>
        <w:t xml:space="preserve"> </w:t>
      </w:r>
      <w:r>
        <w:rPr>
          <w:sz w:val="19"/>
        </w:rPr>
        <w:t>v</w:t>
      </w:r>
      <w:r>
        <w:rPr>
          <w:spacing w:val="-2"/>
          <w:sz w:val="19"/>
        </w:rPr>
        <w:t xml:space="preserve"> </w:t>
      </w:r>
      <w:r>
        <w:rPr>
          <w:sz w:val="19"/>
        </w:rPr>
        <w:t>čl.</w:t>
      </w:r>
      <w:r>
        <w:rPr>
          <w:spacing w:val="-3"/>
          <w:sz w:val="19"/>
        </w:rPr>
        <w:t xml:space="preserve"> </w:t>
      </w:r>
      <w:r>
        <w:rPr>
          <w:sz w:val="19"/>
        </w:rPr>
        <w:t>6.1.</w:t>
      </w:r>
      <w:r>
        <w:rPr>
          <w:spacing w:val="-3"/>
          <w:sz w:val="19"/>
        </w:rPr>
        <w:t xml:space="preserve"> </w:t>
      </w:r>
      <w:r>
        <w:rPr>
          <w:sz w:val="19"/>
        </w:rPr>
        <w:t>rozhodnutí</w:t>
      </w:r>
      <w:r>
        <w:rPr>
          <w:spacing w:val="-3"/>
          <w:sz w:val="19"/>
        </w:rPr>
        <w:t xml:space="preserve"> </w:t>
      </w:r>
      <w:r>
        <w:rPr>
          <w:sz w:val="19"/>
        </w:rPr>
        <w:t>v</w:t>
      </w:r>
      <w:r>
        <w:rPr>
          <w:spacing w:val="1"/>
          <w:sz w:val="19"/>
        </w:rPr>
        <w:t xml:space="preserve"> </w:t>
      </w:r>
      <w:r>
        <w:rPr>
          <w:sz w:val="19"/>
        </w:rPr>
        <w:t>případě,</w:t>
      </w:r>
      <w:r>
        <w:rPr>
          <w:spacing w:val="-3"/>
          <w:sz w:val="19"/>
        </w:rPr>
        <w:t xml:space="preserve"> </w:t>
      </w:r>
      <w:r>
        <w:rPr>
          <w:sz w:val="19"/>
        </w:rPr>
        <w:t>že</w:t>
      </w:r>
      <w:r>
        <w:rPr>
          <w:spacing w:val="-3"/>
          <w:sz w:val="19"/>
        </w:rPr>
        <w:t xml:space="preserve"> </w:t>
      </w:r>
      <w:r>
        <w:rPr>
          <w:sz w:val="19"/>
        </w:rPr>
        <w:t>rozhodnutí</w:t>
      </w:r>
      <w:r>
        <w:rPr>
          <w:spacing w:val="-3"/>
          <w:sz w:val="19"/>
        </w:rPr>
        <w:t xml:space="preserve"> </w:t>
      </w:r>
      <w:r>
        <w:rPr>
          <w:sz w:val="19"/>
        </w:rPr>
        <w:t>o</w:t>
      </w:r>
      <w:r>
        <w:rPr>
          <w:spacing w:val="-2"/>
          <w:sz w:val="19"/>
        </w:rPr>
        <w:t xml:space="preserve"> </w:t>
      </w:r>
      <w:r>
        <w:rPr>
          <w:sz w:val="19"/>
        </w:rPr>
        <w:t>žádosti</w:t>
      </w:r>
      <w:r>
        <w:rPr>
          <w:spacing w:val="-2"/>
          <w:sz w:val="19"/>
        </w:rPr>
        <w:t xml:space="preserve"> </w:t>
      </w:r>
      <w:r>
        <w:rPr>
          <w:sz w:val="19"/>
        </w:rPr>
        <w:t>příjemce</w:t>
      </w:r>
      <w:r>
        <w:rPr>
          <w:spacing w:val="-3"/>
          <w:sz w:val="19"/>
        </w:rPr>
        <w:t xml:space="preserve"> </w:t>
      </w:r>
      <w:r>
        <w:rPr>
          <w:sz w:val="19"/>
        </w:rPr>
        <w:t>podpory</w:t>
      </w:r>
      <w:r>
        <w:rPr>
          <w:spacing w:val="-1"/>
          <w:sz w:val="19"/>
        </w:rPr>
        <w:t xml:space="preserve"> </w:t>
      </w:r>
      <w:r>
        <w:rPr>
          <w:sz w:val="19"/>
        </w:rPr>
        <w:t>o</w:t>
      </w:r>
      <w:r>
        <w:rPr>
          <w:spacing w:val="-3"/>
          <w:sz w:val="19"/>
        </w:rPr>
        <w:t xml:space="preserve"> </w:t>
      </w:r>
      <w:r>
        <w:rPr>
          <w:sz w:val="19"/>
        </w:rPr>
        <w:t>změnu</w:t>
      </w:r>
    </w:p>
    <w:p w14:paraId="6B5C7C9B" w14:textId="77777777" w:rsidR="005A2A8E" w:rsidRDefault="00DB1DC4">
      <w:pPr>
        <w:pStyle w:val="Zkladntext"/>
        <w:spacing w:before="16" w:line="264" w:lineRule="auto"/>
        <w:ind w:left="985" w:right="294"/>
      </w:pPr>
      <w:r>
        <w:t>rozhodnutí bude příjemci podpory doručeno ve lhůtě 30 a více dní před skončením lhůty pro dokončení projektu dle čl. 6.1. rozhodnutí nebo,</w:t>
      </w:r>
    </w:p>
    <w:p w14:paraId="5625460F" w14:textId="77777777" w:rsidR="005A2A8E" w:rsidRDefault="00DB1DC4">
      <w:pPr>
        <w:pStyle w:val="Odstavecseseznamem"/>
        <w:numPr>
          <w:ilvl w:val="0"/>
          <w:numId w:val="4"/>
        </w:numPr>
        <w:tabs>
          <w:tab w:val="left" w:pos="985"/>
          <w:tab w:val="left" w:pos="986"/>
        </w:tabs>
        <w:spacing w:line="219" w:lineRule="exact"/>
        <w:ind w:hanging="361"/>
        <w:rPr>
          <w:sz w:val="19"/>
        </w:rPr>
      </w:pPr>
      <w:r>
        <w:rPr>
          <w:sz w:val="19"/>
        </w:rPr>
        <w:t>ve lhůtě do 30-ti dní ode dne doručení rozhodnutí o žádosti příjemce podpory o změnu</w:t>
      </w:r>
      <w:r>
        <w:rPr>
          <w:spacing w:val="-34"/>
          <w:sz w:val="19"/>
        </w:rPr>
        <w:t xml:space="preserve"> </w:t>
      </w:r>
      <w:r>
        <w:rPr>
          <w:sz w:val="19"/>
        </w:rPr>
        <w:t>rozhodnutí</w:t>
      </w:r>
    </w:p>
    <w:p w14:paraId="6EFDA21C" w14:textId="77777777" w:rsidR="005A2A8E" w:rsidRDefault="00DB1DC4">
      <w:pPr>
        <w:pStyle w:val="Zkladntext"/>
        <w:spacing w:before="20" w:line="264" w:lineRule="auto"/>
        <w:ind w:left="985" w:right="579"/>
      </w:pPr>
      <w:r>
        <w:t>v případě, že rozhodn</w:t>
      </w:r>
      <w:r>
        <w:t>utí o žádosti příjemce podpory o změnu rozhodnutí bude příjemci podpory doručeno ve lhůtě méně než 30 dní před skončením lhůty pro dokončení projektu uvedené v čl. 6.1. rozhodnutí, nebo po uplynutí lhůty pro dokončení projektu dle čl. 6.1. rozhodnutí.</w:t>
      </w:r>
    </w:p>
    <w:p w14:paraId="13410542" w14:textId="77777777" w:rsidR="005A2A8E" w:rsidRDefault="00DB1DC4">
      <w:pPr>
        <w:pStyle w:val="Odstavecseseznamem"/>
        <w:numPr>
          <w:ilvl w:val="1"/>
          <w:numId w:val="5"/>
        </w:numPr>
        <w:tabs>
          <w:tab w:val="left" w:pos="626"/>
        </w:tabs>
        <w:spacing w:line="264" w:lineRule="auto"/>
        <w:ind w:right="390"/>
        <w:rPr>
          <w:sz w:val="19"/>
        </w:rPr>
      </w:pPr>
      <w:r>
        <w:rPr>
          <w:sz w:val="19"/>
        </w:rPr>
        <w:t>Příj</w:t>
      </w:r>
      <w:r>
        <w:rPr>
          <w:sz w:val="19"/>
        </w:rPr>
        <w:t>emce podpory je oprávněn na formuláři vydaném Fondem v souladu s § 36 zákona požádat Radu o změnu lhůty pro předložení vyúčtování podpory projektu, nejpozději však do skončení lhůty pro předložení vyúčtování dle čl. 6.2.</w:t>
      </w:r>
      <w:r>
        <w:rPr>
          <w:spacing w:val="-5"/>
          <w:sz w:val="19"/>
        </w:rPr>
        <w:t xml:space="preserve"> </w:t>
      </w:r>
      <w:r>
        <w:rPr>
          <w:sz w:val="19"/>
        </w:rPr>
        <w:t>rozhodnutí.</w:t>
      </w:r>
    </w:p>
    <w:p w14:paraId="40737CD5" w14:textId="77777777" w:rsidR="005A2A8E" w:rsidRDefault="00DB1DC4">
      <w:pPr>
        <w:pStyle w:val="Odstavecseseznamem"/>
        <w:numPr>
          <w:ilvl w:val="1"/>
          <w:numId w:val="5"/>
        </w:numPr>
        <w:tabs>
          <w:tab w:val="left" w:pos="647"/>
        </w:tabs>
        <w:spacing w:line="264" w:lineRule="auto"/>
        <w:ind w:left="646" w:right="713" w:hanging="455"/>
        <w:rPr>
          <w:sz w:val="19"/>
        </w:rPr>
      </w:pPr>
      <w:r>
        <w:rPr>
          <w:sz w:val="19"/>
        </w:rPr>
        <w:t>V případě, že Rada žádo</w:t>
      </w:r>
      <w:r>
        <w:rPr>
          <w:sz w:val="19"/>
        </w:rPr>
        <w:t>sti o změnu rozhodnutí dle čl. 6.10. rozhodnutí nevyhoví, je příjemce podpory povinen odevzdat vyúčtování projektu dle čl. 6.6.4.</w:t>
      </w:r>
      <w:r>
        <w:rPr>
          <w:spacing w:val="-13"/>
          <w:sz w:val="19"/>
        </w:rPr>
        <w:t xml:space="preserve"> </w:t>
      </w:r>
      <w:r>
        <w:rPr>
          <w:sz w:val="19"/>
        </w:rPr>
        <w:t>rozhodnutí:</w:t>
      </w:r>
    </w:p>
    <w:p w14:paraId="2988D8A3" w14:textId="77777777" w:rsidR="005A2A8E" w:rsidRDefault="00DB1DC4">
      <w:pPr>
        <w:pStyle w:val="Odstavecseseznamem"/>
        <w:numPr>
          <w:ilvl w:val="0"/>
          <w:numId w:val="3"/>
        </w:numPr>
        <w:tabs>
          <w:tab w:val="left" w:pos="1006"/>
          <w:tab w:val="left" w:pos="1007"/>
        </w:tabs>
        <w:spacing w:line="264" w:lineRule="auto"/>
        <w:ind w:right="281"/>
        <w:rPr>
          <w:sz w:val="19"/>
        </w:rPr>
      </w:pPr>
      <w:r>
        <w:rPr>
          <w:sz w:val="19"/>
        </w:rPr>
        <w:t>ve lhůtě uvedené v čl. 6.2. rozhodnutí v případě, že rozhodnutí o žádosti příjemce podpory o změnu rozhodnutí bude</w:t>
      </w:r>
      <w:r>
        <w:rPr>
          <w:sz w:val="19"/>
        </w:rPr>
        <w:t xml:space="preserve"> příjemci podpory doručeno ve lhůtě 30 a více dní před skončením lhůty pro předložení vyúčtování uvedené v čl. 6.2. rozhodnutí</w:t>
      </w:r>
      <w:r>
        <w:rPr>
          <w:spacing w:val="-11"/>
          <w:sz w:val="19"/>
        </w:rPr>
        <w:t xml:space="preserve"> </w:t>
      </w:r>
      <w:r>
        <w:rPr>
          <w:sz w:val="19"/>
        </w:rPr>
        <w:t>nebo,</w:t>
      </w:r>
    </w:p>
    <w:p w14:paraId="01EBB637" w14:textId="77777777" w:rsidR="005A2A8E" w:rsidRDefault="00DB1DC4">
      <w:pPr>
        <w:pStyle w:val="Odstavecseseznamem"/>
        <w:numPr>
          <w:ilvl w:val="0"/>
          <w:numId w:val="3"/>
        </w:numPr>
        <w:tabs>
          <w:tab w:val="left" w:pos="1006"/>
          <w:tab w:val="left" w:pos="1007"/>
        </w:tabs>
        <w:spacing w:line="261" w:lineRule="auto"/>
        <w:ind w:right="726"/>
        <w:rPr>
          <w:sz w:val="19"/>
        </w:rPr>
      </w:pPr>
      <w:r>
        <w:rPr>
          <w:sz w:val="19"/>
        </w:rPr>
        <w:t>ve</w:t>
      </w:r>
      <w:r>
        <w:rPr>
          <w:spacing w:val="-5"/>
          <w:sz w:val="19"/>
        </w:rPr>
        <w:t xml:space="preserve"> </w:t>
      </w:r>
      <w:r>
        <w:rPr>
          <w:sz w:val="19"/>
        </w:rPr>
        <w:t>lhůtě</w:t>
      </w:r>
      <w:r>
        <w:rPr>
          <w:spacing w:val="-2"/>
          <w:sz w:val="19"/>
        </w:rPr>
        <w:t xml:space="preserve"> </w:t>
      </w:r>
      <w:r>
        <w:rPr>
          <w:sz w:val="19"/>
        </w:rPr>
        <w:t>do</w:t>
      </w:r>
      <w:r>
        <w:rPr>
          <w:spacing w:val="-4"/>
          <w:sz w:val="19"/>
        </w:rPr>
        <w:t xml:space="preserve"> </w:t>
      </w:r>
      <w:r>
        <w:rPr>
          <w:sz w:val="19"/>
        </w:rPr>
        <w:t>30-ti</w:t>
      </w:r>
      <w:r>
        <w:rPr>
          <w:spacing w:val="-3"/>
          <w:sz w:val="19"/>
        </w:rPr>
        <w:t xml:space="preserve"> </w:t>
      </w:r>
      <w:r>
        <w:rPr>
          <w:sz w:val="19"/>
        </w:rPr>
        <w:t>dní</w:t>
      </w:r>
      <w:r>
        <w:rPr>
          <w:spacing w:val="-4"/>
          <w:sz w:val="19"/>
        </w:rPr>
        <w:t xml:space="preserve"> </w:t>
      </w:r>
      <w:r>
        <w:rPr>
          <w:sz w:val="19"/>
        </w:rPr>
        <w:t>ode</w:t>
      </w:r>
      <w:r>
        <w:rPr>
          <w:spacing w:val="-3"/>
          <w:sz w:val="19"/>
        </w:rPr>
        <w:t xml:space="preserve"> </w:t>
      </w:r>
      <w:r>
        <w:rPr>
          <w:sz w:val="19"/>
        </w:rPr>
        <w:t>dne</w:t>
      </w:r>
      <w:r>
        <w:rPr>
          <w:spacing w:val="-3"/>
          <w:sz w:val="19"/>
        </w:rPr>
        <w:t xml:space="preserve"> </w:t>
      </w:r>
      <w:r>
        <w:rPr>
          <w:sz w:val="19"/>
        </w:rPr>
        <w:t>doručení</w:t>
      </w:r>
      <w:r>
        <w:rPr>
          <w:spacing w:val="-5"/>
          <w:sz w:val="19"/>
        </w:rPr>
        <w:t xml:space="preserve"> </w:t>
      </w:r>
      <w:r>
        <w:rPr>
          <w:sz w:val="19"/>
        </w:rPr>
        <w:t>rozhodnutí</w:t>
      </w:r>
      <w:r>
        <w:rPr>
          <w:spacing w:val="-4"/>
          <w:sz w:val="19"/>
        </w:rPr>
        <w:t xml:space="preserve"> </w:t>
      </w:r>
      <w:r>
        <w:rPr>
          <w:sz w:val="19"/>
        </w:rPr>
        <w:t>o</w:t>
      </w:r>
      <w:r>
        <w:rPr>
          <w:spacing w:val="-4"/>
          <w:sz w:val="19"/>
        </w:rPr>
        <w:t xml:space="preserve"> </w:t>
      </w:r>
      <w:r>
        <w:rPr>
          <w:sz w:val="19"/>
        </w:rPr>
        <w:t>žádosti</w:t>
      </w:r>
      <w:r>
        <w:rPr>
          <w:spacing w:val="-3"/>
          <w:sz w:val="19"/>
        </w:rPr>
        <w:t xml:space="preserve"> </w:t>
      </w:r>
      <w:r>
        <w:rPr>
          <w:sz w:val="19"/>
        </w:rPr>
        <w:t>příjemce</w:t>
      </w:r>
      <w:r>
        <w:rPr>
          <w:spacing w:val="-4"/>
          <w:sz w:val="19"/>
        </w:rPr>
        <w:t xml:space="preserve"> </w:t>
      </w:r>
      <w:r>
        <w:rPr>
          <w:sz w:val="19"/>
        </w:rPr>
        <w:t>podpory</w:t>
      </w:r>
      <w:r>
        <w:rPr>
          <w:spacing w:val="-4"/>
          <w:sz w:val="19"/>
        </w:rPr>
        <w:t xml:space="preserve"> </w:t>
      </w:r>
      <w:r>
        <w:rPr>
          <w:sz w:val="19"/>
        </w:rPr>
        <w:t>o</w:t>
      </w:r>
      <w:r>
        <w:rPr>
          <w:spacing w:val="-6"/>
          <w:sz w:val="19"/>
        </w:rPr>
        <w:t xml:space="preserve"> </w:t>
      </w:r>
      <w:r>
        <w:rPr>
          <w:sz w:val="19"/>
        </w:rPr>
        <w:t>změnu</w:t>
      </w:r>
      <w:r>
        <w:rPr>
          <w:spacing w:val="-4"/>
          <w:sz w:val="19"/>
        </w:rPr>
        <w:t xml:space="preserve"> </w:t>
      </w:r>
      <w:r>
        <w:rPr>
          <w:sz w:val="19"/>
        </w:rPr>
        <w:t>rozhodnutí v</w:t>
      </w:r>
      <w:r>
        <w:rPr>
          <w:spacing w:val="-3"/>
          <w:sz w:val="19"/>
        </w:rPr>
        <w:t xml:space="preserve"> </w:t>
      </w:r>
      <w:r>
        <w:rPr>
          <w:sz w:val="19"/>
        </w:rPr>
        <w:t>případě,</w:t>
      </w:r>
      <w:r>
        <w:rPr>
          <w:spacing w:val="-4"/>
          <w:sz w:val="19"/>
        </w:rPr>
        <w:t xml:space="preserve"> </w:t>
      </w:r>
      <w:r>
        <w:rPr>
          <w:sz w:val="19"/>
        </w:rPr>
        <w:t>že</w:t>
      </w:r>
      <w:r>
        <w:rPr>
          <w:spacing w:val="-5"/>
          <w:sz w:val="19"/>
        </w:rPr>
        <w:t xml:space="preserve"> </w:t>
      </w:r>
      <w:r>
        <w:rPr>
          <w:sz w:val="19"/>
        </w:rPr>
        <w:t>rozhodnutí</w:t>
      </w:r>
      <w:r>
        <w:rPr>
          <w:spacing w:val="-4"/>
          <w:sz w:val="19"/>
        </w:rPr>
        <w:t xml:space="preserve"> </w:t>
      </w:r>
      <w:r>
        <w:rPr>
          <w:sz w:val="19"/>
        </w:rPr>
        <w:t>o</w:t>
      </w:r>
      <w:r>
        <w:rPr>
          <w:spacing w:val="-3"/>
          <w:sz w:val="19"/>
        </w:rPr>
        <w:t xml:space="preserve"> </w:t>
      </w:r>
      <w:r>
        <w:rPr>
          <w:sz w:val="19"/>
        </w:rPr>
        <w:t>žádosti</w:t>
      </w:r>
      <w:r>
        <w:rPr>
          <w:spacing w:val="-4"/>
          <w:sz w:val="19"/>
        </w:rPr>
        <w:t xml:space="preserve"> </w:t>
      </w:r>
      <w:r>
        <w:rPr>
          <w:sz w:val="19"/>
        </w:rPr>
        <w:t>příjemce</w:t>
      </w:r>
      <w:r>
        <w:rPr>
          <w:spacing w:val="-4"/>
          <w:sz w:val="19"/>
        </w:rPr>
        <w:t xml:space="preserve"> </w:t>
      </w:r>
      <w:r>
        <w:rPr>
          <w:sz w:val="19"/>
        </w:rPr>
        <w:t>podpory</w:t>
      </w:r>
      <w:r>
        <w:rPr>
          <w:spacing w:val="-3"/>
          <w:sz w:val="19"/>
        </w:rPr>
        <w:t xml:space="preserve"> </w:t>
      </w:r>
      <w:r>
        <w:rPr>
          <w:sz w:val="19"/>
        </w:rPr>
        <w:t>o</w:t>
      </w:r>
      <w:r>
        <w:rPr>
          <w:spacing w:val="-5"/>
          <w:sz w:val="19"/>
        </w:rPr>
        <w:t xml:space="preserve"> </w:t>
      </w:r>
      <w:r>
        <w:rPr>
          <w:sz w:val="19"/>
        </w:rPr>
        <w:t>změnu</w:t>
      </w:r>
      <w:r>
        <w:rPr>
          <w:spacing w:val="-4"/>
          <w:sz w:val="19"/>
        </w:rPr>
        <w:t xml:space="preserve"> </w:t>
      </w:r>
      <w:r>
        <w:rPr>
          <w:sz w:val="19"/>
        </w:rPr>
        <w:t>rozhodnutí</w:t>
      </w:r>
      <w:r>
        <w:rPr>
          <w:spacing w:val="-4"/>
          <w:sz w:val="19"/>
        </w:rPr>
        <w:t xml:space="preserve"> </w:t>
      </w:r>
      <w:r>
        <w:rPr>
          <w:sz w:val="19"/>
        </w:rPr>
        <w:t>bude</w:t>
      </w:r>
      <w:r>
        <w:rPr>
          <w:spacing w:val="-4"/>
          <w:sz w:val="19"/>
        </w:rPr>
        <w:t xml:space="preserve"> </w:t>
      </w:r>
      <w:r>
        <w:rPr>
          <w:sz w:val="19"/>
        </w:rPr>
        <w:t>příjemci</w:t>
      </w:r>
      <w:r>
        <w:rPr>
          <w:spacing w:val="-3"/>
          <w:sz w:val="19"/>
        </w:rPr>
        <w:t xml:space="preserve"> </w:t>
      </w:r>
      <w:r>
        <w:rPr>
          <w:sz w:val="19"/>
        </w:rPr>
        <w:t>podpory</w:t>
      </w:r>
    </w:p>
    <w:p w14:paraId="4ABA1D05" w14:textId="77777777" w:rsidR="005A2A8E" w:rsidRDefault="00DB1DC4">
      <w:pPr>
        <w:pStyle w:val="Zkladntext"/>
        <w:spacing w:line="264" w:lineRule="auto"/>
        <w:ind w:left="1006" w:right="315"/>
      </w:pPr>
      <w:r>
        <w:t>doručeno ve lhůtě méně než 30 dní před skončením lhůty pro předložení vyúčtování uvedené v čl. 6.2. rozhodnutí, nebo po uplynutí lhůty pro předložení vyúčtování dle čl. 6.2. rozhodnutí.</w:t>
      </w:r>
    </w:p>
    <w:p w14:paraId="60F815C5" w14:textId="77777777" w:rsidR="005A2A8E" w:rsidRDefault="00DB1DC4">
      <w:pPr>
        <w:pStyle w:val="Odstavecseseznamem"/>
        <w:numPr>
          <w:ilvl w:val="1"/>
          <w:numId w:val="5"/>
        </w:numPr>
        <w:tabs>
          <w:tab w:val="left" w:pos="626"/>
        </w:tabs>
        <w:spacing w:line="264" w:lineRule="auto"/>
        <w:ind w:right="454"/>
        <w:rPr>
          <w:sz w:val="19"/>
        </w:rPr>
      </w:pPr>
      <w:r>
        <w:rPr>
          <w:sz w:val="19"/>
        </w:rPr>
        <w:t>Příjemce podpory je oprávněn na formuláři vydaném Fondem v souladu s §</w:t>
      </w:r>
      <w:r>
        <w:rPr>
          <w:sz w:val="19"/>
        </w:rPr>
        <w:t xml:space="preserve"> 36 zákona p o změnu dalších podmínek stanovených tímto článkem</w:t>
      </w:r>
      <w:r>
        <w:rPr>
          <w:spacing w:val="-4"/>
          <w:sz w:val="19"/>
        </w:rPr>
        <w:t xml:space="preserve"> </w:t>
      </w:r>
      <w:r>
        <w:rPr>
          <w:sz w:val="19"/>
        </w:rPr>
        <w:t>rozhodnutí.</w:t>
      </w:r>
    </w:p>
    <w:p w14:paraId="286805F4" w14:textId="77777777" w:rsidR="005A2A8E" w:rsidRDefault="005A2A8E">
      <w:pPr>
        <w:spacing w:line="264" w:lineRule="auto"/>
        <w:rPr>
          <w:sz w:val="19"/>
        </w:rPr>
        <w:sectPr w:rsidR="005A2A8E">
          <w:pgSz w:w="11910" w:h="16840"/>
          <w:pgMar w:top="1160" w:right="1020" w:bottom="1540" w:left="940" w:header="0" w:footer="1350" w:gutter="0"/>
          <w:cols w:space="708"/>
        </w:sectPr>
      </w:pPr>
    </w:p>
    <w:p w14:paraId="39B91DE2" w14:textId="77777777" w:rsidR="005A2A8E" w:rsidRDefault="00DB1DC4">
      <w:pPr>
        <w:pStyle w:val="Odstavecseseznamem"/>
        <w:numPr>
          <w:ilvl w:val="1"/>
          <w:numId w:val="5"/>
        </w:numPr>
        <w:tabs>
          <w:tab w:val="left" w:pos="626"/>
        </w:tabs>
        <w:spacing w:before="83" w:line="264" w:lineRule="auto"/>
        <w:ind w:right="404"/>
        <w:rPr>
          <w:sz w:val="19"/>
        </w:rPr>
      </w:pPr>
      <w:r>
        <w:rPr>
          <w:sz w:val="19"/>
        </w:rPr>
        <w:lastRenderedPageBreak/>
        <w:t>V případě, že je příjemce podpory plátcem daně z přidané hodnoty a na náklady projektu uplatnil nárok na odpočet daně z přidané hodnoty, nesmí být částka odpovídající dani z přidané hodnoty zahrnuta</w:t>
      </w:r>
      <w:r>
        <w:rPr>
          <w:spacing w:val="-33"/>
          <w:sz w:val="19"/>
        </w:rPr>
        <w:t xml:space="preserve"> </w:t>
      </w:r>
      <w:r>
        <w:rPr>
          <w:sz w:val="19"/>
        </w:rPr>
        <w:t>do</w:t>
      </w:r>
    </w:p>
    <w:p w14:paraId="0DBC4271" w14:textId="77777777" w:rsidR="005A2A8E" w:rsidRDefault="00DB1DC4">
      <w:pPr>
        <w:pStyle w:val="Zkladntext"/>
        <w:spacing w:line="218" w:lineRule="exact"/>
        <w:ind w:left="625"/>
      </w:pPr>
      <w:r>
        <w:t>vyúčtování projektu a použití podpory.</w:t>
      </w:r>
    </w:p>
    <w:p w14:paraId="0A4DACA4" w14:textId="77777777" w:rsidR="005A2A8E" w:rsidRDefault="005A2A8E">
      <w:pPr>
        <w:pStyle w:val="Zkladntext"/>
        <w:spacing w:before="8"/>
        <w:rPr>
          <w:sz w:val="22"/>
        </w:rPr>
      </w:pPr>
    </w:p>
    <w:p w14:paraId="60E4BCE8" w14:textId="77777777" w:rsidR="005A2A8E" w:rsidRDefault="00DB1DC4">
      <w:pPr>
        <w:pStyle w:val="Nadpis1"/>
      </w:pPr>
      <w:r>
        <w:t>Článek</w:t>
      </w:r>
      <w:r>
        <w:rPr>
          <w:spacing w:val="-8"/>
        </w:rPr>
        <w:t xml:space="preserve"> </w:t>
      </w:r>
      <w:r>
        <w:t>7</w:t>
      </w:r>
    </w:p>
    <w:p w14:paraId="42300C5D" w14:textId="77777777" w:rsidR="005A2A8E" w:rsidRDefault="005A2A8E">
      <w:pPr>
        <w:pStyle w:val="Zkladntext"/>
        <w:spacing w:before="6"/>
        <w:rPr>
          <w:b/>
          <w:sz w:val="21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6942"/>
      </w:tblGrid>
      <w:tr w:rsidR="005A2A8E" w14:paraId="5ECD32DE" w14:textId="77777777">
        <w:trPr>
          <w:trHeight w:val="616"/>
        </w:trPr>
        <w:tc>
          <w:tcPr>
            <w:tcW w:w="2688" w:type="dxa"/>
          </w:tcPr>
          <w:p w14:paraId="48571DD5" w14:textId="77777777" w:rsidR="005A2A8E" w:rsidRDefault="00DB1DC4">
            <w:pPr>
              <w:pStyle w:val="TableParagraph"/>
              <w:spacing w:line="264" w:lineRule="auto"/>
              <w:ind w:right="561"/>
              <w:rPr>
                <w:b/>
                <w:sz w:val="19"/>
              </w:rPr>
            </w:pPr>
            <w:r>
              <w:rPr>
                <w:b/>
                <w:sz w:val="19"/>
              </w:rPr>
              <w:t>7.1.</w:t>
            </w:r>
            <w:r>
              <w:rPr>
                <w:b/>
                <w:sz w:val="19"/>
              </w:rPr>
              <w:t xml:space="preserve"> Uznatelné náklady hrazené z podpory</w:t>
            </w:r>
          </w:p>
        </w:tc>
        <w:tc>
          <w:tcPr>
            <w:tcW w:w="6942" w:type="dxa"/>
          </w:tcPr>
          <w:p w14:paraId="51204A3F" w14:textId="77777777" w:rsidR="005A2A8E" w:rsidRDefault="00DB1DC4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Uznatelné náklady jsou v souladu s odst. 7.9.2. písm. a) až d) Statutu Fondu.</w:t>
            </w:r>
          </w:p>
        </w:tc>
      </w:tr>
      <w:tr w:rsidR="005A2A8E" w14:paraId="1EE01BDD" w14:textId="77777777">
        <w:trPr>
          <w:trHeight w:val="616"/>
        </w:trPr>
        <w:tc>
          <w:tcPr>
            <w:tcW w:w="2688" w:type="dxa"/>
          </w:tcPr>
          <w:p w14:paraId="012562A4" w14:textId="77777777" w:rsidR="005A2A8E" w:rsidRDefault="00DB1DC4">
            <w:pPr>
              <w:pStyle w:val="TableParagraph"/>
              <w:spacing w:line="264" w:lineRule="auto"/>
              <w:ind w:right="150"/>
              <w:rPr>
                <w:b/>
                <w:sz w:val="19"/>
              </w:rPr>
            </w:pPr>
            <w:r>
              <w:rPr>
                <w:b/>
                <w:sz w:val="19"/>
              </w:rPr>
              <w:t>7.2. Neuznatelné náklady hrazené z podpory</w:t>
            </w:r>
          </w:p>
        </w:tc>
        <w:tc>
          <w:tcPr>
            <w:tcW w:w="6942" w:type="dxa"/>
          </w:tcPr>
          <w:p w14:paraId="1245E7F3" w14:textId="77777777" w:rsidR="005A2A8E" w:rsidRDefault="00DB1DC4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Neuznatelné náklady jsou náklady dle odst. 7.9.3. Statutu Fondu.</w:t>
            </w:r>
          </w:p>
        </w:tc>
      </w:tr>
      <w:tr w:rsidR="005A2A8E" w14:paraId="22B3914B" w14:textId="77777777">
        <w:trPr>
          <w:trHeight w:val="856"/>
        </w:trPr>
        <w:tc>
          <w:tcPr>
            <w:tcW w:w="2688" w:type="dxa"/>
          </w:tcPr>
          <w:p w14:paraId="1699B050" w14:textId="77777777" w:rsidR="005A2A8E" w:rsidRDefault="00DB1DC4">
            <w:pPr>
              <w:pStyle w:val="TableParagraph"/>
              <w:spacing w:line="264" w:lineRule="auto"/>
              <w:ind w:right="150"/>
              <w:rPr>
                <w:b/>
                <w:sz w:val="19"/>
              </w:rPr>
            </w:pPr>
            <w:r>
              <w:rPr>
                <w:b/>
                <w:sz w:val="19"/>
              </w:rPr>
              <w:t>7.3. Časové uznatelné náklady h</w:t>
            </w:r>
            <w:r>
              <w:rPr>
                <w:b/>
                <w:sz w:val="19"/>
              </w:rPr>
              <w:t>razené z podpory</w:t>
            </w:r>
          </w:p>
        </w:tc>
        <w:tc>
          <w:tcPr>
            <w:tcW w:w="6942" w:type="dxa"/>
          </w:tcPr>
          <w:p w14:paraId="210D9FAE" w14:textId="77777777" w:rsidR="005A2A8E" w:rsidRDefault="00DB1DC4">
            <w:pPr>
              <w:pStyle w:val="TableParagraph"/>
              <w:spacing w:line="264" w:lineRule="auto"/>
              <w:ind w:right="550"/>
              <w:rPr>
                <w:sz w:val="19"/>
              </w:rPr>
            </w:pPr>
            <w:r>
              <w:rPr>
                <w:b/>
                <w:sz w:val="19"/>
              </w:rPr>
              <w:t xml:space="preserve">Náklady vynaložené příjemcem podpory mezi dnem podání žádosti o podporu kinematografie a lhůtou pro předložení vyúčtování </w:t>
            </w:r>
            <w:r>
              <w:rPr>
                <w:sz w:val="19"/>
              </w:rPr>
              <w:t>dle čl. 6.2. rozhodnutí ve smyslu odst. 7.9.2 písm. a) a c) Statutu Fondu.</w:t>
            </w:r>
          </w:p>
        </w:tc>
      </w:tr>
    </w:tbl>
    <w:p w14:paraId="5DD9B97B" w14:textId="77777777" w:rsidR="005A2A8E" w:rsidRDefault="005A2A8E">
      <w:pPr>
        <w:pStyle w:val="Zkladntext"/>
        <w:rPr>
          <w:b/>
          <w:sz w:val="22"/>
        </w:rPr>
      </w:pPr>
    </w:p>
    <w:p w14:paraId="04AD93F8" w14:textId="77777777" w:rsidR="005A2A8E" w:rsidRDefault="00DB1DC4">
      <w:pPr>
        <w:spacing w:before="1"/>
        <w:ind w:left="192"/>
        <w:rPr>
          <w:b/>
          <w:sz w:val="19"/>
        </w:rPr>
      </w:pPr>
      <w:r>
        <w:rPr>
          <w:b/>
          <w:sz w:val="19"/>
        </w:rPr>
        <w:t>Článek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8</w:t>
      </w:r>
    </w:p>
    <w:p w14:paraId="121238A9" w14:textId="77777777" w:rsidR="005A2A8E" w:rsidRDefault="005A2A8E">
      <w:pPr>
        <w:pStyle w:val="Zkladntext"/>
        <w:spacing w:before="8"/>
        <w:rPr>
          <w:b/>
          <w:sz w:val="22"/>
        </w:rPr>
      </w:pPr>
    </w:p>
    <w:p w14:paraId="60145B46" w14:textId="77777777" w:rsidR="005A2A8E" w:rsidRDefault="00DB1DC4">
      <w:pPr>
        <w:pStyle w:val="Odstavecseseznamem"/>
        <w:numPr>
          <w:ilvl w:val="1"/>
          <w:numId w:val="2"/>
        </w:numPr>
        <w:tabs>
          <w:tab w:val="left" w:pos="626"/>
        </w:tabs>
        <w:spacing w:before="1"/>
        <w:ind w:hanging="434"/>
        <w:rPr>
          <w:sz w:val="19"/>
        </w:rPr>
      </w:pPr>
      <w:r>
        <w:rPr>
          <w:sz w:val="19"/>
        </w:rPr>
        <w:t>Příjemce podpory je</w:t>
      </w:r>
      <w:r>
        <w:rPr>
          <w:spacing w:val="-1"/>
          <w:sz w:val="19"/>
        </w:rPr>
        <w:t xml:space="preserve"> </w:t>
      </w:r>
      <w:r>
        <w:rPr>
          <w:sz w:val="19"/>
        </w:rPr>
        <w:t>povinen:</w:t>
      </w:r>
    </w:p>
    <w:p w14:paraId="07FE68E5" w14:textId="77777777" w:rsidR="005A2A8E" w:rsidRDefault="00DB1DC4">
      <w:pPr>
        <w:pStyle w:val="Odstavecseseznamem"/>
        <w:numPr>
          <w:ilvl w:val="2"/>
          <w:numId w:val="2"/>
        </w:numPr>
        <w:tabs>
          <w:tab w:val="left" w:pos="1130"/>
        </w:tabs>
        <w:spacing w:before="21"/>
        <w:ind w:hanging="505"/>
        <w:rPr>
          <w:sz w:val="19"/>
        </w:rPr>
      </w:pPr>
      <w:r>
        <w:rPr>
          <w:sz w:val="19"/>
        </w:rPr>
        <w:t>Fond průběžně píse</w:t>
      </w:r>
      <w:r>
        <w:rPr>
          <w:sz w:val="19"/>
        </w:rPr>
        <w:t>mně informovat o výši využití finančních prostředků z čerpané podpory, a to</w:t>
      </w:r>
      <w:r>
        <w:rPr>
          <w:spacing w:val="-38"/>
          <w:sz w:val="19"/>
        </w:rPr>
        <w:t xml:space="preserve"> </w:t>
      </w:r>
      <w:r>
        <w:rPr>
          <w:sz w:val="19"/>
        </w:rPr>
        <w:t>na</w:t>
      </w:r>
    </w:p>
    <w:p w14:paraId="460AD236" w14:textId="77777777" w:rsidR="005A2A8E" w:rsidRDefault="00DB1DC4">
      <w:pPr>
        <w:pStyle w:val="Zkladntext"/>
        <w:spacing w:before="22" w:line="264" w:lineRule="auto"/>
        <w:ind w:left="1129" w:right="162"/>
      </w:pPr>
      <w:r>
        <w:t>formuláři k tomuto účelu Fondem vydaném (hlášení o spotřebě finančních prostředků), nejpozději k 10. lednu za předchozí kalendářní rok. Tato povinnost se nevztahuje na kalendářn</w:t>
      </w:r>
      <w:r>
        <w:t>í rok:</w:t>
      </w:r>
    </w:p>
    <w:p w14:paraId="282F4439" w14:textId="77777777" w:rsidR="005A2A8E" w:rsidRDefault="00DB1DC4">
      <w:pPr>
        <w:pStyle w:val="Zkladntext"/>
        <w:spacing w:line="218" w:lineRule="exact"/>
        <w:ind w:left="1129"/>
      </w:pPr>
      <w:r>
        <w:t>8.1.1.1.v jehož průběhu má být předloženo konečné vyúčtování projektu;</w:t>
      </w:r>
    </w:p>
    <w:p w14:paraId="38591A0C" w14:textId="77777777" w:rsidR="005A2A8E" w:rsidRDefault="00DB1DC4">
      <w:pPr>
        <w:pStyle w:val="Zkladntext"/>
        <w:spacing w:before="21" w:line="256" w:lineRule="auto"/>
        <w:ind w:left="1777" w:right="189" w:hanging="648"/>
        <w:rPr>
          <w:rFonts w:ascii="Symbol" w:hAnsi="Symbol"/>
        </w:rPr>
      </w:pPr>
      <w:r>
        <w:t>8.1.1.2.v jehož průběhu příjemce podpory podporu nebo její část nečerpal a současně z hlášení o spotřebě finančních prostředků za předcházející kalendářní rok (předcházející kalendářní roky) vyplývá, že čerpaná podpora nebo její část byla plně spotřebována</w:t>
      </w:r>
      <w:r>
        <w:rPr>
          <w:rFonts w:ascii="Symbol" w:hAnsi="Symbol"/>
        </w:rPr>
        <w:t></w:t>
      </w:r>
    </w:p>
    <w:p w14:paraId="4D4901F2" w14:textId="77777777" w:rsidR="005A2A8E" w:rsidRDefault="00DB1DC4">
      <w:pPr>
        <w:pStyle w:val="Odstavecseseznamem"/>
        <w:numPr>
          <w:ilvl w:val="2"/>
          <w:numId w:val="2"/>
        </w:numPr>
        <w:tabs>
          <w:tab w:val="left" w:pos="1130"/>
        </w:tabs>
        <w:spacing w:before="4"/>
        <w:ind w:hanging="505"/>
        <w:rPr>
          <w:sz w:val="19"/>
        </w:rPr>
      </w:pPr>
      <w:r>
        <w:rPr>
          <w:sz w:val="19"/>
        </w:rPr>
        <w:t>uvádět na všech materiálech vytvořených v rámci projektu nebo souvisejících s jeho</w:t>
      </w:r>
      <w:r>
        <w:rPr>
          <w:spacing w:val="-22"/>
          <w:sz w:val="19"/>
        </w:rPr>
        <w:t xml:space="preserve"> </w:t>
      </w:r>
      <w:r>
        <w:rPr>
          <w:sz w:val="19"/>
        </w:rPr>
        <w:t>realizací</w:t>
      </w:r>
    </w:p>
    <w:p w14:paraId="04DC749D" w14:textId="77777777" w:rsidR="005A2A8E" w:rsidRDefault="00DB1DC4">
      <w:pPr>
        <w:pStyle w:val="Zkladntext"/>
        <w:spacing w:before="21" w:line="264" w:lineRule="auto"/>
        <w:ind w:left="1129" w:right="299"/>
      </w:pPr>
      <w:r>
        <w:t>identifikaci Fondu jakožto poskytovatele podpory formou loga Fondu a textu poskytujícího informaci o tom, že projekt byl realizován s podporou Fondu ve formě, kt</w:t>
      </w:r>
      <w:r>
        <w:t>erá bude zveřejněna na webu Fondu;</w:t>
      </w:r>
    </w:p>
    <w:p w14:paraId="18725A65" w14:textId="77777777" w:rsidR="005A2A8E" w:rsidRDefault="00DB1DC4">
      <w:pPr>
        <w:pStyle w:val="Odstavecseseznamem"/>
        <w:numPr>
          <w:ilvl w:val="2"/>
          <w:numId w:val="2"/>
        </w:numPr>
        <w:tabs>
          <w:tab w:val="left" w:pos="1130"/>
        </w:tabs>
        <w:spacing w:line="218" w:lineRule="exact"/>
        <w:ind w:hanging="505"/>
        <w:rPr>
          <w:sz w:val="19"/>
        </w:rPr>
      </w:pPr>
      <w:r>
        <w:rPr>
          <w:sz w:val="19"/>
        </w:rPr>
        <w:t>používat podporu hospodárně, účelně, efektivně a v souladu s právními</w:t>
      </w:r>
      <w:r>
        <w:rPr>
          <w:spacing w:val="-12"/>
          <w:sz w:val="19"/>
        </w:rPr>
        <w:t xml:space="preserve"> </w:t>
      </w:r>
      <w:r>
        <w:rPr>
          <w:sz w:val="19"/>
        </w:rPr>
        <w:t>předpisy;</w:t>
      </w:r>
    </w:p>
    <w:p w14:paraId="7602805F" w14:textId="77777777" w:rsidR="005A2A8E" w:rsidRDefault="00DB1DC4">
      <w:pPr>
        <w:pStyle w:val="Odstavecseseznamem"/>
        <w:numPr>
          <w:ilvl w:val="2"/>
          <w:numId w:val="2"/>
        </w:numPr>
        <w:tabs>
          <w:tab w:val="left" w:pos="1130"/>
        </w:tabs>
        <w:spacing w:before="22" w:line="264" w:lineRule="auto"/>
        <w:ind w:right="153"/>
        <w:rPr>
          <w:sz w:val="19"/>
        </w:rPr>
      </w:pPr>
      <w:r>
        <w:rPr>
          <w:sz w:val="19"/>
        </w:rPr>
        <w:t>vést oddělenou, průkaznou a průběžnou evidenci (podle zákona č. 563/1991 Sb., o účetnictví, ve znění pozdějších předpisů) o použití podpory, o celkových výdajích na projekt a o příjmech</w:t>
      </w:r>
      <w:r>
        <w:rPr>
          <w:spacing w:val="-37"/>
          <w:sz w:val="19"/>
        </w:rPr>
        <w:t xml:space="preserve"> </w:t>
      </w:r>
      <w:r>
        <w:rPr>
          <w:sz w:val="19"/>
        </w:rPr>
        <w:t>plynoucích</w:t>
      </w:r>
    </w:p>
    <w:p w14:paraId="5903B8BE" w14:textId="77777777" w:rsidR="005A2A8E" w:rsidRDefault="00DB1DC4">
      <w:pPr>
        <w:pStyle w:val="Zkladntext"/>
        <w:spacing w:line="264" w:lineRule="auto"/>
        <w:ind w:left="1129" w:right="193"/>
      </w:pPr>
      <w:r>
        <w:t>z výroby, šíření a každého jiného užití projektu, umožnit F</w:t>
      </w:r>
      <w:r>
        <w:t>ondu do této evidence a příslušných dokladů nahlížet;</w:t>
      </w:r>
    </w:p>
    <w:p w14:paraId="7ED33127" w14:textId="77777777" w:rsidR="005A2A8E" w:rsidRDefault="00DB1DC4">
      <w:pPr>
        <w:pStyle w:val="Odstavecseseznamem"/>
        <w:numPr>
          <w:ilvl w:val="2"/>
          <w:numId w:val="2"/>
        </w:numPr>
        <w:tabs>
          <w:tab w:val="left" w:pos="1130"/>
        </w:tabs>
        <w:spacing w:line="264" w:lineRule="auto"/>
        <w:ind w:right="280"/>
        <w:rPr>
          <w:sz w:val="19"/>
        </w:rPr>
      </w:pPr>
      <w:r>
        <w:rPr>
          <w:color w:val="211E1F"/>
          <w:sz w:val="19"/>
        </w:rPr>
        <w:t xml:space="preserve">na výzvu Fondu informovat Fond o jakýchkoli okolnostech průběhu realizace projektu a/nebo dodat Fondu jím požadované dokumenty týkající se realizace projektu či žadatele (např. písemnou zprávu o stupni </w:t>
      </w:r>
      <w:r>
        <w:rPr>
          <w:color w:val="211E1F"/>
          <w:sz w:val="19"/>
        </w:rPr>
        <w:t xml:space="preserve">rozpracovanosti projektu, kopie účetních dokladů prokazujících použití podpory, předložit kopie dokladů (smluv, rozhodnutí apod.) prokazující výši zdrojů financování dle předloženého vyúčtování, podklady pro ověření pravdivosti údajů obsažených v čestných </w:t>
      </w:r>
      <w:r>
        <w:rPr>
          <w:color w:val="211E1F"/>
          <w:sz w:val="19"/>
        </w:rPr>
        <w:t xml:space="preserve">prohlášeních žadatele apod.), </w:t>
      </w:r>
      <w:r>
        <w:rPr>
          <w:sz w:val="19"/>
        </w:rPr>
        <w:t>a to do 15 dnů ode dne, kdy mu bude doručena výzva</w:t>
      </w:r>
      <w:r>
        <w:rPr>
          <w:spacing w:val="-3"/>
          <w:sz w:val="19"/>
        </w:rPr>
        <w:t xml:space="preserve"> </w:t>
      </w:r>
      <w:r>
        <w:rPr>
          <w:sz w:val="19"/>
        </w:rPr>
        <w:t>Fondu;</w:t>
      </w:r>
    </w:p>
    <w:p w14:paraId="0711A719" w14:textId="77777777" w:rsidR="005A2A8E" w:rsidRDefault="00DB1DC4">
      <w:pPr>
        <w:pStyle w:val="Odstavecseseznamem"/>
        <w:numPr>
          <w:ilvl w:val="2"/>
          <w:numId w:val="2"/>
        </w:numPr>
        <w:tabs>
          <w:tab w:val="left" w:pos="1130"/>
        </w:tabs>
        <w:spacing w:line="264" w:lineRule="auto"/>
        <w:ind w:right="224"/>
        <w:rPr>
          <w:sz w:val="19"/>
        </w:rPr>
      </w:pPr>
      <w:r>
        <w:rPr>
          <w:sz w:val="19"/>
        </w:rPr>
        <w:t>umožnit</w:t>
      </w:r>
      <w:r>
        <w:rPr>
          <w:spacing w:val="-5"/>
          <w:sz w:val="19"/>
        </w:rPr>
        <w:t xml:space="preserve"> </w:t>
      </w:r>
      <w:r>
        <w:rPr>
          <w:sz w:val="19"/>
        </w:rPr>
        <w:t>Fondu</w:t>
      </w:r>
      <w:r>
        <w:rPr>
          <w:spacing w:val="-4"/>
          <w:sz w:val="19"/>
        </w:rPr>
        <w:t xml:space="preserve"> </w:t>
      </w:r>
      <w:r>
        <w:rPr>
          <w:sz w:val="19"/>
        </w:rPr>
        <w:t>provedení</w:t>
      </w:r>
      <w:r>
        <w:rPr>
          <w:spacing w:val="-4"/>
          <w:sz w:val="19"/>
        </w:rPr>
        <w:t xml:space="preserve"> </w:t>
      </w:r>
      <w:r>
        <w:rPr>
          <w:sz w:val="19"/>
        </w:rPr>
        <w:t>kontroly</w:t>
      </w:r>
      <w:r>
        <w:rPr>
          <w:spacing w:val="-3"/>
          <w:sz w:val="19"/>
        </w:rPr>
        <w:t xml:space="preserve"> </w:t>
      </w:r>
      <w:r>
        <w:rPr>
          <w:sz w:val="19"/>
        </w:rPr>
        <w:t>dle</w:t>
      </w:r>
      <w:r>
        <w:rPr>
          <w:spacing w:val="-4"/>
          <w:sz w:val="19"/>
        </w:rPr>
        <w:t xml:space="preserve"> </w:t>
      </w:r>
      <w:r>
        <w:rPr>
          <w:sz w:val="19"/>
        </w:rPr>
        <w:t>zákona</w:t>
      </w:r>
      <w:r>
        <w:rPr>
          <w:spacing w:val="-4"/>
          <w:sz w:val="19"/>
        </w:rPr>
        <w:t xml:space="preserve"> </w:t>
      </w:r>
      <w:r>
        <w:rPr>
          <w:sz w:val="19"/>
        </w:rPr>
        <w:t>č.</w:t>
      </w:r>
      <w:r>
        <w:rPr>
          <w:spacing w:val="-4"/>
          <w:sz w:val="19"/>
        </w:rPr>
        <w:t xml:space="preserve"> </w:t>
      </w:r>
      <w:r>
        <w:rPr>
          <w:sz w:val="19"/>
        </w:rPr>
        <w:t>320/2001</w:t>
      </w:r>
      <w:r>
        <w:rPr>
          <w:spacing w:val="-4"/>
          <w:sz w:val="19"/>
        </w:rPr>
        <w:t xml:space="preserve"> </w:t>
      </w:r>
      <w:r>
        <w:rPr>
          <w:sz w:val="19"/>
        </w:rPr>
        <w:t>Sb.,</w:t>
      </w:r>
      <w:r>
        <w:rPr>
          <w:spacing w:val="-4"/>
          <w:sz w:val="19"/>
        </w:rPr>
        <w:t xml:space="preserve"> </w:t>
      </w:r>
      <w:r>
        <w:rPr>
          <w:sz w:val="19"/>
        </w:rPr>
        <w:t>o</w:t>
      </w:r>
      <w:r>
        <w:rPr>
          <w:spacing w:val="-3"/>
          <w:sz w:val="19"/>
        </w:rPr>
        <w:t xml:space="preserve"> </w:t>
      </w:r>
      <w:r>
        <w:rPr>
          <w:sz w:val="19"/>
        </w:rPr>
        <w:t>finanční</w:t>
      </w:r>
      <w:r>
        <w:rPr>
          <w:spacing w:val="-4"/>
          <w:sz w:val="19"/>
        </w:rPr>
        <w:t xml:space="preserve"> </w:t>
      </w:r>
      <w:r>
        <w:rPr>
          <w:sz w:val="19"/>
        </w:rPr>
        <w:t>kontrole</w:t>
      </w:r>
      <w:r>
        <w:rPr>
          <w:spacing w:val="-7"/>
          <w:sz w:val="19"/>
        </w:rPr>
        <w:t xml:space="preserve"> </w:t>
      </w:r>
      <w:r>
        <w:rPr>
          <w:sz w:val="19"/>
        </w:rPr>
        <w:t>ve</w:t>
      </w:r>
      <w:r>
        <w:rPr>
          <w:spacing w:val="-6"/>
          <w:sz w:val="19"/>
        </w:rPr>
        <w:t xml:space="preserve"> </w:t>
      </w:r>
      <w:r>
        <w:rPr>
          <w:sz w:val="19"/>
        </w:rPr>
        <w:t>veřejné</w:t>
      </w:r>
      <w:r>
        <w:rPr>
          <w:spacing w:val="-4"/>
          <w:sz w:val="19"/>
        </w:rPr>
        <w:t xml:space="preserve"> </w:t>
      </w:r>
      <w:r>
        <w:rPr>
          <w:sz w:val="19"/>
        </w:rPr>
        <w:t>správě</w:t>
      </w:r>
      <w:r>
        <w:rPr>
          <w:spacing w:val="-4"/>
          <w:sz w:val="19"/>
        </w:rPr>
        <w:t xml:space="preserve"> </w:t>
      </w:r>
      <w:r>
        <w:rPr>
          <w:sz w:val="19"/>
        </w:rPr>
        <w:t>a o změně některých zákonů, ve znění pozdějších předpisů, a zákona č.</w:t>
      </w:r>
      <w:r>
        <w:rPr>
          <w:sz w:val="19"/>
        </w:rPr>
        <w:t xml:space="preserve"> 255/2012 Sb., o kontrole (kontrolní řád), ve znění pozdějších předpisů, a provedení kontroly dodržování podmínek stanovených tímto rozhodnutím a poskytnout mu k tomu nezbytnou</w:t>
      </w:r>
      <w:r>
        <w:rPr>
          <w:spacing w:val="-5"/>
          <w:sz w:val="19"/>
        </w:rPr>
        <w:t xml:space="preserve"> </w:t>
      </w:r>
      <w:r>
        <w:rPr>
          <w:sz w:val="19"/>
        </w:rPr>
        <w:t>součinnost;</w:t>
      </w:r>
    </w:p>
    <w:p w14:paraId="4B441C5C" w14:textId="77777777" w:rsidR="005A2A8E" w:rsidRDefault="00DB1DC4">
      <w:pPr>
        <w:pStyle w:val="Odstavecseseznamem"/>
        <w:numPr>
          <w:ilvl w:val="2"/>
          <w:numId w:val="2"/>
        </w:numPr>
        <w:tabs>
          <w:tab w:val="left" w:pos="1130"/>
        </w:tabs>
        <w:spacing w:line="264" w:lineRule="auto"/>
        <w:ind w:right="126"/>
        <w:jc w:val="both"/>
        <w:rPr>
          <w:sz w:val="19"/>
        </w:rPr>
      </w:pPr>
      <w:r>
        <w:rPr>
          <w:sz w:val="19"/>
        </w:rPr>
        <w:t>postupovat v souladu se zákonem č. 134/2016 Sb., o zadávání veřejný</w:t>
      </w:r>
      <w:r>
        <w:rPr>
          <w:sz w:val="19"/>
        </w:rPr>
        <w:t>ch zakázek, ve znění pozdějších předpisů (dále jen „zákon o zadávání“), pokud je veřejným zadavatelem nebo zadavatelem ve smyslu § 4 zákona o</w:t>
      </w:r>
      <w:r>
        <w:rPr>
          <w:spacing w:val="-3"/>
          <w:sz w:val="19"/>
        </w:rPr>
        <w:t xml:space="preserve"> </w:t>
      </w:r>
      <w:r>
        <w:rPr>
          <w:sz w:val="19"/>
        </w:rPr>
        <w:t>zadávání.</w:t>
      </w:r>
    </w:p>
    <w:p w14:paraId="0F00CAB2" w14:textId="77777777" w:rsidR="005A2A8E" w:rsidRDefault="00DB1DC4">
      <w:pPr>
        <w:pStyle w:val="Odstavecseseznamem"/>
        <w:numPr>
          <w:ilvl w:val="1"/>
          <w:numId w:val="2"/>
        </w:numPr>
        <w:tabs>
          <w:tab w:val="left" w:pos="626"/>
        </w:tabs>
        <w:spacing w:line="217" w:lineRule="exact"/>
        <w:ind w:hanging="434"/>
        <w:rPr>
          <w:sz w:val="19"/>
        </w:rPr>
      </w:pPr>
      <w:r>
        <w:rPr>
          <w:sz w:val="19"/>
        </w:rPr>
        <w:t>V souladu s § 38 zákona zveřejňuje Fond údaje vztahující se k</w:t>
      </w:r>
      <w:r>
        <w:rPr>
          <w:spacing w:val="-9"/>
          <w:sz w:val="19"/>
        </w:rPr>
        <w:t xml:space="preserve"> </w:t>
      </w:r>
      <w:r>
        <w:rPr>
          <w:sz w:val="19"/>
        </w:rPr>
        <w:t>projektu.</w:t>
      </w:r>
    </w:p>
    <w:p w14:paraId="2C6CB6E7" w14:textId="77777777" w:rsidR="005A2A8E" w:rsidRDefault="00DB1DC4">
      <w:pPr>
        <w:pStyle w:val="Odstavecseseznamem"/>
        <w:numPr>
          <w:ilvl w:val="1"/>
          <w:numId w:val="2"/>
        </w:numPr>
        <w:tabs>
          <w:tab w:val="left" w:pos="626"/>
        </w:tabs>
        <w:spacing w:before="17" w:line="264" w:lineRule="auto"/>
        <w:ind w:right="313"/>
        <w:rPr>
          <w:sz w:val="19"/>
        </w:rPr>
      </w:pPr>
      <w:r>
        <w:rPr>
          <w:sz w:val="19"/>
        </w:rPr>
        <w:t>V souladu se zákonem č. 218/2000 Sb., o rozpočtových pravidlech a o změně některých souvisejících zákonů (rozpočtová pravidla), ve znění pozdějších předpisů (dále jen „rozpočtová pravidla“), a vyhláškou Ministerstva financí č. 286/2007, o centrální evidenc</w:t>
      </w:r>
      <w:r>
        <w:rPr>
          <w:sz w:val="19"/>
        </w:rPr>
        <w:t>i dotací, ve znění pozdějších předpisů, je Fond povinen zaznamenat v centrální evidenci dotací a návratných finančních výpomocí údaje o poskytnuté podpoře a jejím</w:t>
      </w:r>
      <w:r>
        <w:rPr>
          <w:spacing w:val="-1"/>
          <w:sz w:val="19"/>
        </w:rPr>
        <w:t xml:space="preserve"> </w:t>
      </w:r>
      <w:r>
        <w:rPr>
          <w:sz w:val="19"/>
        </w:rPr>
        <w:t>příjemci.</w:t>
      </w:r>
    </w:p>
    <w:p w14:paraId="61B18426" w14:textId="77777777" w:rsidR="005A2A8E" w:rsidRDefault="00DB1DC4">
      <w:pPr>
        <w:pStyle w:val="Odstavecseseznamem"/>
        <w:numPr>
          <w:ilvl w:val="1"/>
          <w:numId w:val="2"/>
        </w:numPr>
        <w:tabs>
          <w:tab w:val="left" w:pos="626"/>
        </w:tabs>
        <w:spacing w:line="264" w:lineRule="auto"/>
        <w:ind w:right="230"/>
        <w:rPr>
          <w:sz w:val="19"/>
        </w:rPr>
      </w:pPr>
      <w:r>
        <w:rPr>
          <w:sz w:val="19"/>
        </w:rPr>
        <w:t>Fond</w:t>
      </w:r>
      <w:r>
        <w:rPr>
          <w:spacing w:val="-3"/>
          <w:sz w:val="19"/>
        </w:rPr>
        <w:t xml:space="preserve"> </w:t>
      </w:r>
      <w:r>
        <w:rPr>
          <w:sz w:val="19"/>
        </w:rPr>
        <w:t>je</w:t>
      </w:r>
      <w:r>
        <w:rPr>
          <w:spacing w:val="-4"/>
          <w:sz w:val="19"/>
        </w:rPr>
        <w:t xml:space="preserve"> </w:t>
      </w:r>
      <w:r>
        <w:rPr>
          <w:sz w:val="19"/>
        </w:rPr>
        <w:t>osobou,</w:t>
      </w:r>
      <w:r>
        <w:rPr>
          <w:spacing w:val="-4"/>
          <w:sz w:val="19"/>
        </w:rPr>
        <w:t xml:space="preserve"> </w:t>
      </w:r>
      <w:r>
        <w:rPr>
          <w:sz w:val="19"/>
        </w:rPr>
        <w:t>na</w:t>
      </w:r>
      <w:r>
        <w:rPr>
          <w:spacing w:val="-3"/>
          <w:sz w:val="19"/>
        </w:rPr>
        <w:t xml:space="preserve"> </w:t>
      </w:r>
      <w:r>
        <w:rPr>
          <w:sz w:val="19"/>
        </w:rPr>
        <w:t>níž</w:t>
      </w:r>
      <w:r>
        <w:rPr>
          <w:spacing w:val="-2"/>
          <w:sz w:val="19"/>
        </w:rPr>
        <w:t xml:space="preserve"> </w:t>
      </w:r>
      <w:r>
        <w:rPr>
          <w:sz w:val="19"/>
        </w:rPr>
        <w:t>se</w:t>
      </w:r>
      <w:r>
        <w:rPr>
          <w:spacing w:val="-4"/>
          <w:sz w:val="19"/>
        </w:rPr>
        <w:t xml:space="preserve"> </w:t>
      </w:r>
      <w:r>
        <w:rPr>
          <w:sz w:val="19"/>
        </w:rPr>
        <w:t>vztahuje</w:t>
      </w:r>
      <w:r>
        <w:rPr>
          <w:spacing w:val="-4"/>
          <w:sz w:val="19"/>
        </w:rPr>
        <w:t xml:space="preserve"> </w:t>
      </w:r>
      <w:r>
        <w:rPr>
          <w:sz w:val="19"/>
        </w:rPr>
        <w:t>informační</w:t>
      </w:r>
      <w:r>
        <w:rPr>
          <w:spacing w:val="-4"/>
          <w:sz w:val="19"/>
        </w:rPr>
        <w:t xml:space="preserve"> </w:t>
      </w:r>
      <w:r>
        <w:rPr>
          <w:sz w:val="19"/>
        </w:rPr>
        <w:t>povinnost</w:t>
      </w:r>
      <w:r>
        <w:rPr>
          <w:spacing w:val="-6"/>
          <w:sz w:val="19"/>
        </w:rPr>
        <w:t xml:space="preserve"> </w:t>
      </w:r>
      <w:r>
        <w:rPr>
          <w:sz w:val="19"/>
        </w:rPr>
        <w:t>dle</w:t>
      </w:r>
      <w:r>
        <w:rPr>
          <w:spacing w:val="-4"/>
          <w:sz w:val="19"/>
        </w:rPr>
        <w:t xml:space="preserve"> </w:t>
      </w:r>
      <w:r>
        <w:rPr>
          <w:sz w:val="19"/>
        </w:rPr>
        <w:t>zákona</w:t>
      </w:r>
      <w:r>
        <w:rPr>
          <w:spacing w:val="-3"/>
          <w:sz w:val="19"/>
        </w:rPr>
        <w:t xml:space="preserve"> </w:t>
      </w:r>
      <w:r>
        <w:rPr>
          <w:sz w:val="19"/>
        </w:rPr>
        <w:t>č.</w:t>
      </w:r>
      <w:r>
        <w:rPr>
          <w:spacing w:val="-4"/>
          <w:sz w:val="19"/>
        </w:rPr>
        <w:t xml:space="preserve"> </w:t>
      </w:r>
      <w:r>
        <w:rPr>
          <w:sz w:val="19"/>
        </w:rPr>
        <w:t>106/1999</w:t>
      </w:r>
      <w:r>
        <w:rPr>
          <w:spacing w:val="-4"/>
          <w:sz w:val="19"/>
        </w:rPr>
        <w:t xml:space="preserve"> </w:t>
      </w:r>
      <w:r>
        <w:rPr>
          <w:sz w:val="19"/>
        </w:rPr>
        <w:t>Sb.,</w:t>
      </w:r>
      <w:r>
        <w:rPr>
          <w:spacing w:val="-5"/>
          <w:sz w:val="19"/>
        </w:rPr>
        <w:t xml:space="preserve"> </w:t>
      </w:r>
      <w:r>
        <w:rPr>
          <w:sz w:val="19"/>
        </w:rPr>
        <w:t>o</w:t>
      </w:r>
      <w:r>
        <w:rPr>
          <w:spacing w:val="-4"/>
          <w:sz w:val="19"/>
        </w:rPr>
        <w:t xml:space="preserve"> </w:t>
      </w:r>
      <w:r>
        <w:rPr>
          <w:sz w:val="19"/>
        </w:rPr>
        <w:t>svobodném</w:t>
      </w:r>
      <w:r>
        <w:rPr>
          <w:spacing w:val="-3"/>
          <w:sz w:val="19"/>
        </w:rPr>
        <w:t xml:space="preserve"> </w:t>
      </w:r>
      <w:r>
        <w:rPr>
          <w:sz w:val="19"/>
        </w:rPr>
        <w:t>přístupu k informacím, ve znění pozdějších</w:t>
      </w:r>
      <w:r>
        <w:rPr>
          <w:spacing w:val="-5"/>
          <w:sz w:val="19"/>
        </w:rPr>
        <w:t xml:space="preserve"> </w:t>
      </w:r>
      <w:r>
        <w:rPr>
          <w:sz w:val="19"/>
        </w:rPr>
        <w:t>předpisů.</w:t>
      </w:r>
    </w:p>
    <w:p w14:paraId="7227838A" w14:textId="77777777" w:rsidR="005A2A8E" w:rsidRDefault="005A2A8E">
      <w:pPr>
        <w:spacing w:line="264" w:lineRule="auto"/>
        <w:rPr>
          <w:sz w:val="19"/>
        </w:rPr>
        <w:sectPr w:rsidR="005A2A8E">
          <w:pgSz w:w="11910" w:h="16840"/>
          <w:pgMar w:top="1100" w:right="1020" w:bottom="1540" w:left="940" w:header="0" w:footer="1350" w:gutter="0"/>
          <w:cols w:space="708"/>
        </w:sectPr>
      </w:pPr>
    </w:p>
    <w:p w14:paraId="70EE27E3" w14:textId="77777777" w:rsidR="005A2A8E" w:rsidRDefault="00DB1DC4">
      <w:pPr>
        <w:pStyle w:val="Odstavecseseznamem"/>
        <w:numPr>
          <w:ilvl w:val="1"/>
          <w:numId w:val="2"/>
        </w:numPr>
        <w:tabs>
          <w:tab w:val="left" w:pos="626"/>
        </w:tabs>
        <w:spacing w:before="83" w:line="264" w:lineRule="auto"/>
        <w:ind w:right="498"/>
        <w:rPr>
          <w:sz w:val="19"/>
        </w:rPr>
      </w:pPr>
      <w:r>
        <w:rPr>
          <w:sz w:val="19"/>
        </w:rPr>
        <w:lastRenderedPageBreak/>
        <w:t>V případě, že Fond poskytne podporu více fázím realizace téhož kinematografického díla (např. vývoj – výroba</w:t>
      </w:r>
      <w:r>
        <w:rPr>
          <w:spacing w:val="-3"/>
          <w:sz w:val="19"/>
        </w:rPr>
        <w:t xml:space="preserve"> </w:t>
      </w:r>
      <w:r>
        <w:rPr>
          <w:sz w:val="19"/>
        </w:rPr>
        <w:t>–</w:t>
      </w:r>
      <w:r>
        <w:rPr>
          <w:spacing w:val="-3"/>
          <w:sz w:val="19"/>
        </w:rPr>
        <w:t xml:space="preserve"> </w:t>
      </w:r>
      <w:r>
        <w:rPr>
          <w:sz w:val="19"/>
        </w:rPr>
        <w:t>distribuce),</w:t>
      </w:r>
      <w:r>
        <w:rPr>
          <w:spacing w:val="-4"/>
          <w:sz w:val="19"/>
        </w:rPr>
        <w:t xml:space="preserve"> </w:t>
      </w:r>
      <w:r>
        <w:rPr>
          <w:sz w:val="19"/>
        </w:rPr>
        <w:t>jde</w:t>
      </w:r>
      <w:r>
        <w:rPr>
          <w:spacing w:val="-4"/>
          <w:sz w:val="19"/>
        </w:rPr>
        <w:t xml:space="preserve"> </w:t>
      </w:r>
      <w:r>
        <w:rPr>
          <w:sz w:val="19"/>
        </w:rPr>
        <w:t>o</w:t>
      </w:r>
      <w:r>
        <w:rPr>
          <w:spacing w:val="-3"/>
          <w:sz w:val="19"/>
        </w:rPr>
        <w:t xml:space="preserve"> </w:t>
      </w:r>
      <w:r>
        <w:rPr>
          <w:sz w:val="19"/>
        </w:rPr>
        <w:t>samostatné</w:t>
      </w:r>
      <w:r>
        <w:rPr>
          <w:spacing w:val="-3"/>
          <w:sz w:val="19"/>
        </w:rPr>
        <w:t xml:space="preserve"> </w:t>
      </w:r>
      <w:r>
        <w:rPr>
          <w:sz w:val="19"/>
        </w:rPr>
        <w:t>projekty,</w:t>
      </w:r>
      <w:r>
        <w:rPr>
          <w:spacing w:val="-6"/>
          <w:sz w:val="19"/>
        </w:rPr>
        <w:t xml:space="preserve"> </w:t>
      </w:r>
      <w:r>
        <w:rPr>
          <w:sz w:val="19"/>
        </w:rPr>
        <w:t>jejichž</w:t>
      </w:r>
      <w:r>
        <w:rPr>
          <w:spacing w:val="-2"/>
          <w:sz w:val="19"/>
        </w:rPr>
        <w:t xml:space="preserve"> </w:t>
      </w:r>
      <w:r>
        <w:rPr>
          <w:sz w:val="19"/>
        </w:rPr>
        <w:t>náklady</w:t>
      </w:r>
      <w:r>
        <w:rPr>
          <w:spacing w:val="-3"/>
          <w:sz w:val="19"/>
        </w:rPr>
        <w:t xml:space="preserve"> </w:t>
      </w:r>
      <w:r>
        <w:rPr>
          <w:sz w:val="19"/>
        </w:rPr>
        <w:t>ani</w:t>
      </w:r>
      <w:r>
        <w:rPr>
          <w:spacing w:val="-3"/>
          <w:sz w:val="19"/>
        </w:rPr>
        <w:t xml:space="preserve"> </w:t>
      </w:r>
      <w:r>
        <w:rPr>
          <w:sz w:val="19"/>
        </w:rPr>
        <w:t>příjmy</w:t>
      </w:r>
      <w:r>
        <w:rPr>
          <w:spacing w:val="-2"/>
          <w:sz w:val="19"/>
        </w:rPr>
        <w:t xml:space="preserve"> </w:t>
      </w:r>
      <w:r>
        <w:rPr>
          <w:sz w:val="19"/>
        </w:rPr>
        <w:t>se</w:t>
      </w:r>
      <w:r>
        <w:rPr>
          <w:spacing w:val="-4"/>
          <w:sz w:val="19"/>
        </w:rPr>
        <w:t xml:space="preserve"> </w:t>
      </w:r>
      <w:r>
        <w:rPr>
          <w:sz w:val="19"/>
        </w:rPr>
        <w:t>nesčítají,</w:t>
      </w:r>
      <w:r>
        <w:rPr>
          <w:spacing w:val="-6"/>
          <w:sz w:val="19"/>
        </w:rPr>
        <w:t xml:space="preserve"> </w:t>
      </w:r>
      <w:r>
        <w:rPr>
          <w:sz w:val="19"/>
        </w:rPr>
        <w:t>pokud</w:t>
      </w:r>
      <w:r>
        <w:rPr>
          <w:spacing w:val="-4"/>
          <w:sz w:val="19"/>
        </w:rPr>
        <w:t xml:space="preserve"> </w:t>
      </w:r>
      <w:r>
        <w:rPr>
          <w:sz w:val="19"/>
        </w:rPr>
        <w:t>není</w:t>
      </w:r>
      <w:r>
        <w:rPr>
          <w:spacing w:val="-4"/>
          <w:sz w:val="19"/>
        </w:rPr>
        <w:t xml:space="preserve"> </w:t>
      </w:r>
      <w:r>
        <w:rPr>
          <w:sz w:val="19"/>
        </w:rPr>
        <w:t>v</w:t>
      </w:r>
      <w:r>
        <w:rPr>
          <w:spacing w:val="5"/>
          <w:sz w:val="19"/>
        </w:rPr>
        <w:t xml:space="preserve"> </w:t>
      </w:r>
      <w:r>
        <w:rPr>
          <w:sz w:val="19"/>
        </w:rPr>
        <w:t>odst.</w:t>
      </w:r>
    </w:p>
    <w:p w14:paraId="7B7D18E3" w14:textId="77777777" w:rsidR="005A2A8E" w:rsidRDefault="00DB1DC4">
      <w:pPr>
        <w:pStyle w:val="Zkladntext"/>
        <w:spacing w:line="218" w:lineRule="exact"/>
        <w:ind w:left="625"/>
      </w:pPr>
      <w:r>
        <w:t>7.8.4. Statutu Fondu stanoveno jinak.</w:t>
      </w:r>
    </w:p>
    <w:p w14:paraId="0930AC30" w14:textId="77777777" w:rsidR="005A2A8E" w:rsidRDefault="005A2A8E">
      <w:pPr>
        <w:pStyle w:val="Zkladntext"/>
        <w:spacing w:before="8"/>
        <w:rPr>
          <w:sz w:val="22"/>
        </w:rPr>
      </w:pPr>
    </w:p>
    <w:p w14:paraId="2B4A5A52" w14:textId="77777777" w:rsidR="005A2A8E" w:rsidRDefault="00DB1DC4">
      <w:pPr>
        <w:pStyle w:val="Nadpis1"/>
      </w:pPr>
      <w:r>
        <w:t>Článek 9</w:t>
      </w:r>
    </w:p>
    <w:p w14:paraId="5E77CE0F" w14:textId="77777777" w:rsidR="005A2A8E" w:rsidRDefault="005A2A8E">
      <w:pPr>
        <w:pStyle w:val="Zkladntext"/>
        <w:spacing w:before="8"/>
        <w:rPr>
          <w:b/>
          <w:sz w:val="22"/>
        </w:rPr>
      </w:pPr>
    </w:p>
    <w:p w14:paraId="35290039" w14:textId="77777777" w:rsidR="005A2A8E" w:rsidRDefault="00DB1DC4">
      <w:pPr>
        <w:pStyle w:val="Odstavecseseznamem"/>
        <w:numPr>
          <w:ilvl w:val="1"/>
          <w:numId w:val="1"/>
        </w:numPr>
        <w:tabs>
          <w:tab w:val="left" w:pos="626"/>
        </w:tabs>
        <w:spacing w:line="264" w:lineRule="auto"/>
        <w:ind w:right="219"/>
        <w:rPr>
          <w:sz w:val="19"/>
        </w:rPr>
      </w:pPr>
      <w:r>
        <w:rPr>
          <w:sz w:val="19"/>
        </w:rPr>
        <w:t>Porušení nebo nesplnění povinností uvedených v tomto rozhodnutí může být správcem daně (finančním úřadem)</w:t>
      </w:r>
      <w:r>
        <w:rPr>
          <w:spacing w:val="-5"/>
          <w:sz w:val="19"/>
        </w:rPr>
        <w:t xml:space="preserve"> </w:t>
      </w:r>
      <w:r>
        <w:rPr>
          <w:sz w:val="19"/>
        </w:rPr>
        <w:t>postiženo</w:t>
      </w:r>
      <w:r>
        <w:rPr>
          <w:spacing w:val="-4"/>
          <w:sz w:val="19"/>
        </w:rPr>
        <w:t xml:space="preserve"> </w:t>
      </w:r>
      <w:r>
        <w:rPr>
          <w:sz w:val="19"/>
        </w:rPr>
        <w:t>odvodem</w:t>
      </w:r>
      <w:r>
        <w:rPr>
          <w:spacing w:val="-6"/>
          <w:sz w:val="19"/>
        </w:rPr>
        <w:t xml:space="preserve"> </w:t>
      </w:r>
      <w:r>
        <w:rPr>
          <w:sz w:val="19"/>
        </w:rPr>
        <w:t>za</w:t>
      </w:r>
      <w:r>
        <w:rPr>
          <w:spacing w:val="-5"/>
          <w:sz w:val="19"/>
        </w:rPr>
        <w:t xml:space="preserve"> </w:t>
      </w:r>
      <w:r>
        <w:rPr>
          <w:sz w:val="19"/>
        </w:rPr>
        <w:t>porušení</w:t>
      </w:r>
      <w:r>
        <w:rPr>
          <w:spacing w:val="-4"/>
          <w:sz w:val="19"/>
        </w:rPr>
        <w:t xml:space="preserve"> </w:t>
      </w:r>
      <w:r>
        <w:rPr>
          <w:sz w:val="19"/>
        </w:rPr>
        <w:t>rozpočtové</w:t>
      </w:r>
      <w:r>
        <w:rPr>
          <w:spacing w:val="-5"/>
          <w:sz w:val="19"/>
        </w:rPr>
        <w:t xml:space="preserve"> </w:t>
      </w:r>
      <w:r>
        <w:rPr>
          <w:sz w:val="19"/>
        </w:rPr>
        <w:t>kázně</w:t>
      </w:r>
      <w:r>
        <w:rPr>
          <w:spacing w:val="-5"/>
          <w:sz w:val="19"/>
        </w:rPr>
        <w:t xml:space="preserve"> </w:t>
      </w:r>
      <w:r>
        <w:rPr>
          <w:sz w:val="19"/>
        </w:rPr>
        <w:t>po</w:t>
      </w:r>
      <w:r>
        <w:rPr>
          <w:sz w:val="19"/>
        </w:rPr>
        <w:t>dle</w:t>
      </w:r>
      <w:r>
        <w:rPr>
          <w:spacing w:val="-5"/>
          <w:sz w:val="19"/>
        </w:rPr>
        <w:t xml:space="preserve"> </w:t>
      </w:r>
      <w:r>
        <w:rPr>
          <w:sz w:val="19"/>
        </w:rPr>
        <w:t>rozpočtových</w:t>
      </w:r>
      <w:r>
        <w:rPr>
          <w:spacing w:val="-4"/>
          <w:sz w:val="19"/>
        </w:rPr>
        <w:t xml:space="preserve"> </w:t>
      </w:r>
      <w:r>
        <w:rPr>
          <w:sz w:val="19"/>
        </w:rPr>
        <w:t>pravidel.</w:t>
      </w:r>
      <w:r>
        <w:rPr>
          <w:spacing w:val="-5"/>
          <w:sz w:val="19"/>
        </w:rPr>
        <w:t xml:space="preserve"> </w:t>
      </w:r>
      <w:r>
        <w:rPr>
          <w:sz w:val="19"/>
        </w:rPr>
        <w:t>Do</w:t>
      </w:r>
      <w:r>
        <w:rPr>
          <w:spacing w:val="-5"/>
          <w:sz w:val="19"/>
        </w:rPr>
        <w:t xml:space="preserve"> </w:t>
      </w:r>
      <w:r>
        <w:rPr>
          <w:sz w:val="19"/>
        </w:rPr>
        <w:t>doby,</w:t>
      </w:r>
      <w:r>
        <w:rPr>
          <w:spacing w:val="-5"/>
          <w:sz w:val="19"/>
        </w:rPr>
        <w:t xml:space="preserve"> </w:t>
      </w:r>
      <w:r>
        <w:rPr>
          <w:sz w:val="19"/>
        </w:rPr>
        <w:t>než</w:t>
      </w:r>
      <w:r>
        <w:rPr>
          <w:spacing w:val="-2"/>
          <w:sz w:val="19"/>
        </w:rPr>
        <w:t xml:space="preserve"> </w:t>
      </w:r>
      <w:r>
        <w:rPr>
          <w:sz w:val="19"/>
        </w:rPr>
        <w:t>bude řízení</w:t>
      </w:r>
      <w:r>
        <w:rPr>
          <w:spacing w:val="-5"/>
          <w:sz w:val="19"/>
        </w:rPr>
        <w:t xml:space="preserve"> </w:t>
      </w:r>
      <w:r>
        <w:rPr>
          <w:sz w:val="19"/>
        </w:rPr>
        <w:t>vedené</w:t>
      </w:r>
      <w:r>
        <w:rPr>
          <w:spacing w:val="-4"/>
          <w:sz w:val="19"/>
        </w:rPr>
        <w:t xml:space="preserve"> </w:t>
      </w:r>
      <w:r>
        <w:rPr>
          <w:sz w:val="19"/>
        </w:rPr>
        <w:t>správcem</w:t>
      </w:r>
      <w:r>
        <w:rPr>
          <w:spacing w:val="-3"/>
          <w:sz w:val="19"/>
        </w:rPr>
        <w:t xml:space="preserve"> </w:t>
      </w:r>
      <w:r>
        <w:rPr>
          <w:sz w:val="19"/>
        </w:rPr>
        <w:t>daně</w:t>
      </w:r>
      <w:r>
        <w:rPr>
          <w:spacing w:val="-4"/>
          <w:sz w:val="19"/>
        </w:rPr>
        <w:t xml:space="preserve"> </w:t>
      </w:r>
      <w:r>
        <w:rPr>
          <w:sz w:val="19"/>
        </w:rPr>
        <w:t>ukončeno,</w:t>
      </w:r>
      <w:r>
        <w:rPr>
          <w:spacing w:val="-3"/>
          <w:sz w:val="19"/>
        </w:rPr>
        <w:t xml:space="preserve"> </w:t>
      </w:r>
      <w:r>
        <w:rPr>
          <w:sz w:val="19"/>
        </w:rPr>
        <w:t>je</w:t>
      </w:r>
      <w:r>
        <w:rPr>
          <w:spacing w:val="-4"/>
          <w:sz w:val="19"/>
        </w:rPr>
        <w:t xml:space="preserve"> </w:t>
      </w:r>
      <w:r>
        <w:rPr>
          <w:sz w:val="19"/>
        </w:rPr>
        <w:t>příjemce</w:t>
      </w:r>
      <w:r>
        <w:rPr>
          <w:spacing w:val="-4"/>
          <w:sz w:val="19"/>
        </w:rPr>
        <w:t xml:space="preserve"> </w:t>
      </w:r>
      <w:r>
        <w:rPr>
          <w:sz w:val="19"/>
        </w:rPr>
        <w:t>podpory</w:t>
      </w:r>
      <w:r>
        <w:rPr>
          <w:spacing w:val="-3"/>
          <w:sz w:val="19"/>
        </w:rPr>
        <w:t xml:space="preserve"> </w:t>
      </w:r>
      <w:r>
        <w:rPr>
          <w:sz w:val="19"/>
        </w:rPr>
        <w:t>povinen</w:t>
      </w:r>
      <w:r>
        <w:rPr>
          <w:spacing w:val="-3"/>
          <w:sz w:val="19"/>
        </w:rPr>
        <w:t xml:space="preserve"> </w:t>
      </w:r>
      <w:r>
        <w:rPr>
          <w:sz w:val="19"/>
        </w:rPr>
        <w:t>plnit</w:t>
      </w:r>
      <w:r>
        <w:rPr>
          <w:spacing w:val="-6"/>
          <w:sz w:val="19"/>
        </w:rPr>
        <w:t xml:space="preserve"> </w:t>
      </w:r>
      <w:r>
        <w:rPr>
          <w:sz w:val="19"/>
        </w:rPr>
        <w:t>všechny</w:t>
      </w:r>
      <w:r>
        <w:rPr>
          <w:spacing w:val="-2"/>
          <w:sz w:val="19"/>
        </w:rPr>
        <w:t xml:space="preserve"> </w:t>
      </w:r>
      <w:r>
        <w:rPr>
          <w:sz w:val="19"/>
        </w:rPr>
        <w:t>podmínky</w:t>
      </w:r>
      <w:r>
        <w:rPr>
          <w:spacing w:val="-4"/>
          <w:sz w:val="19"/>
        </w:rPr>
        <w:t xml:space="preserve"> </w:t>
      </w:r>
      <w:r>
        <w:rPr>
          <w:sz w:val="19"/>
        </w:rPr>
        <w:t>vyplývající</w:t>
      </w:r>
    </w:p>
    <w:p w14:paraId="00FA5E55" w14:textId="77777777" w:rsidR="005A2A8E" w:rsidRDefault="00DB1DC4">
      <w:pPr>
        <w:pStyle w:val="Zkladntext"/>
        <w:spacing w:line="217" w:lineRule="exact"/>
        <w:ind w:left="625"/>
      </w:pPr>
      <w:r>
        <w:t>z rozhodnutí.</w:t>
      </w:r>
    </w:p>
    <w:p w14:paraId="20018B44" w14:textId="77777777" w:rsidR="005A2A8E" w:rsidRDefault="00DB1DC4">
      <w:pPr>
        <w:pStyle w:val="Odstavecseseznamem"/>
        <w:numPr>
          <w:ilvl w:val="2"/>
          <w:numId w:val="1"/>
        </w:numPr>
        <w:tabs>
          <w:tab w:val="left" w:pos="1130"/>
        </w:tabs>
        <w:spacing w:before="22" w:line="264" w:lineRule="auto"/>
        <w:ind w:right="866"/>
        <w:rPr>
          <w:sz w:val="19"/>
        </w:rPr>
      </w:pPr>
      <w:r>
        <w:rPr>
          <w:sz w:val="19"/>
        </w:rPr>
        <w:t>Za</w:t>
      </w:r>
      <w:r>
        <w:rPr>
          <w:spacing w:val="-6"/>
          <w:sz w:val="19"/>
        </w:rPr>
        <w:t xml:space="preserve"> </w:t>
      </w:r>
      <w:r>
        <w:rPr>
          <w:sz w:val="19"/>
        </w:rPr>
        <w:t>méně</w:t>
      </w:r>
      <w:r>
        <w:rPr>
          <w:spacing w:val="-4"/>
          <w:sz w:val="19"/>
        </w:rPr>
        <w:t xml:space="preserve"> </w:t>
      </w:r>
      <w:r>
        <w:rPr>
          <w:sz w:val="19"/>
        </w:rPr>
        <w:t>závažné</w:t>
      </w:r>
      <w:r>
        <w:rPr>
          <w:spacing w:val="-5"/>
          <w:sz w:val="19"/>
        </w:rPr>
        <w:t xml:space="preserve"> </w:t>
      </w:r>
      <w:r>
        <w:rPr>
          <w:sz w:val="19"/>
        </w:rPr>
        <w:t>porušení</w:t>
      </w:r>
      <w:r>
        <w:rPr>
          <w:spacing w:val="-7"/>
          <w:sz w:val="19"/>
        </w:rPr>
        <w:t xml:space="preserve"> </w:t>
      </w:r>
      <w:r>
        <w:rPr>
          <w:sz w:val="19"/>
        </w:rPr>
        <w:t>povinností</w:t>
      </w:r>
      <w:r>
        <w:rPr>
          <w:spacing w:val="-5"/>
          <w:sz w:val="19"/>
        </w:rPr>
        <w:t xml:space="preserve"> </w:t>
      </w:r>
      <w:r>
        <w:rPr>
          <w:sz w:val="19"/>
        </w:rPr>
        <w:t>příjemce</w:t>
      </w:r>
      <w:r>
        <w:rPr>
          <w:spacing w:val="-6"/>
          <w:sz w:val="19"/>
        </w:rPr>
        <w:t xml:space="preserve"> </w:t>
      </w:r>
      <w:r>
        <w:rPr>
          <w:sz w:val="19"/>
        </w:rPr>
        <w:t>podpory</w:t>
      </w:r>
      <w:r>
        <w:rPr>
          <w:spacing w:val="-4"/>
          <w:sz w:val="19"/>
        </w:rPr>
        <w:t xml:space="preserve"> </w:t>
      </w:r>
      <w:r>
        <w:rPr>
          <w:sz w:val="19"/>
        </w:rPr>
        <w:t>se</w:t>
      </w:r>
      <w:r>
        <w:rPr>
          <w:spacing w:val="-5"/>
          <w:sz w:val="19"/>
        </w:rPr>
        <w:t xml:space="preserve"> </w:t>
      </w:r>
      <w:r>
        <w:rPr>
          <w:sz w:val="19"/>
        </w:rPr>
        <w:t>považuje</w:t>
      </w:r>
      <w:r>
        <w:rPr>
          <w:spacing w:val="-5"/>
          <w:sz w:val="19"/>
        </w:rPr>
        <w:t xml:space="preserve"> </w:t>
      </w:r>
      <w:r>
        <w:rPr>
          <w:sz w:val="19"/>
        </w:rPr>
        <w:t>porušení</w:t>
      </w:r>
      <w:r>
        <w:rPr>
          <w:spacing w:val="-6"/>
          <w:sz w:val="19"/>
        </w:rPr>
        <w:t xml:space="preserve"> </w:t>
      </w:r>
      <w:r>
        <w:rPr>
          <w:sz w:val="19"/>
        </w:rPr>
        <w:t>nebo</w:t>
      </w:r>
      <w:r>
        <w:rPr>
          <w:spacing w:val="-4"/>
          <w:sz w:val="19"/>
        </w:rPr>
        <w:t xml:space="preserve"> </w:t>
      </w:r>
      <w:r>
        <w:rPr>
          <w:sz w:val="19"/>
        </w:rPr>
        <w:t>nesplnění podmínek stanovených rozhodnutím v čl. 1.7.; 6.7.; 8.1.1.; 8.1.2.;</w:t>
      </w:r>
      <w:r>
        <w:rPr>
          <w:spacing w:val="-8"/>
          <w:sz w:val="19"/>
        </w:rPr>
        <w:t xml:space="preserve"> </w:t>
      </w:r>
      <w:r>
        <w:rPr>
          <w:sz w:val="19"/>
        </w:rPr>
        <w:t>8.1.5.;</w:t>
      </w:r>
    </w:p>
    <w:p w14:paraId="764885DE" w14:textId="77777777" w:rsidR="005A2A8E" w:rsidRDefault="00DB1DC4">
      <w:pPr>
        <w:pStyle w:val="Odstavecseseznamem"/>
        <w:numPr>
          <w:ilvl w:val="2"/>
          <w:numId w:val="1"/>
        </w:numPr>
        <w:tabs>
          <w:tab w:val="left" w:pos="1130"/>
        </w:tabs>
        <w:spacing w:line="264" w:lineRule="auto"/>
        <w:ind w:right="399"/>
        <w:rPr>
          <w:sz w:val="19"/>
        </w:rPr>
      </w:pPr>
      <w:r>
        <w:rPr>
          <w:sz w:val="19"/>
        </w:rPr>
        <w:t>V případě, že bude příjemci podpory pravomocným rozhodnutím správce daně předepsán odvod za porušení</w:t>
      </w:r>
      <w:r>
        <w:rPr>
          <w:spacing w:val="-6"/>
          <w:sz w:val="19"/>
        </w:rPr>
        <w:t xml:space="preserve"> </w:t>
      </w:r>
      <w:r>
        <w:rPr>
          <w:sz w:val="19"/>
        </w:rPr>
        <w:t>rozpočtové</w:t>
      </w:r>
      <w:r>
        <w:rPr>
          <w:spacing w:val="-5"/>
          <w:sz w:val="19"/>
        </w:rPr>
        <w:t xml:space="preserve"> </w:t>
      </w:r>
      <w:r>
        <w:rPr>
          <w:sz w:val="19"/>
        </w:rPr>
        <w:t>kázně</w:t>
      </w:r>
      <w:r>
        <w:rPr>
          <w:spacing w:val="-7"/>
          <w:sz w:val="19"/>
        </w:rPr>
        <w:t xml:space="preserve"> </w:t>
      </w:r>
      <w:r>
        <w:rPr>
          <w:sz w:val="19"/>
        </w:rPr>
        <w:t>ve</w:t>
      </w:r>
      <w:r>
        <w:rPr>
          <w:spacing w:val="-5"/>
          <w:sz w:val="19"/>
        </w:rPr>
        <w:t xml:space="preserve"> </w:t>
      </w:r>
      <w:r>
        <w:rPr>
          <w:sz w:val="19"/>
        </w:rPr>
        <w:t>výši</w:t>
      </w:r>
      <w:r>
        <w:rPr>
          <w:spacing w:val="-4"/>
          <w:sz w:val="19"/>
        </w:rPr>
        <w:t xml:space="preserve"> </w:t>
      </w:r>
      <w:r>
        <w:rPr>
          <w:sz w:val="19"/>
        </w:rPr>
        <w:t>100</w:t>
      </w:r>
      <w:r>
        <w:rPr>
          <w:spacing w:val="-4"/>
          <w:sz w:val="19"/>
        </w:rPr>
        <w:t xml:space="preserve"> </w:t>
      </w:r>
      <w:r>
        <w:rPr>
          <w:sz w:val="19"/>
        </w:rPr>
        <w:t>%</w:t>
      </w:r>
      <w:r>
        <w:rPr>
          <w:spacing w:val="-5"/>
          <w:sz w:val="19"/>
        </w:rPr>
        <w:t xml:space="preserve"> </w:t>
      </w:r>
      <w:r>
        <w:rPr>
          <w:sz w:val="19"/>
        </w:rPr>
        <w:t>čerpané</w:t>
      </w:r>
      <w:r>
        <w:rPr>
          <w:spacing w:val="-5"/>
          <w:sz w:val="19"/>
        </w:rPr>
        <w:t xml:space="preserve"> </w:t>
      </w:r>
      <w:r>
        <w:rPr>
          <w:sz w:val="19"/>
        </w:rPr>
        <w:t>podpory,</w:t>
      </w:r>
      <w:r>
        <w:rPr>
          <w:spacing w:val="-5"/>
          <w:sz w:val="19"/>
        </w:rPr>
        <w:t xml:space="preserve"> </w:t>
      </w:r>
      <w:r>
        <w:rPr>
          <w:sz w:val="19"/>
        </w:rPr>
        <w:t>včetně</w:t>
      </w:r>
      <w:r>
        <w:rPr>
          <w:spacing w:val="-5"/>
          <w:sz w:val="19"/>
        </w:rPr>
        <w:t xml:space="preserve"> </w:t>
      </w:r>
      <w:r>
        <w:rPr>
          <w:sz w:val="19"/>
        </w:rPr>
        <w:t>případného</w:t>
      </w:r>
      <w:r>
        <w:rPr>
          <w:spacing w:val="-5"/>
          <w:sz w:val="19"/>
        </w:rPr>
        <w:t xml:space="preserve"> </w:t>
      </w:r>
      <w:r>
        <w:rPr>
          <w:sz w:val="19"/>
        </w:rPr>
        <w:t>penále</w:t>
      </w:r>
      <w:r>
        <w:rPr>
          <w:spacing w:val="-5"/>
          <w:sz w:val="19"/>
        </w:rPr>
        <w:t xml:space="preserve"> </w:t>
      </w:r>
      <w:r>
        <w:rPr>
          <w:sz w:val="19"/>
        </w:rPr>
        <w:t>za</w:t>
      </w:r>
      <w:r>
        <w:rPr>
          <w:spacing w:val="-5"/>
          <w:sz w:val="19"/>
        </w:rPr>
        <w:t xml:space="preserve"> </w:t>
      </w:r>
      <w:r>
        <w:rPr>
          <w:sz w:val="19"/>
        </w:rPr>
        <w:t>nesplnění</w:t>
      </w:r>
    </w:p>
    <w:p w14:paraId="57449D01" w14:textId="77777777" w:rsidR="005A2A8E" w:rsidRDefault="00DB1DC4">
      <w:pPr>
        <w:pStyle w:val="Zkladntext"/>
        <w:spacing w:line="264" w:lineRule="auto"/>
        <w:ind w:left="1129" w:right="159"/>
      </w:pPr>
      <w:r>
        <w:t>nebo porušení podmínek uvedených v tomto rozhodnutí, dnem zaplacení odvodu správci daně zanikají příjemci podpory všechny povinnosti vyplývající mu z tohoto rozhodnutí. V případě, že k zaplacení odvodu nedojde z důvodu, že byl příjemci podpory takový odvod</w:t>
      </w:r>
      <w:r>
        <w:t xml:space="preserve"> prominut nebo částečně prominut, je příjemce podpory povinen plnit všechny povinnosti vyplývající z tohoto rozhodnutí a současně je Fond povinen doplatit příjemci podpory podporu v případě, že bylo její proplacení v souladu s čl. 5.4. rozhodnutí pozastave</w:t>
      </w:r>
      <w:r>
        <w:t>no. Vyúčtování projektu je příjemce podpory povinen odevzdat ve lhůtě uvedené v čl. 6.2.</w:t>
      </w:r>
      <w:r>
        <w:rPr>
          <w:spacing w:val="-2"/>
        </w:rPr>
        <w:t xml:space="preserve"> </w:t>
      </w:r>
      <w:r>
        <w:t>rozhodnutí.</w:t>
      </w:r>
    </w:p>
    <w:p w14:paraId="7E4821A0" w14:textId="77777777" w:rsidR="005A2A8E" w:rsidRDefault="005A2A8E">
      <w:pPr>
        <w:pStyle w:val="Zkladntext"/>
        <w:spacing w:before="6"/>
        <w:rPr>
          <w:sz w:val="20"/>
        </w:rPr>
      </w:pPr>
    </w:p>
    <w:p w14:paraId="303EF767" w14:textId="77777777" w:rsidR="005A2A8E" w:rsidRDefault="00DB1DC4">
      <w:pPr>
        <w:pStyle w:val="Nadpis1"/>
      </w:pPr>
      <w:r>
        <w:t>Odůvodnění</w:t>
      </w:r>
    </w:p>
    <w:p w14:paraId="7AA6030E" w14:textId="77777777" w:rsidR="005A2A8E" w:rsidRDefault="005A2A8E">
      <w:pPr>
        <w:pStyle w:val="Zkladntext"/>
        <w:spacing w:before="8"/>
        <w:rPr>
          <w:b/>
          <w:sz w:val="22"/>
        </w:rPr>
      </w:pPr>
    </w:p>
    <w:p w14:paraId="4DD02BB8" w14:textId="77777777" w:rsidR="005A2A8E" w:rsidRDefault="00DB1DC4">
      <w:pPr>
        <w:pStyle w:val="Zkladntext"/>
        <w:spacing w:line="264" w:lineRule="auto"/>
        <w:ind w:left="192" w:right="411"/>
      </w:pPr>
      <w:r>
        <w:t>Kancelář fondu vyhlásila v souladu s § 33 zákona dne 13.5.2020 výzvu č. 2020-5-3-22 Mimořádná výzva Propagace kinematografie v kině k podávání</w:t>
      </w:r>
      <w:r>
        <w:t xml:space="preserve"> žádostí o podporu kinematografie v okruhu 5. propagace českého kinematografického díla (dále jen „Výzva“). Žádost, včetně všech příloh (dále jen „žádost“), byla žadatelem</w:t>
      </w:r>
    </w:p>
    <w:p w14:paraId="462A0098" w14:textId="77777777" w:rsidR="005A2A8E" w:rsidRDefault="00DB1DC4">
      <w:pPr>
        <w:pStyle w:val="Zkladntext"/>
        <w:spacing w:line="264" w:lineRule="auto"/>
        <w:ind w:left="192" w:right="368"/>
      </w:pPr>
      <w:r>
        <w:t xml:space="preserve">podána v souladu s § 34 zákona dne 12.6.2020, správní poplatek byl uhrazen. Žádosti </w:t>
      </w:r>
      <w:r>
        <w:t>bylo přiděleno evidenční číslo 3761/2020.</w:t>
      </w:r>
    </w:p>
    <w:p w14:paraId="54659D63" w14:textId="77777777" w:rsidR="005A2A8E" w:rsidRDefault="005A2A8E">
      <w:pPr>
        <w:pStyle w:val="Zkladntext"/>
        <w:spacing w:before="8"/>
        <w:rPr>
          <w:sz w:val="20"/>
        </w:rPr>
      </w:pPr>
    </w:p>
    <w:p w14:paraId="5953B475" w14:textId="77777777" w:rsidR="005A2A8E" w:rsidRDefault="00DB1DC4">
      <w:pPr>
        <w:pStyle w:val="Zkladntext"/>
        <w:spacing w:before="1" w:line="264" w:lineRule="auto"/>
        <w:ind w:left="192" w:right="115"/>
      </w:pPr>
      <w:r>
        <w:t xml:space="preserve">V souladu s ustanovením § 35 odst. 5 zákona </w:t>
      </w:r>
      <w:r>
        <w:rPr>
          <w:color w:val="211E1F"/>
        </w:rPr>
        <w:t>Rada Fondu rozhodla usnesením č. 200/2020, že o projektech bude rozhodovat bez expertních analýz, a to s ohledem na potřebu zkrácení procesu posuzování, hodnocení a rozh</w:t>
      </w:r>
      <w:r>
        <w:rPr>
          <w:color w:val="211E1F"/>
        </w:rPr>
        <w:t>odování o projektech. Rada Fondu dále rozhodla usnesením č. 201/2020, že v souladu s ustanovením čl.</w:t>
      </w:r>
    </w:p>
    <w:p w14:paraId="7B3ED001" w14:textId="77777777" w:rsidR="005A2A8E" w:rsidRDefault="00DB1DC4">
      <w:pPr>
        <w:pStyle w:val="Zkladntext"/>
        <w:spacing w:line="264" w:lineRule="auto"/>
        <w:ind w:left="192" w:right="179"/>
      </w:pPr>
      <w:r>
        <w:rPr>
          <w:color w:val="211E1F"/>
        </w:rPr>
        <w:t xml:space="preserve">3.2.6.2. Statutu Fondu bude ke každé žádosti o podporu kinematografie vypracován odborníkem na fungování kin podklad pro potřeby rozhodování o projektu, a </w:t>
      </w:r>
      <w:r>
        <w:rPr>
          <w:color w:val="211E1F"/>
        </w:rPr>
        <w:t>to formou písemného odborného stanoviska.</w:t>
      </w:r>
    </w:p>
    <w:p w14:paraId="33BEBEF5" w14:textId="77777777" w:rsidR="005A2A8E" w:rsidRDefault="005A2A8E">
      <w:pPr>
        <w:pStyle w:val="Zkladntext"/>
        <w:spacing w:before="8"/>
        <w:rPr>
          <w:sz w:val="20"/>
        </w:rPr>
      </w:pPr>
    </w:p>
    <w:p w14:paraId="37B09BF0" w14:textId="77777777" w:rsidR="005A2A8E" w:rsidRDefault="00DB1DC4">
      <w:pPr>
        <w:pStyle w:val="Zkladntext"/>
        <w:spacing w:line="264" w:lineRule="auto"/>
        <w:ind w:left="192" w:right="597"/>
        <w:jc w:val="both"/>
      </w:pPr>
      <w:r>
        <w:t>Rada rozhodovala o projektu na svém jednání dne 22.7.2020 a při svém rozhodování vzala v potaz žádost a písemné odborné stanovisko a na základě těchto informací a po vzájemné diskuzi každý člen Rady obodoval proje</w:t>
      </w:r>
      <w:r>
        <w:t>kt v příslušných kategoriích dle Statutu Fondu. Průměrné bodové hodnocení žádosti dosáhlo 99 bodů.</w:t>
      </w:r>
    </w:p>
    <w:p w14:paraId="0D5B255A" w14:textId="77777777" w:rsidR="005A2A8E" w:rsidRDefault="005A2A8E">
      <w:pPr>
        <w:pStyle w:val="Zkladntext"/>
        <w:spacing w:before="6"/>
      </w:pPr>
    </w:p>
    <w:p w14:paraId="7CB49507" w14:textId="77777777" w:rsidR="005A2A8E" w:rsidRDefault="00DB1DC4">
      <w:pPr>
        <w:pStyle w:val="Zkladntext"/>
        <w:spacing w:line="276" w:lineRule="auto"/>
        <w:ind w:left="192" w:right="349"/>
      </w:pPr>
      <w:r>
        <w:t>Rada své rozhodnutí odůvodnila následovně: Projekt dle Rady naplnil kritéria i cíle mimořádné výzvy pro Propagaci kinematografie v kině. Týká se kina se stá</w:t>
      </w:r>
      <w:r>
        <w:t>lým provozem, které je součástí distribučního řetězce a má své místo v infrastruktuře zajišťující dostupnost audiovizuálního obsahu. Z toho důvodu se jej Rada rozhodla podpořit plnou požadovanou částkou.</w:t>
      </w:r>
    </w:p>
    <w:p w14:paraId="36C63B9C" w14:textId="77777777" w:rsidR="005A2A8E" w:rsidRDefault="00DB1DC4">
      <w:pPr>
        <w:pStyle w:val="Zkladntext"/>
        <w:spacing w:before="176"/>
        <w:ind w:left="192"/>
      </w:pPr>
      <w:r>
        <w:t>Na podporu kinematografie není právní nárok.</w:t>
      </w:r>
    </w:p>
    <w:p w14:paraId="6DE99221" w14:textId="77777777" w:rsidR="005A2A8E" w:rsidRDefault="005A2A8E">
      <w:pPr>
        <w:pStyle w:val="Zkladntext"/>
        <w:spacing w:before="9"/>
        <w:rPr>
          <w:sz w:val="22"/>
        </w:rPr>
      </w:pPr>
    </w:p>
    <w:p w14:paraId="3498009D" w14:textId="77777777" w:rsidR="005A2A8E" w:rsidRDefault="00DB1DC4">
      <w:pPr>
        <w:pStyle w:val="Nadpis1"/>
        <w:spacing w:before="0"/>
      </w:pPr>
      <w:r>
        <w:t>Poučení</w:t>
      </w:r>
    </w:p>
    <w:p w14:paraId="465C4DFE" w14:textId="77777777" w:rsidR="005A2A8E" w:rsidRDefault="00DB1DC4">
      <w:pPr>
        <w:pStyle w:val="Zkladntext"/>
        <w:spacing w:before="21" w:line="528" w:lineRule="auto"/>
        <w:ind w:left="192" w:right="2418"/>
      </w:pPr>
      <w:r>
        <w:t>Proti tomuto rozhodnutí se nelze v souladu s ustanovením § 35 odst. 7 zákona odvolat. V Praze dne 22. července 2020</w:t>
      </w:r>
    </w:p>
    <w:p w14:paraId="5E28E3A3" w14:textId="77777777" w:rsidR="005A2A8E" w:rsidRDefault="00DB1DC4">
      <w:pPr>
        <w:pStyle w:val="Zkladntext"/>
        <w:spacing w:line="218" w:lineRule="exact"/>
        <w:ind w:left="192"/>
        <w:jc w:val="both"/>
      </w:pPr>
      <w:r>
        <w:t>Helena Bendová</w:t>
      </w:r>
    </w:p>
    <w:p w14:paraId="61B1C04D" w14:textId="77777777" w:rsidR="005A2A8E" w:rsidRDefault="00DB1DC4">
      <w:pPr>
        <w:pStyle w:val="Zkladntext"/>
        <w:spacing w:before="22" w:line="528" w:lineRule="auto"/>
        <w:ind w:left="192" w:right="5861"/>
      </w:pPr>
      <w:r>
        <w:t>předseda Rady Státního fondu kinematografie otisk kulatého razítka č. 3</w:t>
      </w:r>
    </w:p>
    <w:sectPr w:rsidR="005A2A8E">
      <w:pgSz w:w="11910" w:h="16840"/>
      <w:pgMar w:top="1100" w:right="1020" w:bottom="1540" w:left="940" w:header="0" w:footer="13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FE80A" w14:textId="77777777" w:rsidR="00DB1DC4" w:rsidRDefault="00DB1DC4">
      <w:r>
        <w:separator/>
      </w:r>
    </w:p>
  </w:endnote>
  <w:endnote w:type="continuationSeparator" w:id="0">
    <w:p w14:paraId="0C0ED70E" w14:textId="77777777" w:rsidR="00DB1DC4" w:rsidRDefault="00DB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C0D93" w14:textId="60A713CA" w:rsidR="005A2A8E" w:rsidRDefault="008F4651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BCED7A" wp14:editId="5606DF08">
              <wp:simplePos x="0" y="0"/>
              <wp:positionH relativeFrom="page">
                <wp:posOffset>706755</wp:posOffset>
              </wp:positionH>
              <wp:positionV relativeFrom="page">
                <wp:posOffset>9695815</wp:posOffset>
              </wp:positionV>
              <wp:extent cx="506730" cy="1600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71149" w14:textId="77777777" w:rsidR="005A2A8E" w:rsidRDefault="00DB1DC4">
                          <w:pPr>
                            <w:pStyle w:val="Zkladntext"/>
                            <w:spacing w:before="13"/>
                            <w:ind w:left="20"/>
                          </w:pPr>
                          <w:r>
                            <w:rPr>
                              <w:color w:val="211E1F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11E1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CED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5pt;margin-top:763.45pt;width:39.9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cO5QEAALUDAAAOAAAAZHJzL2Uyb0RvYy54bWysU8GO0zAQvSPxD5bvNGkRBUVNV8uuFiEt&#10;sNIuH+A4dmIRe8zYbVK+nrHTlAVuiIs1mRk/v/dmsrua7MCOCoMBV/P1quRMOQmtcV3Nvz7dvXrH&#10;WYjCtWIAp2p+UoFf7V++2I2+UhvoYWgVMgJxoRp9zfsYfVUUQfbKirACrxwVNaAVkT6xK1oUI6Hb&#10;odiU5bYYAVuPIFUIlL2di3yf8bVWMn7ROqjIhpoTt5hPzGeTzmK/E1WHwvdGnmmIf2BhhXH06AXq&#10;VkTBDmj+grJGIgTQcSXBFqC1kSprIDXr8g81j73wKmshc4K/2BT+H6z8fHxAZlqaHWdOWBrRk5oi&#10;ew8TWyd3Rh8qanr01BYnSqfOpDT4e5DfAnNw0wvXqWtEGHslWmKXbxbPrs44IYE04ydo6RlxiJCB&#10;Jo02AZIZjNBpSqfLZBIVSck35fbta6pIKq23ZbnJkytEtVz2GOIHBZaloOZIg8/g4ngfIsmg1qUl&#10;veXgzgxDHv7gfktQY8pk8onvzDxOzXQ2o4H2RDIQ5l2i3aegB/zB2Uh7VPPw/SBQcTZ8dGRFWrol&#10;wCVolkA4SVdrHjmbw5s4L+fBo+l6Qp7NdnBNdmmTpSRfZxZnnrQbWeF5j9PyPf/OXb/+tv1PAAAA&#10;//8DAFBLAwQUAAYACAAAACEABnQpEOAAAAANAQAADwAAAGRycy9kb3ducmV2LnhtbEyPwW6DMBBE&#10;75XyD9ZG6q0xpgoqFBNFVXuqVJXQQ48GbwAFryl2Evr3NafmtrM7mn2T72YzsAtOrrckQWwiYEiN&#10;1T21Er6qt4cnYM4r0mqwhBJ+0cGuWN3lKtP2SiVeDr5lIYRcpiR03o8Z567p0Ci3sSNSuB3tZJQP&#10;cmq5ntQ1hJuBx1GUcKN6Ch86NeJLh83pcDYS9t9UvvY/H/VneSz7qkojek9OUt6v5/0zMI+z/zfD&#10;gh/QoQhMtT2TdmwIWojHYA3DNk5SYIslFQJYvay2sQBe5Py2RfEHAAD//wMAUEsBAi0AFAAGAAgA&#10;AAAhALaDOJL+AAAA4QEAABMAAAAAAAAAAAAAAAAAAAAAAFtDb250ZW50X1R5cGVzXS54bWxQSwEC&#10;LQAUAAYACAAAACEAOP0h/9YAAACUAQAACwAAAAAAAAAAAAAAAAAvAQAAX3JlbHMvLnJlbHNQSwEC&#10;LQAUAAYACAAAACEAjjVnDuUBAAC1AwAADgAAAAAAAAAAAAAAAAAuAgAAZHJzL2Uyb0RvYy54bWxQ&#10;SwECLQAUAAYACAAAACEABnQpEOAAAAANAQAADwAAAAAAAAAAAAAAAAA/BAAAZHJzL2Rvd25yZXYu&#10;eG1sUEsFBgAAAAAEAAQA8wAAAEwFAAAAAA==&#10;" filled="f" stroked="f">
              <v:textbox inset="0,0,0,0">
                <w:txbxContent>
                  <w:p w14:paraId="6C371149" w14:textId="77777777" w:rsidR="005A2A8E" w:rsidRDefault="00DB1DC4">
                    <w:pPr>
                      <w:pStyle w:val="Zkladntext"/>
                      <w:spacing w:before="13"/>
                      <w:ind w:left="20"/>
                    </w:pPr>
                    <w:r>
                      <w:rPr>
                        <w:color w:val="211E1F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color w:val="211E1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B9255" w14:textId="77777777" w:rsidR="00DB1DC4" w:rsidRDefault="00DB1DC4">
      <w:r>
        <w:separator/>
      </w:r>
    </w:p>
  </w:footnote>
  <w:footnote w:type="continuationSeparator" w:id="0">
    <w:p w14:paraId="00F9A7B2" w14:textId="77777777" w:rsidR="00DB1DC4" w:rsidRDefault="00DB1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71C8"/>
    <w:multiLevelType w:val="hybridMultilevel"/>
    <w:tmpl w:val="B1F2FF2C"/>
    <w:lvl w:ilvl="0" w:tplc="037C2486">
      <w:start w:val="4"/>
      <w:numFmt w:val="decimal"/>
      <w:lvlText w:val="%1"/>
      <w:lvlJc w:val="left"/>
      <w:pPr>
        <w:ind w:left="69" w:hanging="528"/>
        <w:jc w:val="left"/>
      </w:pPr>
      <w:rPr>
        <w:rFonts w:hint="default"/>
        <w:lang w:val="cs-CZ" w:eastAsia="en-US" w:bidi="ar-SA"/>
      </w:rPr>
    </w:lvl>
    <w:lvl w:ilvl="1" w:tplc="77427BE4">
      <w:start w:val="5"/>
      <w:numFmt w:val="decimal"/>
      <w:lvlText w:val="%1.%2"/>
      <w:lvlJc w:val="left"/>
      <w:pPr>
        <w:ind w:left="69" w:hanging="528"/>
        <w:jc w:val="left"/>
      </w:pPr>
      <w:rPr>
        <w:rFonts w:hint="default"/>
        <w:lang w:val="cs-CZ" w:eastAsia="en-US" w:bidi="ar-SA"/>
      </w:rPr>
    </w:lvl>
    <w:lvl w:ilvl="2" w:tplc="7C30D7DC">
      <w:start w:val="1"/>
      <w:numFmt w:val="decimal"/>
      <w:lvlText w:val="%1.%2.%3."/>
      <w:lvlJc w:val="left"/>
      <w:pPr>
        <w:ind w:left="69" w:hanging="528"/>
        <w:jc w:val="left"/>
      </w:pPr>
      <w:rPr>
        <w:rFonts w:ascii="Arial" w:eastAsia="Arial" w:hAnsi="Arial" w:cs="Arial" w:hint="default"/>
        <w:w w:val="99"/>
        <w:sz w:val="19"/>
        <w:szCs w:val="19"/>
        <w:lang w:val="cs-CZ" w:eastAsia="en-US" w:bidi="ar-SA"/>
      </w:rPr>
    </w:lvl>
    <w:lvl w:ilvl="3" w:tplc="A8101E32">
      <w:numFmt w:val="bullet"/>
      <w:lvlText w:val="•"/>
      <w:lvlJc w:val="left"/>
      <w:pPr>
        <w:ind w:left="2350" w:hanging="528"/>
      </w:pPr>
      <w:rPr>
        <w:rFonts w:hint="default"/>
        <w:lang w:val="cs-CZ" w:eastAsia="en-US" w:bidi="ar-SA"/>
      </w:rPr>
    </w:lvl>
    <w:lvl w:ilvl="4" w:tplc="DDB863C8">
      <w:numFmt w:val="bullet"/>
      <w:lvlText w:val="•"/>
      <w:lvlJc w:val="left"/>
      <w:pPr>
        <w:ind w:left="3113" w:hanging="528"/>
      </w:pPr>
      <w:rPr>
        <w:rFonts w:hint="default"/>
        <w:lang w:val="cs-CZ" w:eastAsia="en-US" w:bidi="ar-SA"/>
      </w:rPr>
    </w:lvl>
    <w:lvl w:ilvl="5" w:tplc="44B2EC64">
      <w:numFmt w:val="bullet"/>
      <w:lvlText w:val="•"/>
      <w:lvlJc w:val="left"/>
      <w:pPr>
        <w:ind w:left="3877" w:hanging="528"/>
      </w:pPr>
      <w:rPr>
        <w:rFonts w:hint="default"/>
        <w:lang w:val="cs-CZ" w:eastAsia="en-US" w:bidi="ar-SA"/>
      </w:rPr>
    </w:lvl>
    <w:lvl w:ilvl="6" w:tplc="4DF4F3EC">
      <w:numFmt w:val="bullet"/>
      <w:lvlText w:val="•"/>
      <w:lvlJc w:val="left"/>
      <w:pPr>
        <w:ind w:left="4640" w:hanging="528"/>
      </w:pPr>
      <w:rPr>
        <w:rFonts w:hint="default"/>
        <w:lang w:val="cs-CZ" w:eastAsia="en-US" w:bidi="ar-SA"/>
      </w:rPr>
    </w:lvl>
    <w:lvl w:ilvl="7" w:tplc="70028604">
      <w:numFmt w:val="bullet"/>
      <w:lvlText w:val="•"/>
      <w:lvlJc w:val="left"/>
      <w:pPr>
        <w:ind w:left="5403" w:hanging="528"/>
      </w:pPr>
      <w:rPr>
        <w:rFonts w:hint="default"/>
        <w:lang w:val="cs-CZ" w:eastAsia="en-US" w:bidi="ar-SA"/>
      </w:rPr>
    </w:lvl>
    <w:lvl w:ilvl="8" w:tplc="C75801FC">
      <w:numFmt w:val="bullet"/>
      <w:lvlText w:val="•"/>
      <w:lvlJc w:val="left"/>
      <w:pPr>
        <w:ind w:left="6167" w:hanging="528"/>
      </w:pPr>
      <w:rPr>
        <w:rFonts w:hint="default"/>
        <w:lang w:val="cs-CZ" w:eastAsia="en-US" w:bidi="ar-SA"/>
      </w:rPr>
    </w:lvl>
  </w:abstractNum>
  <w:abstractNum w:abstractNumId="1" w15:restartNumberingAfterBreak="0">
    <w:nsid w:val="015249C1"/>
    <w:multiLevelType w:val="hybridMultilevel"/>
    <w:tmpl w:val="6CF8E664"/>
    <w:lvl w:ilvl="0" w:tplc="4AEC99E0">
      <w:numFmt w:val="bullet"/>
      <w:lvlText w:val=""/>
      <w:lvlJc w:val="left"/>
      <w:pPr>
        <w:ind w:left="430" w:hanging="361"/>
      </w:pPr>
      <w:rPr>
        <w:rFonts w:ascii="Symbol" w:eastAsia="Symbol" w:hAnsi="Symbol" w:cs="Symbol" w:hint="default"/>
        <w:w w:val="99"/>
        <w:sz w:val="19"/>
        <w:szCs w:val="19"/>
        <w:lang w:val="cs-CZ" w:eastAsia="en-US" w:bidi="ar-SA"/>
      </w:rPr>
    </w:lvl>
    <w:lvl w:ilvl="1" w:tplc="CC5461D8">
      <w:numFmt w:val="bullet"/>
      <w:lvlText w:val="•"/>
      <w:lvlJc w:val="left"/>
      <w:pPr>
        <w:ind w:left="1117" w:hanging="361"/>
      </w:pPr>
      <w:rPr>
        <w:rFonts w:hint="default"/>
        <w:lang w:val="cs-CZ" w:eastAsia="en-US" w:bidi="ar-SA"/>
      </w:rPr>
    </w:lvl>
    <w:lvl w:ilvl="2" w:tplc="195C5F98">
      <w:numFmt w:val="bullet"/>
      <w:lvlText w:val="•"/>
      <w:lvlJc w:val="left"/>
      <w:pPr>
        <w:ind w:left="1795" w:hanging="361"/>
      </w:pPr>
      <w:rPr>
        <w:rFonts w:hint="default"/>
        <w:lang w:val="cs-CZ" w:eastAsia="en-US" w:bidi="ar-SA"/>
      </w:rPr>
    </w:lvl>
    <w:lvl w:ilvl="3" w:tplc="B080C310">
      <w:numFmt w:val="bullet"/>
      <w:lvlText w:val="•"/>
      <w:lvlJc w:val="left"/>
      <w:pPr>
        <w:ind w:left="2472" w:hanging="361"/>
      </w:pPr>
      <w:rPr>
        <w:rFonts w:hint="default"/>
        <w:lang w:val="cs-CZ" w:eastAsia="en-US" w:bidi="ar-SA"/>
      </w:rPr>
    </w:lvl>
    <w:lvl w:ilvl="4" w:tplc="E9089C88">
      <w:numFmt w:val="bullet"/>
      <w:lvlText w:val="•"/>
      <w:lvlJc w:val="left"/>
      <w:pPr>
        <w:ind w:left="3150" w:hanging="361"/>
      </w:pPr>
      <w:rPr>
        <w:rFonts w:hint="default"/>
        <w:lang w:val="cs-CZ" w:eastAsia="en-US" w:bidi="ar-SA"/>
      </w:rPr>
    </w:lvl>
    <w:lvl w:ilvl="5" w:tplc="B3649A5E">
      <w:numFmt w:val="bullet"/>
      <w:lvlText w:val="•"/>
      <w:lvlJc w:val="left"/>
      <w:pPr>
        <w:ind w:left="3827" w:hanging="361"/>
      </w:pPr>
      <w:rPr>
        <w:rFonts w:hint="default"/>
        <w:lang w:val="cs-CZ" w:eastAsia="en-US" w:bidi="ar-SA"/>
      </w:rPr>
    </w:lvl>
    <w:lvl w:ilvl="6" w:tplc="ADBA67E6">
      <w:numFmt w:val="bullet"/>
      <w:lvlText w:val="•"/>
      <w:lvlJc w:val="left"/>
      <w:pPr>
        <w:ind w:left="4505" w:hanging="361"/>
      </w:pPr>
      <w:rPr>
        <w:rFonts w:hint="default"/>
        <w:lang w:val="cs-CZ" w:eastAsia="en-US" w:bidi="ar-SA"/>
      </w:rPr>
    </w:lvl>
    <w:lvl w:ilvl="7" w:tplc="3800DBD6">
      <w:numFmt w:val="bullet"/>
      <w:lvlText w:val="•"/>
      <w:lvlJc w:val="left"/>
      <w:pPr>
        <w:ind w:left="5182" w:hanging="361"/>
      </w:pPr>
      <w:rPr>
        <w:rFonts w:hint="default"/>
        <w:lang w:val="cs-CZ" w:eastAsia="en-US" w:bidi="ar-SA"/>
      </w:rPr>
    </w:lvl>
    <w:lvl w:ilvl="8" w:tplc="5706136A">
      <w:numFmt w:val="bullet"/>
      <w:lvlText w:val="•"/>
      <w:lvlJc w:val="left"/>
      <w:pPr>
        <w:ind w:left="5860" w:hanging="361"/>
      </w:pPr>
      <w:rPr>
        <w:rFonts w:hint="default"/>
        <w:lang w:val="cs-CZ" w:eastAsia="en-US" w:bidi="ar-SA"/>
      </w:rPr>
    </w:lvl>
  </w:abstractNum>
  <w:abstractNum w:abstractNumId="2" w15:restartNumberingAfterBreak="0">
    <w:nsid w:val="0E96533E"/>
    <w:multiLevelType w:val="hybridMultilevel"/>
    <w:tmpl w:val="68947B50"/>
    <w:lvl w:ilvl="0" w:tplc="1C2E8CBA">
      <w:numFmt w:val="bullet"/>
      <w:lvlText w:val=""/>
      <w:lvlJc w:val="left"/>
      <w:pPr>
        <w:ind w:left="913" w:hanging="360"/>
      </w:pPr>
      <w:rPr>
        <w:rFonts w:ascii="Symbol" w:eastAsia="Symbol" w:hAnsi="Symbol" w:cs="Symbol" w:hint="default"/>
        <w:w w:val="99"/>
        <w:sz w:val="19"/>
        <w:szCs w:val="19"/>
        <w:lang w:val="cs-CZ" w:eastAsia="en-US" w:bidi="ar-SA"/>
      </w:rPr>
    </w:lvl>
    <w:lvl w:ilvl="1" w:tplc="255EE4F8">
      <w:numFmt w:val="bullet"/>
      <w:lvlText w:val="•"/>
      <w:lvlJc w:val="left"/>
      <w:pPr>
        <w:ind w:left="1822" w:hanging="360"/>
      </w:pPr>
      <w:rPr>
        <w:rFonts w:hint="default"/>
        <w:lang w:val="cs-CZ" w:eastAsia="en-US" w:bidi="ar-SA"/>
      </w:rPr>
    </w:lvl>
    <w:lvl w:ilvl="2" w:tplc="A2260930">
      <w:numFmt w:val="bullet"/>
      <w:lvlText w:val="•"/>
      <w:lvlJc w:val="left"/>
      <w:pPr>
        <w:ind w:left="2725" w:hanging="360"/>
      </w:pPr>
      <w:rPr>
        <w:rFonts w:hint="default"/>
        <w:lang w:val="cs-CZ" w:eastAsia="en-US" w:bidi="ar-SA"/>
      </w:rPr>
    </w:lvl>
    <w:lvl w:ilvl="3" w:tplc="E43EE4BA">
      <w:numFmt w:val="bullet"/>
      <w:lvlText w:val="•"/>
      <w:lvlJc w:val="left"/>
      <w:pPr>
        <w:ind w:left="3627" w:hanging="360"/>
      </w:pPr>
      <w:rPr>
        <w:rFonts w:hint="default"/>
        <w:lang w:val="cs-CZ" w:eastAsia="en-US" w:bidi="ar-SA"/>
      </w:rPr>
    </w:lvl>
    <w:lvl w:ilvl="4" w:tplc="41DC0FBC">
      <w:numFmt w:val="bullet"/>
      <w:lvlText w:val="•"/>
      <w:lvlJc w:val="left"/>
      <w:pPr>
        <w:ind w:left="4530" w:hanging="360"/>
      </w:pPr>
      <w:rPr>
        <w:rFonts w:hint="default"/>
        <w:lang w:val="cs-CZ" w:eastAsia="en-US" w:bidi="ar-SA"/>
      </w:rPr>
    </w:lvl>
    <w:lvl w:ilvl="5" w:tplc="116A6310">
      <w:numFmt w:val="bullet"/>
      <w:lvlText w:val="•"/>
      <w:lvlJc w:val="left"/>
      <w:pPr>
        <w:ind w:left="5433" w:hanging="360"/>
      </w:pPr>
      <w:rPr>
        <w:rFonts w:hint="default"/>
        <w:lang w:val="cs-CZ" w:eastAsia="en-US" w:bidi="ar-SA"/>
      </w:rPr>
    </w:lvl>
    <w:lvl w:ilvl="6" w:tplc="CADAAB06">
      <w:numFmt w:val="bullet"/>
      <w:lvlText w:val="•"/>
      <w:lvlJc w:val="left"/>
      <w:pPr>
        <w:ind w:left="6335" w:hanging="360"/>
      </w:pPr>
      <w:rPr>
        <w:rFonts w:hint="default"/>
        <w:lang w:val="cs-CZ" w:eastAsia="en-US" w:bidi="ar-SA"/>
      </w:rPr>
    </w:lvl>
    <w:lvl w:ilvl="7" w:tplc="76F63CB0">
      <w:numFmt w:val="bullet"/>
      <w:lvlText w:val="•"/>
      <w:lvlJc w:val="left"/>
      <w:pPr>
        <w:ind w:left="7238" w:hanging="360"/>
      </w:pPr>
      <w:rPr>
        <w:rFonts w:hint="default"/>
        <w:lang w:val="cs-CZ" w:eastAsia="en-US" w:bidi="ar-SA"/>
      </w:rPr>
    </w:lvl>
    <w:lvl w:ilvl="8" w:tplc="821249B6">
      <w:numFmt w:val="bullet"/>
      <w:lvlText w:val="•"/>
      <w:lvlJc w:val="left"/>
      <w:pPr>
        <w:ind w:left="8141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1B425E8E"/>
    <w:multiLevelType w:val="hybridMultilevel"/>
    <w:tmpl w:val="63CA9E3E"/>
    <w:lvl w:ilvl="0" w:tplc="234EACA0">
      <w:numFmt w:val="bullet"/>
      <w:lvlText w:val=""/>
      <w:lvlJc w:val="left"/>
      <w:pPr>
        <w:ind w:left="985" w:hanging="360"/>
      </w:pPr>
      <w:rPr>
        <w:rFonts w:ascii="Symbol" w:eastAsia="Symbol" w:hAnsi="Symbol" w:cs="Symbol" w:hint="default"/>
        <w:w w:val="99"/>
        <w:sz w:val="19"/>
        <w:szCs w:val="19"/>
        <w:lang w:val="cs-CZ" w:eastAsia="en-US" w:bidi="ar-SA"/>
      </w:rPr>
    </w:lvl>
    <w:lvl w:ilvl="1" w:tplc="1310CCE8">
      <w:numFmt w:val="bullet"/>
      <w:lvlText w:val="•"/>
      <w:lvlJc w:val="left"/>
      <w:pPr>
        <w:ind w:left="1876" w:hanging="360"/>
      </w:pPr>
      <w:rPr>
        <w:rFonts w:hint="default"/>
        <w:lang w:val="cs-CZ" w:eastAsia="en-US" w:bidi="ar-SA"/>
      </w:rPr>
    </w:lvl>
    <w:lvl w:ilvl="2" w:tplc="79E01A4E">
      <w:numFmt w:val="bullet"/>
      <w:lvlText w:val="•"/>
      <w:lvlJc w:val="left"/>
      <w:pPr>
        <w:ind w:left="2773" w:hanging="360"/>
      </w:pPr>
      <w:rPr>
        <w:rFonts w:hint="default"/>
        <w:lang w:val="cs-CZ" w:eastAsia="en-US" w:bidi="ar-SA"/>
      </w:rPr>
    </w:lvl>
    <w:lvl w:ilvl="3" w:tplc="7180D8CC">
      <w:numFmt w:val="bullet"/>
      <w:lvlText w:val="•"/>
      <w:lvlJc w:val="left"/>
      <w:pPr>
        <w:ind w:left="3669" w:hanging="360"/>
      </w:pPr>
      <w:rPr>
        <w:rFonts w:hint="default"/>
        <w:lang w:val="cs-CZ" w:eastAsia="en-US" w:bidi="ar-SA"/>
      </w:rPr>
    </w:lvl>
    <w:lvl w:ilvl="4" w:tplc="AD68DD36">
      <w:numFmt w:val="bullet"/>
      <w:lvlText w:val="•"/>
      <w:lvlJc w:val="left"/>
      <w:pPr>
        <w:ind w:left="4566" w:hanging="360"/>
      </w:pPr>
      <w:rPr>
        <w:rFonts w:hint="default"/>
        <w:lang w:val="cs-CZ" w:eastAsia="en-US" w:bidi="ar-SA"/>
      </w:rPr>
    </w:lvl>
    <w:lvl w:ilvl="5" w:tplc="E236D9E4">
      <w:numFmt w:val="bullet"/>
      <w:lvlText w:val="•"/>
      <w:lvlJc w:val="left"/>
      <w:pPr>
        <w:ind w:left="5463" w:hanging="360"/>
      </w:pPr>
      <w:rPr>
        <w:rFonts w:hint="default"/>
        <w:lang w:val="cs-CZ" w:eastAsia="en-US" w:bidi="ar-SA"/>
      </w:rPr>
    </w:lvl>
    <w:lvl w:ilvl="6" w:tplc="9F96C36E">
      <w:numFmt w:val="bullet"/>
      <w:lvlText w:val="•"/>
      <w:lvlJc w:val="left"/>
      <w:pPr>
        <w:ind w:left="6359" w:hanging="360"/>
      </w:pPr>
      <w:rPr>
        <w:rFonts w:hint="default"/>
        <w:lang w:val="cs-CZ" w:eastAsia="en-US" w:bidi="ar-SA"/>
      </w:rPr>
    </w:lvl>
    <w:lvl w:ilvl="7" w:tplc="F8CA1252">
      <w:numFmt w:val="bullet"/>
      <w:lvlText w:val="•"/>
      <w:lvlJc w:val="left"/>
      <w:pPr>
        <w:ind w:left="7256" w:hanging="360"/>
      </w:pPr>
      <w:rPr>
        <w:rFonts w:hint="default"/>
        <w:lang w:val="cs-CZ" w:eastAsia="en-US" w:bidi="ar-SA"/>
      </w:rPr>
    </w:lvl>
    <w:lvl w:ilvl="8" w:tplc="2A8A53DC">
      <w:numFmt w:val="bullet"/>
      <w:lvlText w:val="•"/>
      <w:lvlJc w:val="left"/>
      <w:pPr>
        <w:ind w:left="8153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1BC879FC"/>
    <w:multiLevelType w:val="hybridMultilevel"/>
    <w:tmpl w:val="1DF82192"/>
    <w:lvl w:ilvl="0" w:tplc="47088EF8">
      <w:numFmt w:val="bullet"/>
      <w:lvlText w:val="-"/>
      <w:lvlJc w:val="left"/>
      <w:pPr>
        <w:ind w:left="1006" w:hanging="360"/>
      </w:pPr>
      <w:rPr>
        <w:rFonts w:ascii="Times New Roman" w:eastAsia="Times New Roman" w:hAnsi="Times New Roman" w:cs="Times New Roman" w:hint="default"/>
        <w:w w:val="99"/>
        <w:sz w:val="19"/>
        <w:szCs w:val="19"/>
        <w:lang w:val="cs-CZ" w:eastAsia="en-US" w:bidi="ar-SA"/>
      </w:rPr>
    </w:lvl>
    <w:lvl w:ilvl="1" w:tplc="6DB8CE28">
      <w:numFmt w:val="bullet"/>
      <w:lvlText w:val="•"/>
      <w:lvlJc w:val="left"/>
      <w:pPr>
        <w:ind w:left="1894" w:hanging="360"/>
      </w:pPr>
      <w:rPr>
        <w:rFonts w:hint="default"/>
        <w:lang w:val="cs-CZ" w:eastAsia="en-US" w:bidi="ar-SA"/>
      </w:rPr>
    </w:lvl>
    <w:lvl w:ilvl="2" w:tplc="5B461222">
      <w:numFmt w:val="bullet"/>
      <w:lvlText w:val="•"/>
      <w:lvlJc w:val="left"/>
      <w:pPr>
        <w:ind w:left="2789" w:hanging="360"/>
      </w:pPr>
      <w:rPr>
        <w:rFonts w:hint="default"/>
        <w:lang w:val="cs-CZ" w:eastAsia="en-US" w:bidi="ar-SA"/>
      </w:rPr>
    </w:lvl>
    <w:lvl w:ilvl="3" w:tplc="0FF48278">
      <w:numFmt w:val="bullet"/>
      <w:lvlText w:val="•"/>
      <w:lvlJc w:val="left"/>
      <w:pPr>
        <w:ind w:left="3683" w:hanging="360"/>
      </w:pPr>
      <w:rPr>
        <w:rFonts w:hint="default"/>
        <w:lang w:val="cs-CZ" w:eastAsia="en-US" w:bidi="ar-SA"/>
      </w:rPr>
    </w:lvl>
    <w:lvl w:ilvl="4" w:tplc="AF48F722">
      <w:numFmt w:val="bullet"/>
      <w:lvlText w:val="•"/>
      <w:lvlJc w:val="left"/>
      <w:pPr>
        <w:ind w:left="4578" w:hanging="360"/>
      </w:pPr>
      <w:rPr>
        <w:rFonts w:hint="default"/>
        <w:lang w:val="cs-CZ" w:eastAsia="en-US" w:bidi="ar-SA"/>
      </w:rPr>
    </w:lvl>
    <w:lvl w:ilvl="5" w:tplc="9BA23B36">
      <w:numFmt w:val="bullet"/>
      <w:lvlText w:val="•"/>
      <w:lvlJc w:val="left"/>
      <w:pPr>
        <w:ind w:left="5473" w:hanging="360"/>
      </w:pPr>
      <w:rPr>
        <w:rFonts w:hint="default"/>
        <w:lang w:val="cs-CZ" w:eastAsia="en-US" w:bidi="ar-SA"/>
      </w:rPr>
    </w:lvl>
    <w:lvl w:ilvl="6" w:tplc="00BEBD2E">
      <w:numFmt w:val="bullet"/>
      <w:lvlText w:val="•"/>
      <w:lvlJc w:val="left"/>
      <w:pPr>
        <w:ind w:left="6367" w:hanging="360"/>
      </w:pPr>
      <w:rPr>
        <w:rFonts w:hint="default"/>
        <w:lang w:val="cs-CZ" w:eastAsia="en-US" w:bidi="ar-SA"/>
      </w:rPr>
    </w:lvl>
    <w:lvl w:ilvl="7" w:tplc="44BAE824">
      <w:numFmt w:val="bullet"/>
      <w:lvlText w:val="•"/>
      <w:lvlJc w:val="left"/>
      <w:pPr>
        <w:ind w:left="7262" w:hanging="360"/>
      </w:pPr>
      <w:rPr>
        <w:rFonts w:hint="default"/>
        <w:lang w:val="cs-CZ" w:eastAsia="en-US" w:bidi="ar-SA"/>
      </w:rPr>
    </w:lvl>
    <w:lvl w:ilvl="8" w:tplc="665AFCA6">
      <w:numFmt w:val="bullet"/>
      <w:lvlText w:val="•"/>
      <w:lvlJc w:val="left"/>
      <w:pPr>
        <w:ind w:left="8157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31A25384"/>
    <w:multiLevelType w:val="hybridMultilevel"/>
    <w:tmpl w:val="8EB2CD0E"/>
    <w:lvl w:ilvl="0" w:tplc="2CC84492">
      <w:numFmt w:val="bullet"/>
      <w:lvlText w:val="-"/>
      <w:lvlJc w:val="left"/>
      <w:pPr>
        <w:ind w:left="429" w:hanging="360"/>
      </w:pPr>
      <w:rPr>
        <w:rFonts w:ascii="Calibri" w:eastAsia="Calibri" w:hAnsi="Calibri" w:cs="Calibri" w:hint="default"/>
        <w:w w:val="99"/>
        <w:sz w:val="19"/>
        <w:szCs w:val="19"/>
        <w:lang w:val="cs-CZ" w:eastAsia="en-US" w:bidi="ar-SA"/>
      </w:rPr>
    </w:lvl>
    <w:lvl w:ilvl="1" w:tplc="F0D6F0C4">
      <w:numFmt w:val="bullet"/>
      <w:lvlText w:val="•"/>
      <w:lvlJc w:val="left"/>
      <w:pPr>
        <w:ind w:left="1147" w:hanging="360"/>
      </w:pPr>
      <w:rPr>
        <w:rFonts w:hint="default"/>
        <w:lang w:val="cs-CZ" w:eastAsia="en-US" w:bidi="ar-SA"/>
      </w:rPr>
    </w:lvl>
    <w:lvl w:ilvl="2" w:tplc="18F03404">
      <w:numFmt w:val="bullet"/>
      <w:lvlText w:val="•"/>
      <w:lvlJc w:val="left"/>
      <w:pPr>
        <w:ind w:left="1874" w:hanging="360"/>
      </w:pPr>
      <w:rPr>
        <w:rFonts w:hint="default"/>
        <w:lang w:val="cs-CZ" w:eastAsia="en-US" w:bidi="ar-SA"/>
      </w:rPr>
    </w:lvl>
    <w:lvl w:ilvl="3" w:tplc="F1DC3642">
      <w:numFmt w:val="bullet"/>
      <w:lvlText w:val="•"/>
      <w:lvlJc w:val="left"/>
      <w:pPr>
        <w:ind w:left="2602" w:hanging="360"/>
      </w:pPr>
      <w:rPr>
        <w:rFonts w:hint="default"/>
        <w:lang w:val="cs-CZ" w:eastAsia="en-US" w:bidi="ar-SA"/>
      </w:rPr>
    </w:lvl>
    <w:lvl w:ilvl="4" w:tplc="FD58AB7E">
      <w:numFmt w:val="bullet"/>
      <w:lvlText w:val="•"/>
      <w:lvlJc w:val="left"/>
      <w:pPr>
        <w:ind w:left="3329" w:hanging="360"/>
      </w:pPr>
      <w:rPr>
        <w:rFonts w:hint="default"/>
        <w:lang w:val="cs-CZ" w:eastAsia="en-US" w:bidi="ar-SA"/>
      </w:rPr>
    </w:lvl>
    <w:lvl w:ilvl="5" w:tplc="9F26ED80">
      <w:numFmt w:val="bullet"/>
      <w:lvlText w:val="•"/>
      <w:lvlJc w:val="left"/>
      <w:pPr>
        <w:ind w:left="4057" w:hanging="360"/>
      </w:pPr>
      <w:rPr>
        <w:rFonts w:hint="default"/>
        <w:lang w:val="cs-CZ" w:eastAsia="en-US" w:bidi="ar-SA"/>
      </w:rPr>
    </w:lvl>
    <w:lvl w:ilvl="6" w:tplc="DDE42B66">
      <w:numFmt w:val="bullet"/>
      <w:lvlText w:val="•"/>
      <w:lvlJc w:val="left"/>
      <w:pPr>
        <w:ind w:left="4784" w:hanging="360"/>
      </w:pPr>
      <w:rPr>
        <w:rFonts w:hint="default"/>
        <w:lang w:val="cs-CZ" w:eastAsia="en-US" w:bidi="ar-SA"/>
      </w:rPr>
    </w:lvl>
    <w:lvl w:ilvl="7" w:tplc="48FEA476">
      <w:numFmt w:val="bullet"/>
      <w:lvlText w:val="•"/>
      <w:lvlJc w:val="left"/>
      <w:pPr>
        <w:ind w:left="5511" w:hanging="360"/>
      </w:pPr>
      <w:rPr>
        <w:rFonts w:hint="default"/>
        <w:lang w:val="cs-CZ" w:eastAsia="en-US" w:bidi="ar-SA"/>
      </w:rPr>
    </w:lvl>
    <w:lvl w:ilvl="8" w:tplc="ED184C50">
      <w:numFmt w:val="bullet"/>
      <w:lvlText w:val="•"/>
      <w:lvlJc w:val="left"/>
      <w:pPr>
        <w:ind w:left="6239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330D2643"/>
    <w:multiLevelType w:val="hybridMultilevel"/>
    <w:tmpl w:val="0152F87C"/>
    <w:lvl w:ilvl="0" w:tplc="58FAFAF8">
      <w:start w:val="1"/>
      <w:numFmt w:val="decimal"/>
      <w:lvlText w:val="%1"/>
      <w:lvlJc w:val="left"/>
      <w:pPr>
        <w:ind w:left="553" w:hanging="361"/>
        <w:jc w:val="left"/>
      </w:pPr>
      <w:rPr>
        <w:rFonts w:hint="default"/>
        <w:lang w:val="cs-CZ" w:eastAsia="en-US" w:bidi="ar-SA"/>
      </w:rPr>
    </w:lvl>
    <w:lvl w:ilvl="1" w:tplc="B94C2BA2">
      <w:start w:val="5"/>
      <w:numFmt w:val="decimal"/>
      <w:lvlText w:val="%1.%2."/>
      <w:lvlJc w:val="left"/>
      <w:pPr>
        <w:ind w:left="553" w:hanging="361"/>
        <w:jc w:val="left"/>
      </w:pPr>
      <w:rPr>
        <w:rFonts w:ascii="Arial" w:eastAsia="Arial" w:hAnsi="Arial" w:cs="Arial" w:hint="default"/>
        <w:w w:val="99"/>
        <w:sz w:val="19"/>
        <w:szCs w:val="19"/>
        <w:lang w:val="cs-CZ" w:eastAsia="en-US" w:bidi="ar-SA"/>
      </w:rPr>
    </w:lvl>
    <w:lvl w:ilvl="2" w:tplc="2FF07412">
      <w:start w:val="1"/>
      <w:numFmt w:val="decimal"/>
      <w:lvlText w:val="%1.%2.%3."/>
      <w:lvlJc w:val="left"/>
      <w:pPr>
        <w:ind w:left="1232" w:hanging="680"/>
        <w:jc w:val="left"/>
      </w:pPr>
      <w:rPr>
        <w:rFonts w:ascii="Arial" w:eastAsia="Arial" w:hAnsi="Arial" w:cs="Arial" w:hint="default"/>
        <w:w w:val="99"/>
        <w:sz w:val="19"/>
        <w:szCs w:val="19"/>
        <w:lang w:val="cs-CZ" w:eastAsia="en-US" w:bidi="ar-SA"/>
      </w:rPr>
    </w:lvl>
    <w:lvl w:ilvl="3" w:tplc="313A0BD8">
      <w:numFmt w:val="bullet"/>
      <w:lvlText w:val="•"/>
      <w:lvlJc w:val="left"/>
      <w:pPr>
        <w:ind w:left="3174" w:hanging="680"/>
      </w:pPr>
      <w:rPr>
        <w:rFonts w:hint="default"/>
        <w:lang w:val="cs-CZ" w:eastAsia="en-US" w:bidi="ar-SA"/>
      </w:rPr>
    </w:lvl>
    <w:lvl w:ilvl="4" w:tplc="C7B29316">
      <w:numFmt w:val="bullet"/>
      <w:lvlText w:val="•"/>
      <w:lvlJc w:val="left"/>
      <w:pPr>
        <w:ind w:left="4142" w:hanging="680"/>
      </w:pPr>
      <w:rPr>
        <w:rFonts w:hint="default"/>
        <w:lang w:val="cs-CZ" w:eastAsia="en-US" w:bidi="ar-SA"/>
      </w:rPr>
    </w:lvl>
    <w:lvl w:ilvl="5" w:tplc="3ED86754">
      <w:numFmt w:val="bullet"/>
      <w:lvlText w:val="•"/>
      <w:lvlJc w:val="left"/>
      <w:pPr>
        <w:ind w:left="5109" w:hanging="680"/>
      </w:pPr>
      <w:rPr>
        <w:rFonts w:hint="default"/>
        <w:lang w:val="cs-CZ" w:eastAsia="en-US" w:bidi="ar-SA"/>
      </w:rPr>
    </w:lvl>
    <w:lvl w:ilvl="6" w:tplc="701EACF2">
      <w:numFmt w:val="bullet"/>
      <w:lvlText w:val="•"/>
      <w:lvlJc w:val="left"/>
      <w:pPr>
        <w:ind w:left="6076" w:hanging="680"/>
      </w:pPr>
      <w:rPr>
        <w:rFonts w:hint="default"/>
        <w:lang w:val="cs-CZ" w:eastAsia="en-US" w:bidi="ar-SA"/>
      </w:rPr>
    </w:lvl>
    <w:lvl w:ilvl="7" w:tplc="2D580636">
      <w:numFmt w:val="bullet"/>
      <w:lvlText w:val="•"/>
      <w:lvlJc w:val="left"/>
      <w:pPr>
        <w:ind w:left="7044" w:hanging="680"/>
      </w:pPr>
      <w:rPr>
        <w:rFonts w:hint="default"/>
        <w:lang w:val="cs-CZ" w:eastAsia="en-US" w:bidi="ar-SA"/>
      </w:rPr>
    </w:lvl>
    <w:lvl w:ilvl="8" w:tplc="99887B6E">
      <w:numFmt w:val="bullet"/>
      <w:lvlText w:val="•"/>
      <w:lvlJc w:val="left"/>
      <w:pPr>
        <w:ind w:left="8011" w:hanging="680"/>
      </w:pPr>
      <w:rPr>
        <w:rFonts w:hint="default"/>
        <w:lang w:val="cs-CZ" w:eastAsia="en-US" w:bidi="ar-SA"/>
      </w:rPr>
    </w:lvl>
  </w:abstractNum>
  <w:abstractNum w:abstractNumId="7" w15:restartNumberingAfterBreak="0">
    <w:nsid w:val="39EF3356"/>
    <w:multiLevelType w:val="hybridMultilevel"/>
    <w:tmpl w:val="5B58B79A"/>
    <w:lvl w:ilvl="0" w:tplc="FEC6A3C6">
      <w:start w:val="6"/>
      <w:numFmt w:val="decimal"/>
      <w:lvlText w:val="%1"/>
      <w:lvlJc w:val="left"/>
      <w:pPr>
        <w:ind w:left="625" w:hanging="433"/>
        <w:jc w:val="left"/>
      </w:pPr>
      <w:rPr>
        <w:rFonts w:hint="default"/>
        <w:lang w:val="cs-CZ" w:eastAsia="en-US" w:bidi="ar-SA"/>
      </w:rPr>
    </w:lvl>
    <w:lvl w:ilvl="1" w:tplc="88406ACC">
      <w:start w:val="6"/>
      <w:numFmt w:val="decimal"/>
      <w:lvlText w:val="%1.%2."/>
      <w:lvlJc w:val="left"/>
      <w:pPr>
        <w:ind w:left="625" w:hanging="433"/>
        <w:jc w:val="left"/>
      </w:pPr>
      <w:rPr>
        <w:rFonts w:ascii="Arial" w:eastAsia="Arial" w:hAnsi="Arial" w:cs="Arial" w:hint="default"/>
        <w:w w:val="99"/>
        <w:sz w:val="19"/>
        <w:szCs w:val="19"/>
        <w:lang w:val="cs-CZ" w:eastAsia="en-US" w:bidi="ar-SA"/>
      </w:rPr>
    </w:lvl>
    <w:lvl w:ilvl="2" w:tplc="7B668256">
      <w:start w:val="1"/>
      <w:numFmt w:val="decimal"/>
      <w:lvlText w:val="%1.%2.%3."/>
      <w:lvlJc w:val="left"/>
      <w:pPr>
        <w:ind w:left="1129" w:hanging="504"/>
        <w:jc w:val="left"/>
      </w:pPr>
      <w:rPr>
        <w:rFonts w:ascii="Arial" w:eastAsia="Arial" w:hAnsi="Arial" w:cs="Arial" w:hint="default"/>
        <w:w w:val="99"/>
        <w:sz w:val="19"/>
        <w:szCs w:val="19"/>
        <w:lang w:val="cs-CZ" w:eastAsia="en-US" w:bidi="ar-SA"/>
      </w:rPr>
    </w:lvl>
    <w:lvl w:ilvl="3" w:tplc="A7EED728">
      <w:numFmt w:val="bullet"/>
      <w:lvlText w:val="•"/>
      <w:lvlJc w:val="left"/>
      <w:pPr>
        <w:ind w:left="3081" w:hanging="504"/>
      </w:pPr>
      <w:rPr>
        <w:rFonts w:hint="default"/>
        <w:lang w:val="cs-CZ" w:eastAsia="en-US" w:bidi="ar-SA"/>
      </w:rPr>
    </w:lvl>
    <w:lvl w:ilvl="4" w:tplc="C7626F18">
      <w:numFmt w:val="bullet"/>
      <w:lvlText w:val="•"/>
      <w:lvlJc w:val="left"/>
      <w:pPr>
        <w:ind w:left="4062" w:hanging="504"/>
      </w:pPr>
      <w:rPr>
        <w:rFonts w:hint="default"/>
        <w:lang w:val="cs-CZ" w:eastAsia="en-US" w:bidi="ar-SA"/>
      </w:rPr>
    </w:lvl>
    <w:lvl w:ilvl="5" w:tplc="6720937A">
      <w:numFmt w:val="bullet"/>
      <w:lvlText w:val="•"/>
      <w:lvlJc w:val="left"/>
      <w:pPr>
        <w:ind w:left="5042" w:hanging="504"/>
      </w:pPr>
      <w:rPr>
        <w:rFonts w:hint="default"/>
        <w:lang w:val="cs-CZ" w:eastAsia="en-US" w:bidi="ar-SA"/>
      </w:rPr>
    </w:lvl>
    <w:lvl w:ilvl="6" w:tplc="4A0C041A">
      <w:numFmt w:val="bullet"/>
      <w:lvlText w:val="•"/>
      <w:lvlJc w:val="left"/>
      <w:pPr>
        <w:ind w:left="6023" w:hanging="504"/>
      </w:pPr>
      <w:rPr>
        <w:rFonts w:hint="default"/>
        <w:lang w:val="cs-CZ" w:eastAsia="en-US" w:bidi="ar-SA"/>
      </w:rPr>
    </w:lvl>
    <w:lvl w:ilvl="7" w:tplc="C5BC3596">
      <w:numFmt w:val="bullet"/>
      <w:lvlText w:val="•"/>
      <w:lvlJc w:val="left"/>
      <w:pPr>
        <w:ind w:left="7004" w:hanging="504"/>
      </w:pPr>
      <w:rPr>
        <w:rFonts w:hint="default"/>
        <w:lang w:val="cs-CZ" w:eastAsia="en-US" w:bidi="ar-SA"/>
      </w:rPr>
    </w:lvl>
    <w:lvl w:ilvl="8" w:tplc="3DF43126">
      <w:numFmt w:val="bullet"/>
      <w:lvlText w:val="•"/>
      <w:lvlJc w:val="left"/>
      <w:pPr>
        <w:ind w:left="7984" w:hanging="504"/>
      </w:pPr>
      <w:rPr>
        <w:rFonts w:hint="default"/>
        <w:lang w:val="cs-CZ" w:eastAsia="en-US" w:bidi="ar-SA"/>
      </w:rPr>
    </w:lvl>
  </w:abstractNum>
  <w:abstractNum w:abstractNumId="8" w15:restartNumberingAfterBreak="0">
    <w:nsid w:val="45EF380A"/>
    <w:multiLevelType w:val="hybridMultilevel"/>
    <w:tmpl w:val="47226548"/>
    <w:lvl w:ilvl="0" w:tplc="F856B7D8">
      <w:start w:val="8"/>
      <w:numFmt w:val="decimal"/>
      <w:lvlText w:val="%1"/>
      <w:lvlJc w:val="left"/>
      <w:pPr>
        <w:ind w:left="625" w:hanging="433"/>
        <w:jc w:val="left"/>
      </w:pPr>
      <w:rPr>
        <w:rFonts w:hint="default"/>
        <w:lang w:val="cs-CZ" w:eastAsia="en-US" w:bidi="ar-SA"/>
      </w:rPr>
    </w:lvl>
    <w:lvl w:ilvl="1" w:tplc="77A8C744">
      <w:start w:val="1"/>
      <w:numFmt w:val="decimal"/>
      <w:lvlText w:val="%1.%2."/>
      <w:lvlJc w:val="left"/>
      <w:pPr>
        <w:ind w:left="625" w:hanging="433"/>
        <w:jc w:val="left"/>
      </w:pPr>
      <w:rPr>
        <w:rFonts w:ascii="Arial" w:eastAsia="Arial" w:hAnsi="Arial" w:cs="Arial" w:hint="default"/>
        <w:w w:val="99"/>
        <w:sz w:val="19"/>
        <w:szCs w:val="19"/>
        <w:lang w:val="cs-CZ" w:eastAsia="en-US" w:bidi="ar-SA"/>
      </w:rPr>
    </w:lvl>
    <w:lvl w:ilvl="2" w:tplc="383473C6">
      <w:start w:val="1"/>
      <w:numFmt w:val="decimal"/>
      <w:lvlText w:val="%1.%2.%3."/>
      <w:lvlJc w:val="left"/>
      <w:pPr>
        <w:ind w:left="1129" w:hanging="504"/>
        <w:jc w:val="left"/>
      </w:pPr>
      <w:rPr>
        <w:rFonts w:ascii="Arial" w:eastAsia="Arial" w:hAnsi="Arial" w:cs="Arial" w:hint="default"/>
        <w:w w:val="99"/>
        <w:sz w:val="19"/>
        <w:szCs w:val="19"/>
        <w:lang w:val="cs-CZ" w:eastAsia="en-US" w:bidi="ar-SA"/>
      </w:rPr>
    </w:lvl>
    <w:lvl w:ilvl="3" w:tplc="F2E6ED20">
      <w:numFmt w:val="bullet"/>
      <w:lvlText w:val="•"/>
      <w:lvlJc w:val="left"/>
      <w:pPr>
        <w:ind w:left="3081" w:hanging="504"/>
      </w:pPr>
      <w:rPr>
        <w:rFonts w:hint="default"/>
        <w:lang w:val="cs-CZ" w:eastAsia="en-US" w:bidi="ar-SA"/>
      </w:rPr>
    </w:lvl>
    <w:lvl w:ilvl="4" w:tplc="86760060">
      <w:numFmt w:val="bullet"/>
      <w:lvlText w:val="•"/>
      <w:lvlJc w:val="left"/>
      <w:pPr>
        <w:ind w:left="4062" w:hanging="504"/>
      </w:pPr>
      <w:rPr>
        <w:rFonts w:hint="default"/>
        <w:lang w:val="cs-CZ" w:eastAsia="en-US" w:bidi="ar-SA"/>
      </w:rPr>
    </w:lvl>
    <w:lvl w:ilvl="5" w:tplc="A684BCCE">
      <w:numFmt w:val="bullet"/>
      <w:lvlText w:val="•"/>
      <w:lvlJc w:val="left"/>
      <w:pPr>
        <w:ind w:left="5042" w:hanging="504"/>
      </w:pPr>
      <w:rPr>
        <w:rFonts w:hint="default"/>
        <w:lang w:val="cs-CZ" w:eastAsia="en-US" w:bidi="ar-SA"/>
      </w:rPr>
    </w:lvl>
    <w:lvl w:ilvl="6" w:tplc="D7F688C4">
      <w:numFmt w:val="bullet"/>
      <w:lvlText w:val="•"/>
      <w:lvlJc w:val="left"/>
      <w:pPr>
        <w:ind w:left="6023" w:hanging="504"/>
      </w:pPr>
      <w:rPr>
        <w:rFonts w:hint="default"/>
        <w:lang w:val="cs-CZ" w:eastAsia="en-US" w:bidi="ar-SA"/>
      </w:rPr>
    </w:lvl>
    <w:lvl w:ilvl="7" w:tplc="6A14E656">
      <w:numFmt w:val="bullet"/>
      <w:lvlText w:val="•"/>
      <w:lvlJc w:val="left"/>
      <w:pPr>
        <w:ind w:left="7004" w:hanging="504"/>
      </w:pPr>
      <w:rPr>
        <w:rFonts w:hint="default"/>
        <w:lang w:val="cs-CZ" w:eastAsia="en-US" w:bidi="ar-SA"/>
      </w:rPr>
    </w:lvl>
    <w:lvl w:ilvl="8" w:tplc="1C36C0AC">
      <w:numFmt w:val="bullet"/>
      <w:lvlText w:val="•"/>
      <w:lvlJc w:val="left"/>
      <w:pPr>
        <w:ind w:left="7984" w:hanging="504"/>
      </w:pPr>
      <w:rPr>
        <w:rFonts w:hint="default"/>
        <w:lang w:val="cs-CZ" w:eastAsia="en-US" w:bidi="ar-SA"/>
      </w:rPr>
    </w:lvl>
  </w:abstractNum>
  <w:abstractNum w:abstractNumId="9" w15:restartNumberingAfterBreak="0">
    <w:nsid w:val="4D88231D"/>
    <w:multiLevelType w:val="hybridMultilevel"/>
    <w:tmpl w:val="99A82C96"/>
    <w:lvl w:ilvl="0" w:tplc="EE6688D2">
      <w:start w:val="4"/>
      <w:numFmt w:val="decimal"/>
      <w:lvlText w:val="%1"/>
      <w:lvlJc w:val="left"/>
      <w:pPr>
        <w:ind w:left="553" w:hanging="361"/>
        <w:jc w:val="left"/>
      </w:pPr>
      <w:rPr>
        <w:rFonts w:hint="default"/>
        <w:lang w:val="cs-CZ" w:eastAsia="en-US" w:bidi="ar-SA"/>
      </w:rPr>
    </w:lvl>
    <w:lvl w:ilvl="1" w:tplc="881E616E">
      <w:start w:val="6"/>
      <w:numFmt w:val="decimal"/>
      <w:lvlText w:val="%1.%2."/>
      <w:lvlJc w:val="left"/>
      <w:pPr>
        <w:ind w:left="553" w:hanging="361"/>
        <w:jc w:val="left"/>
      </w:pPr>
      <w:rPr>
        <w:rFonts w:ascii="Arial" w:eastAsia="Arial" w:hAnsi="Arial" w:cs="Arial" w:hint="default"/>
        <w:w w:val="99"/>
        <w:sz w:val="19"/>
        <w:szCs w:val="19"/>
        <w:lang w:val="cs-CZ" w:eastAsia="en-US" w:bidi="ar-SA"/>
      </w:rPr>
    </w:lvl>
    <w:lvl w:ilvl="2" w:tplc="295645FE">
      <w:start w:val="1"/>
      <w:numFmt w:val="decimal"/>
      <w:lvlText w:val="%1.%2.%3."/>
      <w:lvlJc w:val="left"/>
      <w:pPr>
        <w:ind w:left="1064" w:hanging="512"/>
        <w:jc w:val="left"/>
      </w:pPr>
      <w:rPr>
        <w:rFonts w:ascii="Arial" w:eastAsia="Arial" w:hAnsi="Arial" w:cs="Arial" w:hint="default"/>
        <w:w w:val="99"/>
        <w:sz w:val="19"/>
        <w:szCs w:val="19"/>
        <w:lang w:val="cs-CZ" w:eastAsia="en-US" w:bidi="ar-SA"/>
      </w:rPr>
    </w:lvl>
    <w:lvl w:ilvl="3" w:tplc="81B8ED74">
      <w:numFmt w:val="bullet"/>
      <w:lvlText w:val="•"/>
      <w:lvlJc w:val="left"/>
      <w:pPr>
        <w:ind w:left="3034" w:hanging="512"/>
      </w:pPr>
      <w:rPr>
        <w:rFonts w:hint="default"/>
        <w:lang w:val="cs-CZ" w:eastAsia="en-US" w:bidi="ar-SA"/>
      </w:rPr>
    </w:lvl>
    <w:lvl w:ilvl="4" w:tplc="2CB80BE8">
      <w:numFmt w:val="bullet"/>
      <w:lvlText w:val="•"/>
      <w:lvlJc w:val="left"/>
      <w:pPr>
        <w:ind w:left="4022" w:hanging="512"/>
      </w:pPr>
      <w:rPr>
        <w:rFonts w:hint="default"/>
        <w:lang w:val="cs-CZ" w:eastAsia="en-US" w:bidi="ar-SA"/>
      </w:rPr>
    </w:lvl>
    <w:lvl w:ilvl="5" w:tplc="3F42293A">
      <w:numFmt w:val="bullet"/>
      <w:lvlText w:val="•"/>
      <w:lvlJc w:val="left"/>
      <w:pPr>
        <w:ind w:left="5009" w:hanging="512"/>
      </w:pPr>
      <w:rPr>
        <w:rFonts w:hint="default"/>
        <w:lang w:val="cs-CZ" w:eastAsia="en-US" w:bidi="ar-SA"/>
      </w:rPr>
    </w:lvl>
    <w:lvl w:ilvl="6" w:tplc="014E5BD6">
      <w:numFmt w:val="bullet"/>
      <w:lvlText w:val="•"/>
      <w:lvlJc w:val="left"/>
      <w:pPr>
        <w:ind w:left="5996" w:hanging="512"/>
      </w:pPr>
      <w:rPr>
        <w:rFonts w:hint="default"/>
        <w:lang w:val="cs-CZ" w:eastAsia="en-US" w:bidi="ar-SA"/>
      </w:rPr>
    </w:lvl>
    <w:lvl w:ilvl="7" w:tplc="8C24E114">
      <w:numFmt w:val="bullet"/>
      <w:lvlText w:val="•"/>
      <w:lvlJc w:val="left"/>
      <w:pPr>
        <w:ind w:left="6984" w:hanging="512"/>
      </w:pPr>
      <w:rPr>
        <w:rFonts w:hint="default"/>
        <w:lang w:val="cs-CZ" w:eastAsia="en-US" w:bidi="ar-SA"/>
      </w:rPr>
    </w:lvl>
    <w:lvl w:ilvl="8" w:tplc="5E926D14">
      <w:numFmt w:val="bullet"/>
      <w:lvlText w:val="•"/>
      <w:lvlJc w:val="left"/>
      <w:pPr>
        <w:ind w:left="7971" w:hanging="512"/>
      </w:pPr>
      <w:rPr>
        <w:rFonts w:hint="default"/>
        <w:lang w:val="cs-CZ" w:eastAsia="en-US" w:bidi="ar-SA"/>
      </w:rPr>
    </w:lvl>
  </w:abstractNum>
  <w:abstractNum w:abstractNumId="10" w15:restartNumberingAfterBreak="0">
    <w:nsid w:val="4E9038B7"/>
    <w:multiLevelType w:val="hybridMultilevel"/>
    <w:tmpl w:val="0180CFB4"/>
    <w:lvl w:ilvl="0" w:tplc="B388F44A">
      <w:start w:val="9"/>
      <w:numFmt w:val="decimal"/>
      <w:lvlText w:val="%1"/>
      <w:lvlJc w:val="left"/>
      <w:pPr>
        <w:ind w:left="625" w:hanging="433"/>
        <w:jc w:val="left"/>
      </w:pPr>
      <w:rPr>
        <w:rFonts w:hint="default"/>
        <w:lang w:val="cs-CZ" w:eastAsia="en-US" w:bidi="ar-SA"/>
      </w:rPr>
    </w:lvl>
    <w:lvl w:ilvl="1" w:tplc="58D0B786">
      <w:start w:val="1"/>
      <w:numFmt w:val="decimal"/>
      <w:lvlText w:val="%1.%2."/>
      <w:lvlJc w:val="left"/>
      <w:pPr>
        <w:ind w:left="625" w:hanging="433"/>
        <w:jc w:val="left"/>
      </w:pPr>
      <w:rPr>
        <w:rFonts w:ascii="Arial" w:eastAsia="Arial" w:hAnsi="Arial" w:cs="Arial" w:hint="default"/>
        <w:w w:val="99"/>
        <w:sz w:val="19"/>
        <w:szCs w:val="19"/>
        <w:lang w:val="cs-CZ" w:eastAsia="en-US" w:bidi="ar-SA"/>
      </w:rPr>
    </w:lvl>
    <w:lvl w:ilvl="2" w:tplc="3AB0EB2E">
      <w:start w:val="1"/>
      <w:numFmt w:val="decimal"/>
      <w:lvlText w:val="%1.%2.%3."/>
      <w:lvlJc w:val="left"/>
      <w:pPr>
        <w:ind w:left="1129" w:hanging="504"/>
        <w:jc w:val="left"/>
      </w:pPr>
      <w:rPr>
        <w:rFonts w:ascii="Arial" w:eastAsia="Arial" w:hAnsi="Arial" w:cs="Arial" w:hint="default"/>
        <w:w w:val="99"/>
        <w:sz w:val="19"/>
        <w:szCs w:val="19"/>
        <w:lang w:val="cs-CZ" w:eastAsia="en-US" w:bidi="ar-SA"/>
      </w:rPr>
    </w:lvl>
    <w:lvl w:ilvl="3" w:tplc="C16CF918">
      <w:numFmt w:val="bullet"/>
      <w:lvlText w:val="•"/>
      <w:lvlJc w:val="left"/>
      <w:pPr>
        <w:ind w:left="3081" w:hanging="504"/>
      </w:pPr>
      <w:rPr>
        <w:rFonts w:hint="default"/>
        <w:lang w:val="cs-CZ" w:eastAsia="en-US" w:bidi="ar-SA"/>
      </w:rPr>
    </w:lvl>
    <w:lvl w:ilvl="4" w:tplc="D138DA14">
      <w:numFmt w:val="bullet"/>
      <w:lvlText w:val="•"/>
      <w:lvlJc w:val="left"/>
      <w:pPr>
        <w:ind w:left="4062" w:hanging="504"/>
      </w:pPr>
      <w:rPr>
        <w:rFonts w:hint="default"/>
        <w:lang w:val="cs-CZ" w:eastAsia="en-US" w:bidi="ar-SA"/>
      </w:rPr>
    </w:lvl>
    <w:lvl w:ilvl="5" w:tplc="BB02B53E">
      <w:numFmt w:val="bullet"/>
      <w:lvlText w:val="•"/>
      <w:lvlJc w:val="left"/>
      <w:pPr>
        <w:ind w:left="5042" w:hanging="504"/>
      </w:pPr>
      <w:rPr>
        <w:rFonts w:hint="default"/>
        <w:lang w:val="cs-CZ" w:eastAsia="en-US" w:bidi="ar-SA"/>
      </w:rPr>
    </w:lvl>
    <w:lvl w:ilvl="6" w:tplc="9EE8CBD8">
      <w:numFmt w:val="bullet"/>
      <w:lvlText w:val="•"/>
      <w:lvlJc w:val="left"/>
      <w:pPr>
        <w:ind w:left="6023" w:hanging="504"/>
      </w:pPr>
      <w:rPr>
        <w:rFonts w:hint="default"/>
        <w:lang w:val="cs-CZ" w:eastAsia="en-US" w:bidi="ar-SA"/>
      </w:rPr>
    </w:lvl>
    <w:lvl w:ilvl="7" w:tplc="9B6628CA">
      <w:numFmt w:val="bullet"/>
      <w:lvlText w:val="•"/>
      <w:lvlJc w:val="left"/>
      <w:pPr>
        <w:ind w:left="7004" w:hanging="504"/>
      </w:pPr>
      <w:rPr>
        <w:rFonts w:hint="default"/>
        <w:lang w:val="cs-CZ" w:eastAsia="en-US" w:bidi="ar-SA"/>
      </w:rPr>
    </w:lvl>
    <w:lvl w:ilvl="8" w:tplc="35345314">
      <w:numFmt w:val="bullet"/>
      <w:lvlText w:val="•"/>
      <w:lvlJc w:val="left"/>
      <w:pPr>
        <w:ind w:left="7984" w:hanging="504"/>
      </w:pPr>
      <w:rPr>
        <w:rFonts w:hint="default"/>
        <w:lang w:val="cs-CZ" w:eastAsia="en-US" w:bidi="ar-SA"/>
      </w:rPr>
    </w:lvl>
  </w:abstractNum>
  <w:abstractNum w:abstractNumId="11" w15:restartNumberingAfterBreak="0">
    <w:nsid w:val="7F2635F2"/>
    <w:multiLevelType w:val="hybridMultilevel"/>
    <w:tmpl w:val="948E88AE"/>
    <w:lvl w:ilvl="0" w:tplc="13DC20A6">
      <w:start w:val="2"/>
      <w:numFmt w:val="decimal"/>
      <w:lvlText w:val="%1"/>
      <w:lvlJc w:val="left"/>
      <w:pPr>
        <w:ind w:left="553" w:hanging="361"/>
        <w:jc w:val="left"/>
      </w:pPr>
      <w:rPr>
        <w:rFonts w:hint="default"/>
        <w:lang w:val="cs-CZ" w:eastAsia="en-US" w:bidi="ar-SA"/>
      </w:rPr>
    </w:lvl>
    <w:lvl w:ilvl="1" w:tplc="E7FC71EA">
      <w:start w:val="5"/>
      <w:numFmt w:val="decimal"/>
      <w:lvlText w:val="%1.%2."/>
      <w:lvlJc w:val="left"/>
      <w:pPr>
        <w:ind w:left="553" w:hanging="361"/>
        <w:jc w:val="left"/>
      </w:pPr>
      <w:rPr>
        <w:rFonts w:ascii="Arial" w:eastAsia="Arial" w:hAnsi="Arial" w:cs="Arial" w:hint="default"/>
        <w:w w:val="99"/>
        <w:sz w:val="19"/>
        <w:szCs w:val="19"/>
        <w:lang w:val="cs-CZ" w:eastAsia="en-US" w:bidi="ar-SA"/>
      </w:rPr>
    </w:lvl>
    <w:lvl w:ilvl="2" w:tplc="A242301C">
      <w:numFmt w:val="bullet"/>
      <w:lvlText w:val="•"/>
      <w:lvlJc w:val="left"/>
      <w:pPr>
        <w:ind w:left="2437" w:hanging="361"/>
      </w:pPr>
      <w:rPr>
        <w:rFonts w:hint="default"/>
        <w:lang w:val="cs-CZ" w:eastAsia="en-US" w:bidi="ar-SA"/>
      </w:rPr>
    </w:lvl>
    <w:lvl w:ilvl="3" w:tplc="08B41F32">
      <w:numFmt w:val="bullet"/>
      <w:lvlText w:val="•"/>
      <w:lvlJc w:val="left"/>
      <w:pPr>
        <w:ind w:left="3375" w:hanging="361"/>
      </w:pPr>
      <w:rPr>
        <w:rFonts w:hint="default"/>
        <w:lang w:val="cs-CZ" w:eastAsia="en-US" w:bidi="ar-SA"/>
      </w:rPr>
    </w:lvl>
    <w:lvl w:ilvl="4" w:tplc="0A081CFC">
      <w:numFmt w:val="bullet"/>
      <w:lvlText w:val="•"/>
      <w:lvlJc w:val="left"/>
      <w:pPr>
        <w:ind w:left="4314" w:hanging="361"/>
      </w:pPr>
      <w:rPr>
        <w:rFonts w:hint="default"/>
        <w:lang w:val="cs-CZ" w:eastAsia="en-US" w:bidi="ar-SA"/>
      </w:rPr>
    </w:lvl>
    <w:lvl w:ilvl="5" w:tplc="41DAD1C4">
      <w:numFmt w:val="bullet"/>
      <w:lvlText w:val="•"/>
      <w:lvlJc w:val="left"/>
      <w:pPr>
        <w:ind w:left="5253" w:hanging="361"/>
      </w:pPr>
      <w:rPr>
        <w:rFonts w:hint="default"/>
        <w:lang w:val="cs-CZ" w:eastAsia="en-US" w:bidi="ar-SA"/>
      </w:rPr>
    </w:lvl>
    <w:lvl w:ilvl="6" w:tplc="0046E31A">
      <w:numFmt w:val="bullet"/>
      <w:lvlText w:val="•"/>
      <w:lvlJc w:val="left"/>
      <w:pPr>
        <w:ind w:left="6191" w:hanging="361"/>
      </w:pPr>
      <w:rPr>
        <w:rFonts w:hint="default"/>
        <w:lang w:val="cs-CZ" w:eastAsia="en-US" w:bidi="ar-SA"/>
      </w:rPr>
    </w:lvl>
    <w:lvl w:ilvl="7" w:tplc="E67CBA1E">
      <w:numFmt w:val="bullet"/>
      <w:lvlText w:val="•"/>
      <w:lvlJc w:val="left"/>
      <w:pPr>
        <w:ind w:left="7130" w:hanging="361"/>
      </w:pPr>
      <w:rPr>
        <w:rFonts w:hint="default"/>
        <w:lang w:val="cs-CZ" w:eastAsia="en-US" w:bidi="ar-SA"/>
      </w:rPr>
    </w:lvl>
    <w:lvl w:ilvl="8" w:tplc="C522505C">
      <w:numFmt w:val="bullet"/>
      <w:lvlText w:val="•"/>
      <w:lvlJc w:val="left"/>
      <w:pPr>
        <w:ind w:left="8069" w:hanging="361"/>
      </w:pPr>
      <w:rPr>
        <w:rFonts w:hint="default"/>
        <w:lang w:val="cs-CZ" w:eastAsia="en-US" w:bidi="ar-SA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8E"/>
    <w:rsid w:val="005A2A8E"/>
    <w:rsid w:val="008F4651"/>
    <w:rsid w:val="00DB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01003"/>
  <w15:docId w15:val="{8DAF33A6-8814-4D72-BAA5-19E6BF39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left="192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Nzev">
    <w:name w:val="Title"/>
    <w:basedOn w:val="Normln"/>
    <w:uiPriority w:val="10"/>
    <w:qFormat/>
    <w:pPr>
      <w:ind w:left="192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ind w:left="1129" w:hanging="361"/>
    </w:pPr>
  </w:style>
  <w:style w:type="paragraph" w:customStyle="1" w:styleId="TableParagraph">
    <w:name w:val="Table Paragraph"/>
    <w:basedOn w:val="Normln"/>
    <w:uiPriority w:val="1"/>
    <w:qFormat/>
    <w:pPr>
      <w:spacing w:before="83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3422</Words>
  <Characters>20190</Characters>
  <Application>Microsoft Office Word</Application>
  <DocSecurity>0</DocSecurity>
  <Lines>168</Lines>
  <Paragraphs>47</Paragraphs>
  <ScaleCrop>false</ScaleCrop>
  <Company/>
  <LinksUpToDate>false</LinksUpToDate>
  <CharactersWithSpaces>23565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 </cp:lastModifiedBy>
  <cp:revision>2</cp:revision>
  <dcterms:created xsi:type="dcterms:W3CDTF">2020-08-18T07:33:00Z</dcterms:created>
  <dcterms:modified xsi:type="dcterms:W3CDTF">2020-08-18T07:33:00Z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2020-08-17T00:00:00Z</vt:filetime>
  </property>
</Properties>
</file>