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1405" w14:textId="77777777"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Smlouva o postoupení smlouvy</w:t>
      </w:r>
    </w:p>
    <w:p w14:paraId="09B3C36F" w14:textId="77777777"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14:paraId="505D34F7" w14:textId="77777777"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14:paraId="22C5D80D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AFE28EA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14:paraId="237469B5" w14:textId="77777777"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44081048" w14:textId="77777777"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14:paraId="04657799" w14:textId="77777777"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14:paraId="43A9C91A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6394BDD7" w14:textId="77777777"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C43C150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2E5BFC98" w14:textId="77777777"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9F62797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13599391" w14:textId="77777777"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14:paraId="6E7ECEA1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14:paraId="11C9F618" w14:textId="77777777"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>, předsedou představenstva a Ing. Václavem Novotným, místopředsedou představenstva</w:t>
      </w:r>
    </w:p>
    <w:p w14:paraId="0BF2B716" w14:textId="77777777"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79667B97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BA03D53" w14:textId="77777777"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7D5D8186" w14:textId="77777777"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73EF2EF" w14:textId="77777777" w:rsidR="00F613F8" w:rsidRDefault="003F704E" w:rsidP="003C6F24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010597" w:rsidRPr="00010597">
        <w:rPr>
          <w:rFonts w:ascii="Arial" w:hAnsi="Arial" w:cs="Arial"/>
          <w:b/>
          <w:bCs/>
          <w:sz w:val="22"/>
          <w:szCs w:val="22"/>
        </w:rPr>
        <w:t>ABAS IPS Management s.r.o.</w:t>
      </w:r>
    </w:p>
    <w:p w14:paraId="14FA7B0A" w14:textId="77777777" w:rsidR="00F613F8" w:rsidRPr="00132EDF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010597" w:rsidRPr="00010597">
        <w:rPr>
          <w:rFonts w:ascii="Arial" w:hAnsi="Arial" w:cs="Arial"/>
          <w:bCs/>
          <w:sz w:val="22"/>
          <w:szCs w:val="22"/>
        </w:rPr>
        <w:t>Českobratrská 692/15, Moravská Ostrava, 702 00 Ostrava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684EFBA8" w14:textId="77777777" w:rsidR="005F6241" w:rsidRDefault="00132EDF" w:rsidP="00010597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010597">
        <w:rPr>
          <w:rFonts w:ascii="Arial" w:hAnsi="Arial" w:cs="Arial"/>
          <w:bCs/>
          <w:sz w:val="22"/>
          <w:szCs w:val="22"/>
        </w:rPr>
        <w:tab/>
      </w:r>
      <w:r w:rsidR="00010597" w:rsidRPr="00010597">
        <w:rPr>
          <w:rFonts w:ascii="Arial" w:hAnsi="Arial" w:cs="Arial"/>
          <w:bCs/>
          <w:sz w:val="22"/>
          <w:szCs w:val="22"/>
        </w:rPr>
        <w:t>25842811</w:t>
      </w:r>
    </w:p>
    <w:p w14:paraId="391951BF" w14:textId="77777777" w:rsidR="00132EDF" w:rsidRPr="0077397A" w:rsidRDefault="00034B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132EDF">
        <w:rPr>
          <w:rFonts w:ascii="Arial" w:hAnsi="Arial" w:cs="Arial"/>
          <w:bCs/>
          <w:sz w:val="22"/>
          <w:szCs w:val="22"/>
        </w:rPr>
        <w:tab/>
      </w:r>
      <w:r w:rsidR="00132EDF">
        <w:rPr>
          <w:rFonts w:ascii="Arial" w:hAnsi="Arial" w:cs="Arial"/>
          <w:bCs/>
          <w:sz w:val="22"/>
          <w:szCs w:val="22"/>
        </w:rPr>
        <w:tab/>
      </w:r>
      <w:r w:rsidR="00010597" w:rsidRPr="00010597">
        <w:rPr>
          <w:rFonts w:ascii="Arial" w:hAnsi="Arial" w:cs="Arial"/>
          <w:bCs/>
          <w:sz w:val="22"/>
          <w:szCs w:val="22"/>
        </w:rPr>
        <w:t>Vladimír</w:t>
      </w:r>
      <w:r w:rsidR="00010597">
        <w:rPr>
          <w:rFonts w:ascii="Arial" w:hAnsi="Arial" w:cs="Arial"/>
          <w:bCs/>
          <w:sz w:val="22"/>
          <w:szCs w:val="22"/>
        </w:rPr>
        <w:t>ou</w:t>
      </w:r>
      <w:r w:rsidR="00010597" w:rsidRPr="0001059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10597" w:rsidRPr="00010597">
        <w:rPr>
          <w:rFonts w:ascii="Arial" w:hAnsi="Arial" w:cs="Arial"/>
          <w:bCs/>
          <w:sz w:val="22"/>
          <w:szCs w:val="22"/>
        </w:rPr>
        <w:t>Popardowsk</w:t>
      </w:r>
      <w:r w:rsidR="00010597">
        <w:rPr>
          <w:rFonts w:ascii="Arial" w:hAnsi="Arial" w:cs="Arial"/>
          <w:bCs/>
          <w:sz w:val="22"/>
          <w:szCs w:val="22"/>
        </w:rPr>
        <w:t>ou</w:t>
      </w:r>
      <w:proofErr w:type="spellEnd"/>
      <w:r w:rsidR="00010597">
        <w:rPr>
          <w:rFonts w:ascii="Arial" w:hAnsi="Arial" w:cs="Arial"/>
          <w:bCs/>
          <w:sz w:val="22"/>
          <w:szCs w:val="22"/>
        </w:rPr>
        <w:t>, prokuristkou</w:t>
      </w:r>
    </w:p>
    <w:p w14:paraId="1B61CD94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12185B4B" w14:textId="77777777"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B730C62" w14:textId="77777777"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7AEF807" w14:textId="77777777"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E6DD1A7" w14:textId="77777777"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smlouvy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dle ustanovení § 1895 a</w:t>
      </w:r>
      <w:r w:rsidR="009D3A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násl.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14:paraId="4610B47B" w14:textId="77777777"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9E8B119" w14:textId="77777777"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EDEBA77" w14:textId="77777777"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14:paraId="01A42B6B" w14:textId="77777777"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2226697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CC6639B" w14:textId="77777777" w:rsidR="005414F6" w:rsidRPr="003C6F24" w:rsidRDefault="003F704E" w:rsidP="003C6F24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C6F24"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3C6F24">
        <w:rPr>
          <w:rFonts w:ascii="Arial" w:hAnsi="Arial" w:cs="Arial"/>
          <w:bCs/>
          <w:sz w:val="22"/>
          <w:szCs w:val="22"/>
        </w:rPr>
        <w:t xml:space="preserve">a </w:t>
      </w:r>
      <w:r w:rsidR="007F3B13" w:rsidRPr="003C6F24">
        <w:rPr>
          <w:rFonts w:ascii="Arial" w:hAnsi="Arial" w:cs="Arial"/>
          <w:bCs/>
          <w:sz w:val="22"/>
          <w:szCs w:val="22"/>
        </w:rPr>
        <w:t>Postoupená strana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 uzavřeli dne </w:t>
      </w:r>
      <w:r w:rsidR="00010597">
        <w:rPr>
          <w:rFonts w:ascii="Arial" w:hAnsi="Arial" w:cs="Arial"/>
          <w:bCs/>
          <w:sz w:val="22"/>
          <w:szCs w:val="22"/>
        </w:rPr>
        <w:t>6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. </w:t>
      </w:r>
      <w:r w:rsidR="00010597">
        <w:rPr>
          <w:rFonts w:ascii="Arial" w:hAnsi="Arial" w:cs="Arial"/>
          <w:bCs/>
          <w:sz w:val="22"/>
          <w:szCs w:val="22"/>
        </w:rPr>
        <w:t>4</w:t>
      </w:r>
      <w:r w:rsidR="003C6F24" w:rsidRPr="003C6F24">
        <w:rPr>
          <w:rFonts w:ascii="Arial" w:hAnsi="Arial" w:cs="Arial"/>
          <w:bCs/>
          <w:sz w:val="22"/>
          <w:szCs w:val="22"/>
        </w:rPr>
        <w:t>. 2018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 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rámcovou </w:t>
      </w:r>
      <w:r w:rsidR="007F3B13" w:rsidRPr="003C6F24">
        <w:rPr>
          <w:rFonts w:ascii="Arial" w:hAnsi="Arial" w:cs="Arial"/>
          <w:bCs/>
          <w:sz w:val="22"/>
          <w:szCs w:val="22"/>
        </w:rPr>
        <w:t>smlouvu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 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na </w:t>
      </w:r>
      <w:r w:rsidR="00010597" w:rsidRPr="00010597">
        <w:rPr>
          <w:rFonts w:ascii="Arial" w:hAnsi="Arial" w:cs="Arial"/>
          <w:bCs/>
          <w:sz w:val="22"/>
          <w:szCs w:val="22"/>
        </w:rPr>
        <w:t>„Ostrahu objektu Staroměstské radnice v Praze a svoz hotovosti ze středisek Prague City Tourism (Staroměstská radnice, Turistické informační centrum Můstek, Turistické informační centrum Václavské náměstí)"</w:t>
      </w:r>
      <w:r w:rsidR="0041029E" w:rsidRPr="003C6F24">
        <w:rPr>
          <w:rFonts w:ascii="Arial" w:hAnsi="Arial" w:cs="Arial"/>
          <w:bCs/>
          <w:sz w:val="22"/>
          <w:szCs w:val="22"/>
        </w:rPr>
        <w:t xml:space="preserve">, jejímž předmětem je </w:t>
      </w:r>
      <w:r w:rsidR="003C6F24" w:rsidRPr="003C6F24">
        <w:rPr>
          <w:rFonts w:ascii="Arial" w:hAnsi="Arial" w:cs="Arial"/>
          <w:bCs/>
          <w:sz w:val="22"/>
          <w:szCs w:val="22"/>
        </w:rPr>
        <w:t xml:space="preserve">sjednání obecných podmínek, za nichž </w:t>
      </w:r>
      <w:r w:rsidR="00010597">
        <w:rPr>
          <w:rFonts w:ascii="Arial" w:hAnsi="Arial" w:cs="Arial"/>
          <w:bCs/>
          <w:sz w:val="22"/>
          <w:szCs w:val="22"/>
        </w:rPr>
        <w:t>Postoupená strana</w:t>
      </w:r>
      <w:r w:rsidR="00010597" w:rsidRPr="00010597">
        <w:rPr>
          <w:rFonts w:ascii="Arial" w:hAnsi="Arial" w:cs="Arial"/>
          <w:bCs/>
          <w:sz w:val="22"/>
          <w:szCs w:val="22"/>
        </w:rPr>
        <w:t xml:space="preserve"> poskyt</w:t>
      </w:r>
      <w:r w:rsidR="00010597">
        <w:rPr>
          <w:rFonts w:ascii="Arial" w:hAnsi="Arial" w:cs="Arial"/>
          <w:bCs/>
          <w:sz w:val="22"/>
          <w:szCs w:val="22"/>
        </w:rPr>
        <w:t>uje</w:t>
      </w:r>
      <w:r w:rsidR="00010597" w:rsidRPr="00010597">
        <w:rPr>
          <w:rFonts w:ascii="Arial" w:hAnsi="Arial" w:cs="Arial"/>
          <w:bCs/>
          <w:sz w:val="22"/>
          <w:szCs w:val="22"/>
        </w:rPr>
        <w:t xml:space="preserve"> </w:t>
      </w:r>
      <w:r w:rsidR="00010597">
        <w:rPr>
          <w:rFonts w:ascii="Arial" w:hAnsi="Arial" w:cs="Arial"/>
          <w:bCs/>
          <w:sz w:val="22"/>
          <w:szCs w:val="22"/>
        </w:rPr>
        <w:t>Postupiteli</w:t>
      </w:r>
      <w:r w:rsidR="00010597" w:rsidRPr="00010597">
        <w:rPr>
          <w:rFonts w:ascii="Arial" w:hAnsi="Arial" w:cs="Arial"/>
          <w:bCs/>
          <w:sz w:val="22"/>
          <w:szCs w:val="22"/>
        </w:rPr>
        <w:t xml:space="preserve"> služby fyzické ostrahy v objektech objednatele/výkon strážní a ochranné služby </w:t>
      </w:r>
      <w:r w:rsidR="00010597">
        <w:rPr>
          <w:rFonts w:ascii="Arial" w:hAnsi="Arial" w:cs="Arial"/>
          <w:bCs/>
          <w:sz w:val="22"/>
          <w:szCs w:val="22"/>
        </w:rPr>
        <w:t>a související služby</w:t>
      </w:r>
      <w:r w:rsidR="00ED2EA1">
        <w:rPr>
          <w:rFonts w:ascii="Arial" w:hAnsi="Arial" w:cs="Arial"/>
          <w:bCs/>
          <w:sz w:val="22"/>
          <w:szCs w:val="22"/>
        </w:rPr>
        <w:t>, a k níž byl dále dne 13. 8. 2018</w:t>
      </w:r>
      <w:r w:rsidR="00010597">
        <w:rPr>
          <w:rFonts w:ascii="Arial" w:hAnsi="Arial" w:cs="Arial"/>
          <w:bCs/>
          <w:sz w:val="22"/>
          <w:szCs w:val="22"/>
        </w:rPr>
        <w:t xml:space="preserve"> </w:t>
      </w:r>
      <w:r w:rsidR="00ED2EA1">
        <w:rPr>
          <w:rFonts w:ascii="Arial" w:hAnsi="Arial" w:cs="Arial"/>
          <w:bCs/>
          <w:sz w:val="22"/>
          <w:szCs w:val="22"/>
        </w:rPr>
        <w:t xml:space="preserve">Postupitelem vystaven souhlas s poskytováním služeb prostřednictvím poddodavatele </w:t>
      </w:r>
      <w:r w:rsidR="00C45589" w:rsidRPr="003C6F24">
        <w:rPr>
          <w:rFonts w:ascii="Arial" w:hAnsi="Arial" w:cs="Arial"/>
          <w:bCs/>
          <w:sz w:val="22"/>
          <w:szCs w:val="22"/>
        </w:rPr>
        <w:t xml:space="preserve">(dále </w:t>
      </w:r>
      <w:r w:rsidR="007F3B13" w:rsidRPr="003C6F24">
        <w:rPr>
          <w:rFonts w:ascii="Arial" w:hAnsi="Arial" w:cs="Arial"/>
          <w:bCs/>
          <w:sz w:val="22"/>
          <w:szCs w:val="22"/>
        </w:rPr>
        <w:t>jen</w:t>
      </w:r>
      <w:r w:rsidR="00C45589" w:rsidRPr="003C6F24">
        <w:rPr>
          <w:rFonts w:ascii="Arial" w:hAnsi="Arial" w:cs="Arial"/>
          <w:bCs/>
          <w:sz w:val="22"/>
          <w:szCs w:val="22"/>
        </w:rPr>
        <w:t xml:space="preserve"> „</w:t>
      </w:r>
      <w:r w:rsidR="007F3B13" w:rsidRPr="003C6F24">
        <w:rPr>
          <w:rFonts w:ascii="Arial" w:hAnsi="Arial" w:cs="Arial"/>
          <w:b/>
          <w:sz w:val="22"/>
          <w:szCs w:val="22"/>
        </w:rPr>
        <w:t>Smlouva</w:t>
      </w:r>
      <w:r w:rsidR="00C45589" w:rsidRPr="003C6F24">
        <w:rPr>
          <w:rFonts w:ascii="Arial" w:hAnsi="Arial" w:cs="Arial"/>
          <w:bCs/>
          <w:sz w:val="22"/>
          <w:szCs w:val="22"/>
        </w:rPr>
        <w:t>“).</w:t>
      </w:r>
    </w:p>
    <w:p w14:paraId="71E811DA" w14:textId="77777777" w:rsidR="007F3B13" w:rsidRDefault="007F3B13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F01C6F0" w14:textId="77777777" w:rsidR="00845272" w:rsidRPr="00132EDF" w:rsidRDefault="00845272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prohlašuje, že povaha </w:t>
      </w:r>
      <w:r w:rsidR="007F3B13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nevylučuje </w:t>
      </w:r>
      <w:r w:rsidR="007F3B13">
        <w:rPr>
          <w:rFonts w:ascii="Arial" w:hAnsi="Arial" w:cs="Arial"/>
          <w:bCs/>
          <w:sz w:val="22"/>
          <w:szCs w:val="22"/>
        </w:rPr>
        <w:t xml:space="preserve">její </w:t>
      </w:r>
      <w:r>
        <w:rPr>
          <w:rFonts w:ascii="Arial" w:hAnsi="Arial" w:cs="Arial"/>
          <w:bCs/>
          <w:sz w:val="22"/>
          <w:szCs w:val="22"/>
        </w:rPr>
        <w:t>postoupení touto smlouvou, zejména povinnost Postupitele uvedená v</w:t>
      </w:r>
      <w:r w:rsidR="007F3B13">
        <w:rPr>
          <w:rFonts w:ascii="Arial" w:hAnsi="Arial" w:cs="Arial"/>
          <w:bCs/>
          <w:sz w:val="22"/>
          <w:szCs w:val="22"/>
        </w:rPr>
        <w:t>e Smlouvě</w:t>
      </w:r>
      <w:r>
        <w:rPr>
          <w:rFonts w:ascii="Arial" w:hAnsi="Arial" w:cs="Arial"/>
          <w:bCs/>
          <w:sz w:val="22"/>
          <w:szCs w:val="22"/>
        </w:rPr>
        <w:t xml:space="preserve"> není osobní povahy.</w:t>
      </w:r>
    </w:p>
    <w:p w14:paraId="3239D103" w14:textId="77777777"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F142240" w14:textId="77777777"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7272D9FF" w14:textId="77777777"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3B220971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3D10CFE" w14:textId="77777777"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Pr="001D7CBB">
        <w:rPr>
          <w:rFonts w:ascii="Arial" w:hAnsi="Arial" w:cs="Arial"/>
          <w:bCs/>
          <w:sz w:val="22"/>
          <w:szCs w:val="22"/>
        </w:rPr>
        <w:t xml:space="preserve">převádí veškerá </w:t>
      </w:r>
      <w:r>
        <w:rPr>
          <w:rFonts w:ascii="Arial" w:hAnsi="Arial" w:cs="Arial"/>
          <w:bCs/>
          <w:sz w:val="22"/>
          <w:szCs w:val="22"/>
        </w:rPr>
        <w:t xml:space="preserve">svá </w:t>
      </w:r>
      <w:r w:rsidRPr="001D7CBB">
        <w:rPr>
          <w:rFonts w:ascii="Arial" w:hAnsi="Arial" w:cs="Arial"/>
          <w:bCs/>
          <w:sz w:val="22"/>
          <w:szCs w:val="22"/>
        </w:rPr>
        <w:t>práva a veškeré povinnosti vyplývající pro něj ze Smlouvy na Postupníka.</w:t>
      </w:r>
    </w:p>
    <w:p w14:paraId="25EC370E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208D233" w14:textId="77777777"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ze Smlouvy od Postupitele bez výhrad a v plném rozsahu přijímá a zavazuje se je řádně plnit.</w:t>
      </w:r>
    </w:p>
    <w:p w14:paraId="5774DE9E" w14:textId="77777777" w:rsidR="007F3B13" w:rsidRDefault="007F3B13" w:rsidP="00E95EDB">
      <w:pPr>
        <w:spacing w:line="360" w:lineRule="auto"/>
        <w:ind w:left="357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98D4969" w14:textId="77777777" w:rsidR="00717839" w:rsidRDefault="00717839" w:rsidP="00E95EDB">
      <w:pPr>
        <w:numPr>
          <w:ilvl w:val="0"/>
          <w:numId w:val="5"/>
        </w:numPr>
        <w:spacing w:line="360" w:lineRule="auto"/>
        <w:ind w:left="357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Postoupení </w:t>
      </w:r>
      <w:r w:rsidR="00730767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má účinky pouze vůči tomu, co ještě nebylo splněno.</w:t>
      </w:r>
    </w:p>
    <w:p w14:paraId="7C461E34" w14:textId="77777777"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901A1A9" w14:textId="77777777"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3EA3921B" w14:textId="77777777"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14:paraId="2428FB1D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3365130" w14:textId="77777777"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poskytl Postupníkovi 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Smlouvy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14:paraId="65D58D7B" w14:textId="77777777"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CA188DD" w14:textId="77777777"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>Postoupená strana prohlašuje, že 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Smlouvy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převzetím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e Smlouvy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14:paraId="6C0C76AD" w14:textId="77777777"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531B65F" w14:textId="77777777"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ze Smlouvy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14:paraId="4F2E272A" w14:textId="77777777"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38A14921" w14:textId="77777777"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lastRenderedPageBreak/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ze Smlouvy odmítá ve smyslu § 1899 odst. 1 Občanského zákoníku.</w:t>
      </w:r>
    </w:p>
    <w:p w14:paraId="1E7F4CC9" w14:textId="77777777" w:rsidR="003C6F24" w:rsidRDefault="003C6F24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14B16DAD" w14:textId="77777777"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75C9313A" w14:textId="77777777"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14:paraId="427284CB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E5D2A00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7211C11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C3E7863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14:paraId="339D615B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7ACAF69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>Smluvní strany se dohodly, že se na vztahy založené touto smlouvou, není-li věc výslovně upravena v této smlouvě, použijí ustanovení úprav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postoupení smlouvy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dle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 xml:space="preserve">ustanovení 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§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 </w:t>
      </w:r>
      <w:r>
        <w:rPr>
          <w:rFonts w:ascii="Arial" w:hAnsi="Arial" w:cs="Arial"/>
          <w:bCs/>
          <w:sz w:val="22"/>
          <w:szCs w:val="22"/>
          <w:lang w:eastAsia="ar-SA"/>
        </w:rPr>
        <w:t>1895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a násl.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6D21054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3C967C4" w14:textId="77777777"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3C6F24">
        <w:rPr>
          <w:rFonts w:ascii="Arial" w:hAnsi="Arial" w:cs="Arial"/>
          <w:bCs/>
          <w:sz w:val="22"/>
          <w:szCs w:val="22"/>
          <w:lang w:eastAsia="ar-SA"/>
        </w:rPr>
        <w:t xml:space="preserve"> 1. 7. 2020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Smluvní strany berou na vědomí, že tato smlouva a její dodatky budou uveřejněny prostřednictvím registru smluv podle zákona č.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340/2015 Sb., o zvláštních podmínkách účinnosti některých smluv, uveřejňování těchto smluv a o registru smluv, </w:t>
      </w:r>
      <w:r w:rsidR="001D7CBB" w:rsidRPr="009D3A67">
        <w:rPr>
          <w:rFonts w:ascii="Arial" w:hAnsi="Arial" w:cs="Arial"/>
          <w:bCs/>
          <w:iCs/>
          <w:sz w:val="22"/>
          <w:szCs w:val="22"/>
        </w:rPr>
        <w:t>ve znění pozdějších předpisů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. Uveřejnění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této smlouvy v registru smluv zajistí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Postupitel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09EB0C8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2F0B5C2" w14:textId="77777777"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14:paraId="5779A9CB" w14:textId="77777777"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173B42C" w14:textId="77777777"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14:paraId="7ED3FD9B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5B52CCE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14:paraId="32849A4D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420500B" w14:textId="77777777"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14:paraId="06AB8832" w14:textId="77777777"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D94A39A" w14:textId="77777777"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</w:t>
      </w:r>
      <w:proofErr w:type="gramStart"/>
      <w:r w:rsidRPr="00034B67">
        <w:rPr>
          <w:rFonts w:ascii="Arial" w:hAnsi="Arial" w:cs="Arial"/>
          <w:bCs/>
          <w:sz w:val="22"/>
          <w:szCs w:val="22"/>
          <w:lang w:eastAsia="ar-SA"/>
        </w:rPr>
        <w:t>účelem</w:t>
      </w:r>
      <w:proofErr w:type="gramEnd"/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14:paraId="4A55490D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44E0462C" w14:textId="77777777"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14:paraId="6AF0E6A4" w14:textId="77777777"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36CD078E" w14:textId="77777777"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72A7B4AA" w14:textId="77777777"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26CAD50C" w14:textId="77777777"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4E5BE76E" w14:textId="77777777"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CA3809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14:paraId="06D47948" w14:textId="77777777"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14:paraId="203D61A0" w14:textId="77777777"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14:paraId="6DD6FFE1" w14:textId="77777777"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14:paraId="6C2342E3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1FC9EAE3" w14:textId="77777777"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2044DA03" w14:textId="77777777"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0C6C6CE0" w14:textId="77777777"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3699814D" w14:textId="77777777"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023C18" w14:textId="77777777"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14:paraId="02C82563" w14:textId="77777777"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  <w:t>Ing. Václav Novotný</w:t>
      </w:r>
      <w:r w:rsidR="000A6F08">
        <w:rPr>
          <w:rFonts w:ascii="Arial" w:hAnsi="Arial" w:cs="Arial"/>
          <w:sz w:val="22"/>
          <w:szCs w:val="22"/>
        </w:rPr>
        <w:t>,</w:t>
      </w:r>
    </w:p>
    <w:p w14:paraId="534EF113" w14:textId="77777777"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  <w:t>místopředseda představenstva</w:t>
      </w:r>
    </w:p>
    <w:p w14:paraId="168342E5" w14:textId="77777777"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44A9FF44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48B2B6C2" w14:textId="77777777"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</w:t>
      </w:r>
      <w:r w:rsidR="00010597">
        <w:rPr>
          <w:rFonts w:ascii="Arial" w:hAnsi="Arial" w:cs="Arial"/>
          <w:iCs/>
          <w:sz w:val="22"/>
          <w:szCs w:val="22"/>
        </w:rPr>
        <w:t xml:space="preserve"> Praze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0B1A0F44" w14:textId="77777777"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01C84E91" w14:textId="77777777"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7C7AC040" w14:textId="77777777"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2E6492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14:paraId="6AD4EF42" w14:textId="77777777" w:rsidR="00E95EDB" w:rsidRPr="003C6F24" w:rsidRDefault="0001059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</w:rPr>
      </w:pPr>
      <w:r w:rsidRPr="00010597">
        <w:rPr>
          <w:rFonts w:ascii="Arial" w:hAnsi="Arial" w:cs="Arial"/>
          <w:iCs/>
          <w:sz w:val="22"/>
          <w:szCs w:val="22"/>
        </w:rPr>
        <w:t>Vladimír</w:t>
      </w:r>
      <w:r>
        <w:rPr>
          <w:rFonts w:ascii="Arial" w:hAnsi="Arial" w:cs="Arial"/>
          <w:iCs/>
          <w:sz w:val="22"/>
          <w:szCs w:val="22"/>
        </w:rPr>
        <w:t>a</w:t>
      </w:r>
      <w:r w:rsidRPr="0001059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10597">
        <w:rPr>
          <w:rFonts w:ascii="Arial" w:hAnsi="Arial" w:cs="Arial"/>
          <w:iCs/>
          <w:sz w:val="22"/>
          <w:szCs w:val="22"/>
        </w:rPr>
        <w:t>Popardowsk</w:t>
      </w:r>
      <w:r>
        <w:rPr>
          <w:rFonts w:ascii="Arial" w:hAnsi="Arial" w:cs="Arial"/>
          <w:iCs/>
          <w:sz w:val="22"/>
          <w:szCs w:val="22"/>
        </w:rPr>
        <w:t>á</w:t>
      </w:r>
      <w:proofErr w:type="spellEnd"/>
      <w:r>
        <w:rPr>
          <w:rFonts w:ascii="Arial" w:hAnsi="Arial" w:cs="Arial"/>
          <w:iCs/>
          <w:sz w:val="22"/>
          <w:szCs w:val="22"/>
        </w:rPr>
        <w:t>,</w:t>
      </w:r>
    </w:p>
    <w:p w14:paraId="05EB95FD" w14:textId="77777777" w:rsidR="00B630D0" w:rsidRPr="00B630D0" w:rsidRDefault="0001059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prokuristka</w:t>
      </w:r>
    </w:p>
    <w:sectPr w:rsidR="00B630D0" w:rsidRPr="00B630D0" w:rsidSect="00010597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6CEB1" w14:textId="77777777" w:rsidR="00AD7241" w:rsidRDefault="00AD7241" w:rsidP="00EB68FB">
      <w:r>
        <w:separator/>
      </w:r>
    </w:p>
  </w:endnote>
  <w:endnote w:type="continuationSeparator" w:id="0">
    <w:p w14:paraId="15ED9ED7" w14:textId="77777777" w:rsidR="00AD7241" w:rsidRDefault="00AD7241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3F87" w14:textId="77777777"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14:paraId="58A710FB" w14:textId="77777777"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F9C7D" w14:textId="77777777" w:rsidR="00AD7241" w:rsidRDefault="00AD7241" w:rsidP="00EB68FB">
      <w:r>
        <w:separator/>
      </w:r>
    </w:p>
  </w:footnote>
  <w:footnote w:type="continuationSeparator" w:id="0">
    <w:p w14:paraId="16F5C6E3" w14:textId="77777777" w:rsidR="00AD7241" w:rsidRDefault="00AD7241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597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6F08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6F24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D7241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2705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685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2EA1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1139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539C-785A-4189-8C2F-F2214FE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Mackovičová Kristýna</cp:lastModifiedBy>
  <cp:revision>2</cp:revision>
  <cp:lastPrinted>2018-09-20T18:22:00Z</cp:lastPrinted>
  <dcterms:created xsi:type="dcterms:W3CDTF">2020-08-17T11:46:00Z</dcterms:created>
  <dcterms:modified xsi:type="dcterms:W3CDTF">2020-08-17T11:46:00Z</dcterms:modified>
</cp:coreProperties>
</file>