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9-369/H1700/20/RS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455B4F" w:rsidRPr="006953A3" w:rsidRDefault="00F369D2" w:rsidP="00455B4F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Ing. Lukáš Poláček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Zelený pruh 499/84, Praha 4-Krč,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44820411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v průběhu výstavby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30.07.2020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vytyčení níže jmenované stavby</w:t>
            </w:r>
          </w:p>
          <w:p w:rsidR="00DA43F8" w:rsidRDefault="00DA43F8"/>
          <w:p w:rsidR="00DA43F8" w:rsidRDefault="00DC10EA">
            <w:r>
              <w:t>Číslo akce:1/4/H17/00</w:t>
            </w:r>
          </w:p>
          <w:p w:rsidR="00DA43F8" w:rsidRDefault="00DC10EA">
            <w:r>
              <w:t>Název akce:Obnova vodovodních řadů, ul. Kundratka a okolí, P8</w:t>
            </w:r>
          </w:p>
          <w:p w:rsidR="00DA43F8" w:rsidRDefault="00DA43F8"/>
          <w:p w:rsidR="00DA43F8" w:rsidRDefault="00DC10EA">
            <w:r>
              <w:t xml:space="preserve">Cena za provedené práce </w:t>
            </w:r>
            <w:r>
              <w:t>nepřesáhne částku dle nabídkového ceníku t.j.: 55 800,-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0EA" w:rsidRDefault="00DC10EA" w:rsidP="00CD4058">
      <w:pPr>
        <w:spacing w:after="0" w:line="240" w:lineRule="auto"/>
      </w:pPr>
      <w:r>
        <w:separator/>
      </w:r>
    </w:p>
  </w:endnote>
  <w:endnote w:type="continuationSeparator" w:id="0">
    <w:p w:rsidR="00DC10EA" w:rsidRDefault="00DC10EA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0EA" w:rsidRDefault="00DC10EA" w:rsidP="00CD4058">
      <w:pPr>
        <w:spacing w:after="0" w:line="240" w:lineRule="auto"/>
      </w:pPr>
      <w:r>
        <w:separator/>
      </w:r>
    </w:p>
  </w:footnote>
  <w:footnote w:type="continuationSeparator" w:id="0">
    <w:p w:rsidR="00DC10EA" w:rsidRDefault="00DC10EA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55B4F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A43F8"/>
    <w:rsid w:val="00DC10EA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4FDF-A92E-4DC1-87A0-E566A196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2020-08-14T16:31:00Z</dcterms:modified>
</cp:coreProperties>
</file>