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AGROCON Kájov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Křenov 1, 381 01 Kájov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Bohdalovice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14 110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23 033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Hašlovice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Kladenské Rovné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19 145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441 980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24 524,03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Kladné-Dobrkovice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Křenov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nádrž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1 837,19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231 508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13 698,45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Novosedly u Kájova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6 387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Skubice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9 547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Velké Strážné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38 161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2 047,14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Vyšný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Záhoří u Větřní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106 436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4 459,97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Zátoňské Dvory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883 267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48 256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55N15/33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5511533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26.5.2015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48 256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