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3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3"/>
        <w:gridCol w:w="4075"/>
      </w:tblGrid>
      <w:tr w:rsidR="00E93B64" w:rsidRPr="009B5B05" w14:paraId="28C8AFA9" w14:textId="77777777" w:rsidTr="008A0C40">
        <w:trPr>
          <w:cantSplit/>
          <w:trHeight w:val="468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68B4EB8E" w14:textId="6D0F8594" w:rsidR="009B5B05" w:rsidRPr="009B5B05" w:rsidRDefault="009B5B05" w:rsidP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24"/>
                <w:lang w:eastAsia="cs-CZ"/>
              </w:rPr>
            </w:pPr>
            <w:bookmarkStart w:id="0" w:name="_Hlk48135136"/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DA0A4" w14:textId="614D0BAE" w:rsidR="009B5B05" w:rsidRPr="009B5B05" w:rsidRDefault="00E9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</w:pPr>
            <w:r w:rsidRPr="00E93B64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 xml:space="preserve">Objednávka č. </w:t>
            </w:r>
            <w:r w:rsidR="00FB35C3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20</w:t>
            </w:r>
            <w:r w:rsidR="008876C3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200</w:t>
            </w:r>
            <w:r w:rsidR="0090799A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9</w:t>
            </w:r>
            <w:r w:rsidR="005D77D8">
              <w:rPr>
                <w:rFonts w:ascii="Arial" w:eastAsiaTheme="minorEastAsia" w:hAnsi="Arial" w:cs="Arial"/>
                <w:b/>
                <w:bCs/>
                <w:color w:val="00ADD0"/>
                <w:sz w:val="36"/>
                <w:szCs w:val="24"/>
                <w:lang w:eastAsia="cs-CZ"/>
              </w:rPr>
              <w:t>5</w:t>
            </w:r>
          </w:p>
        </w:tc>
      </w:tr>
    </w:tbl>
    <w:p w14:paraId="2A8B1B06" w14:textId="77777777" w:rsidR="00E93B64" w:rsidRPr="009B5B05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969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3"/>
        <w:gridCol w:w="11"/>
        <w:gridCol w:w="3404"/>
        <w:gridCol w:w="3977"/>
        <w:gridCol w:w="417"/>
        <w:gridCol w:w="100"/>
        <w:gridCol w:w="42"/>
        <w:gridCol w:w="517"/>
      </w:tblGrid>
      <w:tr w:rsidR="009B5B05" w:rsidRPr="009B5B05" w14:paraId="5CF647AF" w14:textId="77777777" w:rsidTr="00893390">
        <w:trPr>
          <w:gridAfter w:val="1"/>
          <w:wAfter w:w="517" w:type="dxa"/>
          <w:cantSplit/>
          <w:trHeight w:val="230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3B9CE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FFC35B" w14:textId="77777777" w:rsidR="009B5B05" w:rsidRP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</w:p>
        </w:tc>
      </w:tr>
      <w:tr w:rsidR="009B5B05" w:rsidRPr="009B5B05" w14:paraId="688CF610" w14:textId="77777777" w:rsidTr="00893390">
        <w:trPr>
          <w:gridAfter w:val="1"/>
          <w:wAfter w:w="517" w:type="dxa"/>
          <w:cantSplit/>
          <w:trHeight w:val="1141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5027A" w14:textId="77777777" w:rsidR="009B5B05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Městský ateliér prostorového plánování </w:t>
            </w:r>
            <w:r w:rsidRPr="009B5B05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a architektury, příspěvková organizace</w:t>
            </w:r>
          </w:p>
          <w:p w14:paraId="4D57F207" w14:textId="77777777" w:rsidR="00FB35C3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4F9F0946" w14:textId="77777777" w:rsidR="00FC188D" w:rsidRPr="008C0F06" w:rsidRDefault="00FC188D" w:rsidP="00FC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Nádražní 942/17</w:t>
            </w:r>
          </w:p>
          <w:p w14:paraId="6F28E54E" w14:textId="23339CDF" w:rsidR="00FB35C3" w:rsidRPr="009B5B05" w:rsidRDefault="00FC188D" w:rsidP="00FC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F0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702 00 Ostrava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3B02CB5E" w14:textId="0F4F6A4A" w:rsidR="00FF1839" w:rsidRPr="000C2464" w:rsidRDefault="005D77D8" w:rsidP="000A528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Simona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Konigová</w:t>
            </w:r>
            <w:proofErr w:type="spellEnd"/>
          </w:p>
          <w:p w14:paraId="0BD7C348" w14:textId="476D3C67" w:rsidR="00AC7565" w:rsidRPr="005C33CA" w:rsidRDefault="005D77D8" w:rsidP="00FF18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Ostrovského 944/14</w:t>
            </w:r>
          </w:p>
          <w:p w14:paraId="72844F41" w14:textId="0021EC89" w:rsidR="009B5B05" w:rsidRPr="005C33CA" w:rsidRDefault="005D77D8" w:rsidP="00FF183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736 01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Havířov - Město</w:t>
            </w:r>
            <w:proofErr w:type="gramEnd"/>
          </w:p>
          <w:p w14:paraId="0EF1CE49" w14:textId="2FCC3DE5" w:rsidR="00FF1839" w:rsidRPr="005C33CA" w:rsidRDefault="00FF1839" w:rsidP="00FF18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837E30" w14:textId="77777777" w:rsidR="009B5B05" w:rsidRPr="005C33CA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  <w:tr w:rsidR="009B5B05" w:rsidRPr="009B5B05" w14:paraId="65DC7154" w14:textId="77777777" w:rsidTr="00893390">
        <w:trPr>
          <w:gridAfter w:val="1"/>
          <w:wAfter w:w="517" w:type="dxa"/>
          <w:cantSplit/>
          <w:trHeight w:val="234"/>
        </w:trPr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8C31F" w14:textId="2FC19FE9" w:rsidR="009B5B05" w:rsidRPr="009B5B05" w:rsidRDefault="00FB35C3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IČ: 08230404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F220AD" w14:textId="4F51045B" w:rsidR="009B5B05" w:rsidRPr="005C33CA" w:rsidRDefault="00AC7565" w:rsidP="00F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5C33C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</w:t>
            </w:r>
            <w:r w:rsidR="005D77D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: 06247881</w:t>
            </w:r>
          </w:p>
        </w:tc>
      </w:tr>
      <w:tr w:rsidR="00226D21" w:rsidRPr="009B5B05" w14:paraId="1D0BA8F1" w14:textId="77777777" w:rsidTr="00893390">
        <w:trPr>
          <w:gridAfter w:val="1"/>
          <w:wAfter w:w="517" w:type="dxa"/>
          <w:cantSplit/>
          <w:trHeight w:val="561"/>
        </w:trPr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4843F" w14:textId="1C0AC621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Bank. spojení: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251D5" w14:textId="645F952F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A3643" w14:textId="79DEAC47" w:rsidR="00D17F48" w:rsidRPr="005C33CA" w:rsidRDefault="00B62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e-mail: </w:t>
            </w:r>
            <w:hyperlink r:id="rId8" w:history="1">
              <w:proofErr w:type="spellStart"/>
              <w:r w:rsidR="00E63D2D">
                <w:rPr>
                  <w:rStyle w:val="Hypertextovodkaz"/>
                  <w:sz w:val="24"/>
                  <w:szCs w:val="24"/>
                </w:rPr>
                <w:t>xxxxxxxxxxxxxxxxxxxxxxxxxxx</w:t>
              </w:r>
              <w:proofErr w:type="spellEnd"/>
            </w:hyperlink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09908" w14:textId="45E1E9CD" w:rsidR="00D17F48" w:rsidRPr="005C33CA" w:rsidRDefault="00D17F48" w:rsidP="00F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  <w:tr w:rsidR="00226D21" w:rsidRPr="009B5B05" w14:paraId="5966F299" w14:textId="77777777" w:rsidTr="00893390">
        <w:trPr>
          <w:cantSplit/>
          <w:trHeight w:val="215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35CE1A4" w14:textId="62304996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94457" w14:textId="7183ED69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9B5B05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123-0062920267/0100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FAFCB" w14:textId="2B0DC7F6" w:rsidR="00D17F48" w:rsidRPr="00FF1839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3941D4D" w14:textId="54DFD9E4" w:rsidR="00D17F48" w:rsidRPr="00FF1839" w:rsidRDefault="00D17F48" w:rsidP="00D17F48">
            <w:pPr>
              <w:pStyle w:val="card-contacts-list-item-value"/>
              <w:numPr>
                <w:ilvl w:val="0"/>
                <w:numId w:val="10"/>
              </w:numPr>
              <w:rPr>
                <w:vanish/>
                <w:sz w:val="20"/>
                <w:szCs w:val="20"/>
              </w:rPr>
            </w:pPr>
            <w:r w:rsidRPr="00FF1839">
              <w:rPr>
                <w:vanish/>
                <w:sz w:val="20"/>
                <w:szCs w:val="20"/>
              </w:rPr>
              <w:t>+420 530 500 000</w:t>
            </w:r>
          </w:p>
          <w:p w14:paraId="0097F80F" w14:textId="47689096" w:rsidR="00D17F48" w:rsidRPr="00FF1839" w:rsidRDefault="00D17F48" w:rsidP="00FF1839">
            <w:pPr>
              <w:pStyle w:val="card-contacts-list-item-value"/>
              <w:widowControl w:val="0"/>
              <w:autoSpaceDE w:val="0"/>
              <w:autoSpaceDN w:val="0"/>
              <w:adjustRightInd w:val="0"/>
              <w:ind w:left="7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40DEC" w14:textId="77777777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17F48" w:rsidRPr="009B5B05" w14:paraId="579C81B2" w14:textId="77777777" w:rsidTr="00893390">
        <w:trPr>
          <w:gridAfter w:val="1"/>
          <w:wAfter w:w="517" w:type="dxa"/>
          <w:cantSplit/>
          <w:trHeight w:val="230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D75B10C" w14:textId="6D37C0E4" w:rsidR="00D17F48" w:rsidRPr="009B5B05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5EE8F" w14:textId="0B19BAC9" w:rsidR="008C0F06" w:rsidRPr="009B5B05" w:rsidRDefault="00A0290A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8A0C4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6D8537" w14:textId="77777777" w:rsidR="00D17F48" w:rsidRPr="00FF1839" w:rsidRDefault="00D17F48" w:rsidP="00D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bookmarkEnd w:id="0"/>
      <w:tr w:rsidR="00893390" w:rsidRPr="00684D63" w14:paraId="1A06E77F" w14:textId="77777777" w:rsidTr="00843A90">
        <w:trPr>
          <w:gridAfter w:val="1"/>
          <w:wAfter w:w="517" w:type="dxa"/>
          <w:cantSplit/>
          <w:trHeight w:val="28"/>
        </w:trPr>
        <w:tc>
          <w:tcPr>
            <w:tcW w:w="9174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F8AE9C7" w14:textId="77777777" w:rsidR="00C54D4E" w:rsidRDefault="00C54D4E" w:rsidP="00C5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Místo doručení:</w:t>
            </w:r>
          </w:p>
          <w:p w14:paraId="6F3755B3" w14:textId="77777777" w:rsidR="00C54D4E" w:rsidRPr="008C0F06" w:rsidRDefault="00C54D4E" w:rsidP="00C5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Nádražní 942/17</w:t>
            </w:r>
          </w:p>
          <w:p w14:paraId="7DF30ACA" w14:textId="77777777" w:rsidR="00893390" w:rsidRDefault="00C54D4E" w:rsidP="00C5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8C0F0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702 00 Ostrava</w:t>
            </w:r>
          </w:p>
          <w:p w14:paraId="2E84D4DC" w14:textId="77777777" w:rsidR="00C54D4E" w:rsidRDefault="00C54D4E" w:rsidP="00C5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7DD321EB" w14:textId="77777777" w:rsidR="00C54D4E" w:rsidRPr="00684D63" w:rsidRDefault="00C54D4E" w:rsidP="00C5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O</w:t>
            </w:r>
            <w:r w:rsidRPr="00684D63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bjedná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vka</w:t>
            </w:r>
            <w:r w:rsidRPr="00684D63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27C91E79" w14:textId="77777777" w:rsidR="00C54D4E" w:rsidRPr="00684D63" w:rsidRDefault="00C54D4E" w:rsidP="00C5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69A2C339" w14:textId="2428558C" w:rsidR="00C54D4E" w:rsidRDefault="00C54D4E" w:rsidP="00C54D4E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Dle Vaší cenové nabídky u Vás objednáváme 2 ks prezentačního software pro dotykové obrazovky ve výstavním prostu vč. prací, které se zprovozněním softwarů souvisejí.</w:t>
            </w:r>
          </w:p>
          <w:p w14:paraId="3A66AEA8" w14:textId="104731DC" w:rsidR="00C54D4E" w:rsidRDefault="00C54D4E" w:rsidP="00C54D4E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  <w:p w14:paraId="165A8ECE" w14:textId="77777777" w:rsidR="00C54D4E" w:rsidRDefault="00C54D4E" w:rsidP="00C54D4E">
            <w:pPr>
              <w:rPr>
                <w:rFonts w:ascii="Arial" w:hAnsi="Arial" w:cs="Arial"/>
                <w:b/>
                <w:bCs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C69"/>
                <w:sz w:val="20"/>
                <w:szCs w:val="20"/>
              </w:rPr>
              <w:t>1.) Instalace a nastavení PC pro funkce dotykové obrazovky ve výstavním prostoru MAPPA</w:t>
            </w:r>
          </w:p>
          <w:p w14:paraId="2B254131" w14:textId="77777777" w:rsidR="00C54D4E" w:rsidRDefault="00C54D4E" w:rsidP="00C54D4E">
            <w:pPr>
              <w:numPr>
                <w:ilvl w:val="1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eastAsia="Times New Roman"/>
              </w:rPr>
              <w:t>pro web služby</w:t>
            </w:r>
          </w:p>
          <w:p w14:paraId="4F42ABCC" w14:textId="77777777" w:rsidR="00C54D4E" w:rsidRDefault="00C54D4E" w:rsidP="00C54D4E">
            <w:pPr>
              <w:numPr>
                <w:ilvl w:val="1"/>
                <w:numId w:val="1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možnost vzdáleného přístupu administrace, RDP, VNC, Google </w:t>
            </w:r>
            <w:proofErr w:type="spellStart"/>
            <w:r>
              <w:rPr>
                <w:rFonts w:eastAsia="Times New Roman"/>
              </w:rPr>
              <w:t>Remote</w:t>
            </w:r>
            <w:proofErr w:type="spellEnd"/>
            <w:r>
              <w:rPr>
                <w:rFonts w:eastAsia="Times New Roman"/>
              </w:rPr>
              <w:t xml:space="preserve"> desktop</w:t>
            </w:r>
          </w:p>
          <w:p w14:paraId="4BC59763" w14:textId="77777777" w:rsidR="00C54D4E" w:rsidRDefault="00C54D4E" w:rsidP="00C54D4E">
            <w:pPr>
              <w:numPr>
                <w:ilvl w:val="1"/>
                <w:numId w:val="1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instalace databáze, zprovoznění webu</w:t>
            </w:r>
          </w:p>
          <w:p w14:paraId="764D887A" w14:textId="77777777" w:rsidR="00C54D4E" w:rsidRDefault="00C54D4E" w:rsidP="00C54D4E">
            <w:pPr>
              <w:numPr>
                <w:ilvl w:val="1"/>
                <w:numId w:val="1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spuštění základních služeb pro web, databázi</w:t>
            </w:r>
          </w:p>
          <w:p w14:paraId="1779B685" w14:textId="77777777" w:rsidR="00C54D4E" w:rsidRDefault="00C54D4E" w:rsidP="00C54D4E">
            <w:pPr>
              <w:numPr>
                <w:ilvl w:val="1"/>
                <w:numId w:val="1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zakázání nepotřebných služeb a nastavení firewall, blokování přístupu</w:t>
            </w:r>
          </w:p>
          <w:p w14:paraId="335BCC15" w14:textId="77777777" w:rsidR="00C54D4E" w:rsidRDefault="00C54D4E" w:rsidP="00C54D4E">
            <w:pPr>
              <w:numPr>
                <w:ilvl w:val="1"/>
                <w:numId w:val="1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nastavení spouštění galerie bez možnosti ovládání Windows – kiosk režim</w:t>
            </w:r>
          </w:p>
          <w:p w14:paraId="63B10B35" w14:textId="77777777" w:rsidR="00C54D4E" w:rsidRDefault="00C54D4E" w:rsidP="00C54D4E">
            <w:pPr>
              <w:numPr>
                <w:ilvl w:val="1"/>
                <w:numId w:val="14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testování provozu, zálohování základních dat na media pro obnovu</w:t>
            </w:r>
          </w:p>
          <w:p w14:paraId="1A07D855" w14:textId="77777777" w:rsidR="00C54D4E" w:rsidRDefault="00C54D4E" w:rsidP="00C54D4E">
            <w:pPr>
              <w:numPr>
                <w:ilvl w:val="1"/>
                <w:numId w:val="14"/>
              </w:numPr>
              <w:spacing w:after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předání</w:t>
            </w:r>
          </w:p>
          <w:p w14:paraId="3A02F3D2" w14:textId="5B705D50" w:rsidR="00C54D4E" w:rsidRDefault="00C54D4E" w:rsidP="00C54D4E">
            <w:pPr>
              <w:rPr>
                <w:rFonts w:ascii="Arial" w:hAnsi="Arial" w:cs="Arial"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color w:val="003C69"/>
                <w:sz w:val="20"/>
                <w:szCs w:val="20"/>
              </w:rPr>
              <w:t>Cena za 2 PC nepřesáhne 16 000 Kč</w:t>
            </w:r>
            <w:r w:rsidR="000875A0">
              <w:rPr>
                <w:rFonts w:ascii="Arial" w:hAnsi="Arial" w:cs="Arial"/>
                <w:color w:val="003C69"/>
                <w:sz w:val="20"/>
                <w:szCs w:val="20"/>
              </w:rPr>
              <w:t>.</w:t>
            </w:r>
          </w:p>
          <w:p w14:paraId="30787E25" w14:textId="77777777" w:rsidR="00C54D4E" w:rsidRDefault="00C54D4E" w:rsidP="00C54D4E">
            <w:pPr>
              <w:rPr>
                <w:rFonts w:ascii="Arial" w:hAnsi="Arial" w:cs="Arial"/>
                <w:b/>
                <w:bCs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C69"/>
                <w:sz w:val="20"/>
                <w:szCs w:val="20"/>
              </w:rPr>
              <w:t>2.) Vývoj a dodávka specializovaného prezentačního software pro dotykové obrazovky ve výstavním prostoru MAPPA</w:t>
            </w:r>
          </w:p>
          <w:p w14:paraId="198C2789" w14:textId="77777777" w:rsidR="00C54D4E" w:rsidRDefault="00C54D4E" w:rsidP="00C54D4E">
            <w:pPr>
              <w:rPr>
                <w:rFonts w:ascii="Arial" w:hAnsi="Arial" w:cs="Arial"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color w:val="003C69"/>
                <w:sz w:val="20"/>
                <w:szCs w:val="20"/>
              </w:rPr>
              <w:t>s touto funkcionalitou:</w:t>
            </w:r>
          </w:p>
          <w:p w14:paraId="30D5814C" w14:textId="77777777" w:rsidR="00C54D4E" w:rsidRDefault="00C54D4E" w:rsidP="00C54D4E">
            <w:pPr>
              <w:numPr>
                <w:ilvl w:val="1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eastAsia="Times New Roman"/>
              </w:rPr>
              <w:t>Vkládání, mazání galerie</w:t>
            </w:r>
          </w:p>
          <w:p w14:paraId="09CE01E0" w14:textId="77777777" w:rsidR="00C54D4E" w:rsidRDefault="00C54D4E" w:rsidP="00C54D4E">
            <w:pPr>
              <w:numPr>
                <w:ilvl w:val="1"/>
                <w:numId w:val="15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Popisy, odkazy</w:t>
            </w:r>
          </w:p>
          <w:p w14:paraId="3F2AA9DE" w14:textId="77777777" w:rsidR="00C54D4E" w:rsidRDefault="00C54D4E" w:rsidP="00C54D4E">
            <w:pPr>
              <w:numPr>
                <w:ilvl w:val="1"/>
                <w:numId w:val="15"/>
              </w:numPr>
              <w:spacing w:after="0" w:line="240" w:lineRule="auto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Uživatele - rozdělení</w:t>
            </w:r>
            <w:proofErr w:type="gramEnd"/>
            <w:r>
              <w:rPr>
                <w:rFonts w:eastAsia="Times New Roman"/>
              </w:rPr>
              <w:t xml:space="preserve"> podle práv</w:t>
            </w:r>
          </w:p>
          <w:p w14:paraId="62C38C07" w14:textId="77777777" w:rsidR="00C54D4E" w:rsidRDefault="00C54D4E" w:rsidP="00C54D4E">
            <w:pPr>
              <w:numPr>
                <w:ilvl w:val="1"/>
                <w:numId w:val="15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Vzdálená správa</w:t>
            </w:r>
          </w:p>
          <w:p w14:paraId="02DFD558" w14:textId="77777777" w:rsidR="00C54D4E" w:rsidRDefault="00C54D4E" w:rsidP="00C54D4E">
            <w:pPr>
              <w:rPr>
                <w:rFonts w:ascii="Arial" w:hAnsi="Arial" w:cs="Arial"/>
                <w:color w:val="003C69"/>
                <w:sz w:val="20"/>
                <w:szCs w:val="20"/>
              </w:rPr>
            </w:pPr>
          </w:p>
          <w:p w14:paraId="60083A8D" w14:textId="2A1A5F9E" w:rsidR="00C54D4E" w:rsidRDefault="00C54D4E" w:rsidP="00C54D4E">
            <w:pPr>
              <w:rPr>
                <w:rFonts w:ascii="Arial" w:hAnsi="Arial" w:cs="Arial"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color w:val="003C69"/>
                <w:sz w:val="20"/>
                <w:szCs w:val="20"/>
              </w:rPr>
              <w:t>Cena za 1 ks softwaru nepřesáhne 18 500 K</w:t>
            </w:r>
            <w:r w:rsidR="000875A0">
              <w:rPr>
                <w:rFonts w:ascii="Arial" w:hAnsi="Arial" w:cs="Arial"/>
                <w:color w:val="003C69"/>
                <w:sz w:val="20"/>
                <w:szCs w:val="20"/>
              </w:rPr>
              <w:t>č.</w:t>
            </w:r>
          </w:p>
          <w:p w14:paraId="16507BB3" w14:textId="28A62D0A" w:rsidR="00C54D4E" w:rsidRDefault="00C54D4E" w:rsidP="00C54D4E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  <w:p w14:paraId="0A1A9627" w14:textId="77777777" w:rsidR="00C54D4E" w:rsidRDefault="00C54D4E" w:rsidP="00C54D4E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  <w:p w14:paraId="06AF990A" w14:textId="77777777" w:rsidR="00C54D4E" w:rsidRDefault="00C54D4E" w:rsidP="00C5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4B4755B" w14:textId="38E6BB63" w:rsidR="00C54D4E" w:rsidRDefault="00C54D4E" w:rsidP="00C5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84D63" w:rsidRPr="00684D63" w14:paraId="7FAB00A4" w14:textId="77777777" w:rsidTr="00893390">
        <w:trPr>
          <w:gridAfter w:val="1"/>
          <w:wAfter w:w="517" w:type="dxa"/>
          <w:cantSplit/>
          <w:trHeight w:val="1842"/>
        </w:trPr>
        <w:tc>
          <w:tcPr>
            <w:tcW w:w="9174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1C27DF09" w14:textId="77777777" w:rsidR="00893390" w:rsidRDefault="00893390" w:rsidP="00021370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bookmarkStart w:id="1" w:name="_Hlk48135163"/>
          </w:p>
          <w:p w14:paraId="17EFEB9C" w14:textId="77777777" w:rsidR="000B0DB2" w:rsidRDefault="000B0DB2" w:rsidP="00021370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  <w:p w14:paraId="07F3F429" w14:textId="77777777" w:rsidR="008876C3" w:rsidRPr="00684D63" w:rsidRDefault="008876C3" w:rsidP="008876C3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  <w:r w:rsidRPr="00684D63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  <w:p w14:paraId="01DC8792" w14:textId="77777777" w:rsidR="002629CD" w:rsidRDefault="002629CD" w:rsidP="008876C3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2708EFD3" w14:textId="2FAE93D2" w:rsidR="008C0F06" w:rsidRPr="00684D63" w:rsidRDefault="000875A0" w:rsidP="008876C3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Předpokládaná ce</w:t>
            </w:r>
            <w:r w:rsidR="00684D63" w:rsidRPr="00684D63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lková cena 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je </w:t>
            </w:r>
            <w:r w:rsidR="004E5F94" w:rsidRPr="00684D63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max. </w:t>
            </w:r>
            <w:r w:rsidR="00893390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 xml:space="preserve">53 000 </w:t>
            </w:r>
            <w:r w:rsidR="004E5F94" w:rsidRPr="00684D63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Kč.</w:t>
            </w:r>
          </w:p>
          <w:p w14:paraId="17465156" w14:textId="709BE0B8" w:rsidR="008C0F06" w:rsidRPr="00684D63" w:rsidRDefault="008C0F06" w:rsidP="00AC7C01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B0DB2" w:rsidRPr="00684D63" w14:paraId="164D8B63" w14:textId="77777777" w:rsidTr="00893390">
        <w:trPr>
          <w:gridAfter w:val="1"/>
          <w:wAfter w:w="517" w:type="dxa"/>
          <w:cantSplit/>
          <w:trHeight w:val="35"/>
        </w:trPr>
        <w:tc>
          <w:tcPr>
            <w:tcW w:w="9174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29A0BBB3" w14:textId="77777777" w:rsidR="000B0DB2" w:rsidRPr="00684D63" w:rsidRDefault="000B0DB2" w:rsidP="0088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416262D7" w14:textId="061E6831" w:rsidR="00E93B64" w:rsidRPr="008A0C40" w:rsidRDefault="00E93B64" w:rsidP="002629CD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Fakturu nám zašlete včetně </w:t>
      </w:r>
      <w:r w:rsidR="00FB35C3"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všech </w:t>
      </w: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příloh. Na faktuře uvádějte vždy číslo objednávky. Datum splatnosti faktury je stanoveno nejdříve na patnáctý den od data doručení včetně</w:t>
      </w:r>
      <w:r w:rsidR="00FB35C3"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. </w:t>
      </w:r>
      <w:r w:rsidR="00FB35C3" w:rsidRPr="008A0C40" w:rsidDel="00FB35C3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</w:t>
      </w:r>
      <w:r w:rsidRPr="008A0C40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Datem splatnosti faktury se rozumí den odepsání příslušné částky z bankovního účtu.</w:t>
      </w:r>
    </w:p>
    <w:p w14:paraId="4227EF28" w14:textId="03A962A4" w:rsidR="00E93B64" w:rsidRDefault="00E93B64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1439E8C6" w14:textId="0CA3BA71" w:rsidR="008876C3" w:rsidRDefault="008876C3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0034319C" w14:textId="6D5FD5C2" w:rsidR="008876C3" w:rsidRDefault="008876C3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32CFBA56" w14:textId="662C5453" w:rsidR="008876C3" w:rsidRDefault="008876C3" w:rsidP="00B6374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p w14:paraId="32A17EFF" w14:textId="77777777" w:rsidR="00B629BB" w:rsidRPr="009B5B05" w:rsidRDefault="00B629BB" w:rsidP="00BE790F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16"/>
          <w:szCs w:val="16"/>
          <w:lang w:eastAsia="cs-CZ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2"/>
        <w:gridCol w:w="2410"/>
        <w:gridCol w:w="5847"/>
      </w:tblGrid>
      <w:tr w:rsidR="009B5B05" w:rsidRPr="00B63747" w14:paraId="153276D7" w14:textId="77777777" w:rsidTr="00684D63">
        <w:trPr>
          <w:cantSplit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07C4F122" w14:textId="77777777" w:rsidR="009B5B05" w:rsidRPr="00B63747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B6374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Lhůta plnění: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3699D" w14:textId="3BEC232F" w:rsidR="009B5B05" w:rsidRPr="00B63747" w:rsidRDefault="00CD1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ihned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14:paraId="65D771B7" w14:textId="77777777" w:rsidR="009B5B05" w:rsidRPr="00B63747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B5B05" w:rsidRPr="00B63747" w14:paraId="64CD7EC2" w14:textId="77777777" w:rsidTr="008A0C40">
        <w:trPr>
          <w:cantSplit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73373192" w14:textId="77777777" w:rsidR="009B5B05" w:rsidRPr="00B63747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r w:rsidRPr="00B63747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Vyřizuje / tel. / e-mail:</w:t>
            </w:r>
          </w:p>
        </w:tc>
        <w:tc>
          <w:tcPr>
            <w:tcW w:w="8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59478" w14:textId="0B6DEDEE" w:rsidR="009B5B05" w:rsidRPr="00B63747" w:rsidRDefault="00E63D2D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cs-CZ"/>
              </w:rPr>
              <w:t>xxxxxxxxxxxxxxxxxxxxxxxxxxxxxxxxxxxxxx</w:t>
            </w:r>
            <w:proofErr w:type="spellEnd"/>
          </w:p>
        </w:tc>
      </w:tr>
    </w:tbl>
    <w:p w14:paraId="0AAFFC41" w14:textId="4F6BD48A" w:rsidR="00D659DB" w:rsidRPr="00B63747" w:rsidRDefault="00D659DB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20"/>
          <w:szCs w:val="20"/>
          <w:lang w:eastAsia="cs-CZ"/>
        </w:rPr>
      </w:pPr>
    </w:p>
    <w:p w14:paraId="1EDA218C" w14:textId="6E67E37C" w:rsidR="00B529D5" w:rsidRPr="00B63747" w:rsidRDefault="00B529D5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20"/>
          <w:szCs w:val="20"/>
          <w:lang w:eastAsia="cs-CZ"/>
        </w:rPr>
      </w:pPr>
    </w:p>
    <w:p w14:paraId="23FAF053" w14:textId="77777777" w:rsidR="00B63747" w:rsidRPr="00B63747" w:rsidRDefault="00B63747" w:rsidP="008A0C4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eastAsiaTheme="minorEastAsia" w:hAnsi="Arial" w:cs="Arial"/>
          <w:color w:val="000000"/>
          <w:sz w:val="20"/>
          <w:szCs w:val="20"/>
          <w:lang w:eastAsia="cs-CZ"/>
        </w:rPr>
      </w:pPr>
    </w:p>
    <w:p w14:paraId="026D6A96" w14:textId="77777777" w:rsidR="009B5B05" w:rsidRPr="00B63747" w:rsidRDefault="009B5B05" w:rsidP="009B5B0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20"/>
          <w:szCs w:val="20"/>
          <w:lang w:eastAsia="cs-CZ"/>
        </w:rPr>
      </w:pPr>
    </w:p>
    <w:tbl>
      <w:tblPr>
        <w:tblW w:w="948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7"/>
        <w:gridCol w:w="1788"/>
        <w:gridCol w:w="398"/>
        <w:gridCol w:w="5300"/>
        <w:gridCol w:w="114"/>
      </w:tblGrid>
      <w:tr w:rsidR="009B5B05" w:rsidRPr="00B63747" w14:paraId="727CFCE0" w14:textId="77777777" w:rsidTr="008A0C40">
        <w:trPr>
          <w:cantSplit/>
          <w:trHeight w:val="291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EBBF5" w14:textId="77777777" w:rsidR="009B5B05" w:rsidRPr="00B63747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B6374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V Ostravě dne: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9D7A13" w14:textId="1D90107C" w:rsidR="009B5B05" w:rsidRPr="00B63747" w:rsidRDefault="00CD1871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D63629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2</w:t>
            </w:r>
            <w:r w:rsidR="00634FD9" w:rsidRPr="00B6374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8876C3" w:rsidRPr="00B6374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84D63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8</w:t>
            </w:r>
            <w:r w:rsidR="00AC7C01" w:rsidRPr="00B6374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8876C3" w:rsidRPr="00B6374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C7C01" w:rsidRPr="00B6374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20</w:t>
            </w:r>
            <w:r w:rsidR="008876C3" w:rsidRPr="00B6374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261141B" w14:textId="77777777" w:rsidR="009B5B05" w:rsidRPr="00B63747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4D042F" w14:textId="77777777" w:rsidR="009B5B05" w:rsidRPr="00B63747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72A657A3" w14:textId="77777777" w:rsidR="009B5B05" w:rsidRPr="00B63747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9B5B05" w:rsidRPr="00B63747" w14:paraId="267C6653" w14:textId="77777777" w:rsidTr="008A0C40">
        <w:trPr>
          <w:cantSplit/>
          <w:trHeight w:val="306"/>
        </w:trPr>
        <w:tc>
          <w:tcPr>
            <w:tcW w:w="4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E1689" w14:textId="77777777" w:rsidR="009B5B05" w:rsidRPr="00B63747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</w:tcPr>
          <w:p w14:paraId="11B354AC" w14:textId="28BE3A76" w:rsidR="008876C3" w:rsidRPr="00B63747" w:rsidRDefault="00E63D2D" w:rsidP="00887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  <w:t>xxxxxxxxxxxxxxxxxxxxxxx</w:t>
            </w:r>
            <w:proofErr w:type="spellEnd"/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14:paraId="27C4083A" w14:textId="77777777" w:rsidR="009B5B05" w:rsidRPr="00B63747" w:rsidRDefault="009B5B05" w:rsidP="009B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bookmarkEnd w:id="1"/>
    </w:tbl>
    <w:p w14:paraId="7063220F" w14:textId="77777777" w:rsidR="00BE790F" w:rsidRPr="009B5B05" w:rsidRDefault="00BE790F" w:rsidP="00BE790F">
      <w:pPr>
        <w:rPr>
          <w:rFonts w:ascii="Arial" w:hAnsi="Arial" w:cs="Arial"/>
        </w:rPr>
      </w:pPr>
    </w:p>
    <w:sectPr w:rsidR="00BE790F" w:rsidRPr="009B5B05" w:rsidSect="009B5B05"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9FA36" w14:textId="77777777" w:rsidR="00AC535B" w:rsidRDefault="00AC535B" w:rsidP="00531E12">
      <w:pPr>
        <w:spacing w:after="0" w:line="240" w:lineRule="auto"/>
      </w:pPr>
      <w:r>
        <w:separator/>
      </w:r>
    </w:p>
  </w:endnote>
  <w:endnote w:type="continuationSeparator" w:id="0">
    <w:p w14:paraId="32178832" w14:textId="77777777" w:rsidR="00AC535B" w:rsidRDefault="00AC535B" w:rsidP="0053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448584239"/>
      <w:docPartObj>
        <w:docPartGallery w:val="Page Numbers (Bottom of Page)"/>
        <w:docPartUnique/>
      </w:docPartObj>
    </w:sdtPr>
    <w:sdtEndPr/>
    <w:sdtContent>
      <w:p w14:paraId="62E0FD79" w14:textId="77777777" w:rsidR="00131AC7" w:rsidRDefault="00131AC7">
        <w:pPr>
          <w:pStyle w:val="Zpat"/>
          <w:jc w:val="center"/>
          <w:rPr>
            <w:rFonts w:ascii="Arial" w:hAnsi="Arial" w:cs="Arial"/>
          </w:rPr>
        </w:pPr>
      </w:p>
      <w:p w14:paraId="6C69011E" w14:textId="77777777" w:rsidR="00280F16" w:rsidRPr="001978D8" w:rsidRDefault="00131AC7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  <w:noProof/>
            <w:lang w:eastAsia="cs-CZ"/>
          </w:rPr>
          <w:drawing>
            <wp:anchor distT="0" distB="0" distL="114300" distR="114300" simplePos="0" relativeHeight="251658240" behindDoc="1" locked="0" layoutInCell="1" allowOverlap="1" wp14:anchorId="5528F82C" wp14:editId="1FC581E2">
              <wp:simplePos x="0" y="0"/>
              <wp:positionH relativeFrom="column">
                <wp:posOffset>3736340</wp:posOffset>
              </wp:positionH>
              <wp:positionV relativeFrom="paragraph">
                <wp:posOffset>21590</wp:posOffset>
              </wp:positionV>
              <wp:extent cx="2136140" cy="259080"/>
              <wp:effectExtent l="0" t="0" r="0" b="7620"/>
              <wp:wrapNone/>
              <wp:docPr id="8" name="Obrázek 8" descr="V:\SPRM\MAPPA\loga\Ostrava_lg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V:\SPRM\MAPPA\loga\Ostrava_lg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3614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lang w:eastAsia="cs-CZ"/>
          </w:rPr>
          <w:drawing>
            <wp:anchor distT="0" distB="0" distL="114300" distR="114300" simplePos="0" relativeHeight="251659264" behindDoc="1" locked="0" layoutInCell="1" allowOverlap="1" wp14:anchorId="77148308" wp14:editId="68F3B221">
              <wp:simplePos x="0" y="0"/>
              <wp:positionH relativeFrom="column">
                <wp:posOffset>33020</wp:posOffset>
              </wp:positionH>
              <wp:positionV relativeFrom="paragraph">
                <wp:posOffset>23495</wp:posOffset>
              </wp:positionV>
              <wp:extent cx="1714500" cy="259080"/>
              <wp:effectExtent l="0" t="0" r="0" b="7620"/>
              <wp:wrapNone/>
              <wp:docPr id="9" name="Obrázek 9" descr="V:\SPRM\MAPPA\loga\MAPPA poz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:\SPRM\MAPPA\loga\MAPPA poz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35CC6E6" w14:textId="77777777" w:rsidR="00B328DE" w:rsidRPr="001978D8" w:rsidRDefault="00B328DE" w:rsidP="00BC7C48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65107" w14:textId="77777777" w:rsidR="00AC535B" w:rsidRDefault="00AC535B" w:rsidP="00531E12">
      <w:pPr>
        <w:spacing w:after="0" w:line="240" w:lineRule="auto"/>
      </w:pPr>
      <w:r>
        <w:separator/>
      </w:r>
    </w:p>
  </w:footnote>
  <w:footnote w:type="continuationSeparator" w:id="0">
    <w:p w14:paraId="63A2B290" w14:textId="77777777" w:rsidR="00AC535B" w:rsidRDefault="00AC535B" w:rsidP="0053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2BF32" w14:textId="4857E016" w:rsidR="00BC7C48" w:rsidRPr="001115B6" w:rsidRDefault="00BC7C48" w:rsidP="00BC7C48">
    <w:pPr>
      <w:pStyle w:val="Zpat"/>
      <w:ind w:firstLine="28"/>
      <w:jc w:val="center"/>
      <w:rPr>
        <w:rFonts w:ascii="Arial" w:hAnsi="Arial" w:cs="Arial"/>
      </w:rPr>
    </w:pPr>
    <w:r w:rsidRPr="001115B6">
      <w:rPr>
        <w:rFonts w:ascii="Arial" w:hAnsi="Arial" w:cs="Arial"/>
        <w:noProof/>
        <w:lang w:eastAsia="cs-CZ"/>
      </w:rPr>
      <w:drawing>
        <wp:inline distT="0" distB="0" distL="0" distR="0" wp14:anchorId="3F032EBA" wp14:editId="7824607F">
          <wp:extent cx="2600960" cy="538480"/>
          <wp:effectExtent l="0" t="0" r="8890" b="0"/>
          <wp:docPr id="6" name="Obrázek 6" descr="zapati_v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apati_vi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96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15B6">
      <w:rPr>
        <w:rFonts w:ascii="Arial" w:hAnsi="Arial" w:cs="Arial"/>
        <w:noProof/>
        <w:lang w:eastAsia="cs-CZ"/>
      </w:rPr>
      <w:drawing>
        <wp:inline distT="0" distB="0" distL="0" distR="0" wp14:anchorId="2696DA8E" wp14:editId="044B3B27">
          <wp:extent cx="2926080" cy="538480"/>
          <wp:effectExtent l="0" t="0" r="7620" b="0"/>
          <wp:docPr id="7" name="Obrázek 7" descr="zapati_indika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indikato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DCB7D" w14:textId="77777777" w:rsidR="005667B7" w:rsidRPr="001115B6" w:rsidRDefault="005667B7" w:rsidP="00BC7C48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193D"/>
    <w:multiLevelType w:val="multilevel"/>
    <w:tmpl w:val="F6AC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70FE1"/>
    <w:multiLevelType w:val="hybridMultilevel"/>
    <w:tmpl w:val="FC445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58BE"/>
    <w:multiLevelType w:val="hybridMultilevel"/>
    <w:tmpl w:val="AA1C9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4DD5"/>
    <w:multiLevelType w:val="hybridMultilevel"/>
    <w:tmpl w:val="0030AF14"/>
    <w:lvl w:ilvl="0" w:tplc="ABAC5BF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E691A"/>
    <w:multiLevelType w:val="hybridMultilevel"/>
    <w:tmpl w:val="8A4C0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5210"/>
    <w:multiLevelType w:val="hybridMultilevel"/>
    <w:tmpl w:val="D3F4C2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D4AB3"/>
    <w:multiLevelType w:val="hybridMultilevel"/>
    <w:tmpl w:val="090A48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226D2"/>
    <w:multiLevelType w:val="hybridMultilevel"/>
    <w:tmpl w:val="CA860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3BE"/>
    <w:multiLevelType w:val="hybridMultilevel"/>
    <w:tmpl w:val="2C90E9C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0071C"/>
    <w:multiLevelType w:val="hybridMultilevel"/>
    <w:tmpl w:val="CF86E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50E0D"/>
    <w:multiLevelType w:val="hybridMultilevel"/>
    <w:tmpl w:val="5BE61C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D01BD"/>
    <w:multiLevelType w:val="multilevel"/>
    <w:tmpl w:val="A812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D063B9"/>
    <w:multiLevelType w:val="hybridMultilevel"/>
    <w:tmpl w:val="DE305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24A37"/>
    <w:multiLevelType w:val="hybridMultilevel"/>
    <w:tmpl w:val="CA860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40C8B"/>
    <w:multiLevelType w:val="hybridMultilevel"/>
    <w:tmpl w:val="BA8E6770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5"/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12"/>
    <w:rsid w:val="0000244C"/>
    <w:rsid w:val="000151B5"/>
    <w:rsid w:val="00015D39"/>
    <w:rsid w:val="00021370"/>
    <w:rsid w:val="00022E1E"/>
    <w:rsid w:val="000240B1"/>
    <w:rsid w:val="00032C7A"/>
    <w:rsid w:val="00033884"/>
    <w:rsid w:val="00047074"/>
    <w:rsid w:val="00050F01"/>
    <w:rsid w:val="00054134"/>
    <w:rsid w:val="0006676B"/>
    <w:rsid w:val="000720A7"/>
    <w:rsid w:val="0008208E"/>
    <w:rsid w:val="00082160"/>
    <w:rsid w:val="00086300"/>
    <w:rsid w:val="000875A0"/>
    <w:rsid w:val="00087FB6"/>
    <w:rsid w:val="000A3C4C"/>
    <w:rsid w:val="000A528A"/>
    <w:rsid w:val="000A72F4"/>
    <w:rsid w:val="000B0DB2"/>
    <w:rsid w:val="000B35CA"/>
    <w:rsid w:val="000B3E56"/>
    <w:rsid w:val="000B4085"/>
    <w:rsid w:val="000B59D9"/>
    <w:rsid w:val="000B6233"/>
    <w:rsid w:val="000B78B6"/>
    <w:rsid w:val="000C2464"/>
    <w:rsid w:val="000D2F01"/>
    <w:rsid w:val="000F61AC"/>
    <w:rsid w:val="000F6B21"/>
    <w:rsid w:val="000F7512"/>
    <w:rsid w:val="000F7AFC"/>
    <w:rsid w:val="001015EA"/>
    <w:rsid w:val="001115B6"/>
    <w:rsid w:val="00131AC7"/>
    <w:rsid w:val="0014139A"/>
    <w:rsid w:val="001528D9"/>
    <w:rsid w:val="00154EF1"/>
    <w:rsid w:val="00162557"/>
    <w:rsid w:val="0017391B"/>
    <w:rsid w:val="00177167"/>
    <w:rsid w:val="001978D8"/>
    <w:rsid w:val="001C09EF"/>
    <w:rsid w:val="001C168F"/>
    <w:rsid w:val="001C3C68"/>
    <w:rsid w:val="001D0905"/>
    <w:rsid w:val="001D0CEF"/>
    <w:rsid w:val="001D26B2"/>
    <w:rsid w:val="001D79B7"/>
    <w:rsid w:val="001E6FAC"/>
    <w:rsid w:val="001E746D"/>
    <w:rsid w:val="001F576D"/>
    <w:rsid w:val="00200DC6"/>
    <w:rsid w:val="00221AEF"/>
    <w:rsid w:val="0022399B"/>
    <w:rsid w:val="00226D21"/>
    <w:rsid w:val="00231A32"/>
    <w:rsid w:val="002379B0"/>
    <w:rsid w:val="00251DA3"/>
    <w:rsid w:val="00253769"/>
    <w:rsid w:val="002629CD"/>
    <w:rsid w:val="00263526"/>
    <w:rsid w:val="00263697"/>
    <w:rsid w:val="00263AFD"/>
    <w:rsid w:val="00276F83"/>
    <w:rsid w:val="00280F16"/>
    <w:rsid w:val="00285B68"/>
    <w:rsid w:val="00296E0D"/>
    <w:rsid w:val="002A0F39"/>
    <w:rsid w:val="002A24F0"/>
    <w:rsid w:val="002C6498"/>
    <w:rsid w:val="002F1343"/>
    <w:rsid w:val="00317D74"/>
    <w:rsid w:val="00324B2C"/>
    <w:rsid w:val="00371D34"/>
    <w:rsid w:val="00376555"/>
    <w:rsid w:val="00380C78"/>
    <w:rsid w:val="00384251"/>
    <w:rsid w:val="00393747"/>
    <w:rsid w:val="003C3BB7"/>
    <w:rsid w:val="003C74A2"/>
    <w:rsid w:val="003D0923"/>
    <w:rsid w:val="003D7CD8"/>
    <w:rsid w:val="003E53F4"/>
    <w:rsid w:val="00405EFE"/>
    <w:rsid w:val="00406AF3"/>
    <w:rsid w:val="0042306D"/>
    <w:rsid w:val="004308F8"/>
    <w:rsid w:val="00440A13"/>
    <w:rsid w:val="00442924"/>
    <w:rsid w:val="004444BD"/>
    <w:rsid w:val="00453A9D"/>
    <w:rsid w:val="00460B23"/>
    <w:rsid w:val="00461081"/>
    <w:rsid w:val="0046566E"/>
    <w:rsid w:val="00481D2A"/>
    <w:rsid w:val="00491655"/>
    <w:rsid w:val="00491E70"/>
    <w:rsid w:val="00495ED0"/>
    <w:rsid w:val="004A720D"/>
    <w:rsid w:val="004B78A1"/>
    <w:rsid w:val="004E0D68"/>
    <w:rsid w:val="004E5F94"/>
    <w:rsid w:val="004F433C"/>
    <w:rsid w:val="00506D1B"/>
    <w:rsid w:val="005174BF"/>
    <w:rsid w:val="0052514F"/>
    <w:rsid w:val="00527F44"/>
    <w:rsid w:val="00531E12"/>
    <w:rsid w:val="005355D9"/>
    <w:rsid w:val="00536628"/>
    <w:rsid w:val="00544F29"/>
    <w:rsid w:val="00554209"/>
    <w:rsid w:val="005667B7"/>
    <w:rsid w:val="00567312"/>
    <w:rsid w:val="00571596"/>
    <w:rsid w:val="00590B2F"/>
    <w:rsid w:val="005A274E"/>
    <w:rsid w:val="005C1D4A"/>
    <w:rsid w:val="005C33CA"/>
    <w:rsid w:val="005C7709"/>
    <w:rsid w:val="005D77D8"/>
    <w:rsid w:val="005E2104"/>
    <w:rsid w:val="005F6200"/>
    <w:rsid w:val="00600086"/>
    <w:rsid w:val="0060635C"/>
    <w:rsid w:val="0060699F"/>
    <w:rsid w:val="00634FD9"/>
    <w:rsid w:val="0064518E"/>
    <w:rsid w:val="0064788A"/>
    <w:rsid w:val="00651ACF"/>
    <w:rsid w:val="00684D63"/>
    <w:rsid w:val="006A46DE"/>
    <w:rsid w:val="006C25B5"/>
    <w:rsid w:val="006D0F99"/>
    <w:rsid w:val="006D3A0F"/>
    <w:rsid w:val="006E0A45"/>
    <w:rsid w:val="006F2A24"/>
    <w:rsid w:val="006F50BD"/>
    <w:rsid w:val="006F61B5"/>
    <w:rsid w:val="00700C59"/>
    <w:rsid w:val="00714B66"/>
    <w:rsid w:val="00722A26"/>
    <w:rsid w:val="00732B4D"/>
    <w:rsid w:val="0074165C"/>
    <w:rsid w:val="00742C3D"/>
    <w:rsid w:val="0074408B"/>
    <w:rsid w:val="00765200"/>
    <w:rsid w:val="007860AA"/>
    <w:rsid w:val="00794CD2"/>
    <w:rsid w:val="0079635A"/>
    <w:rsid w:val="007A41B4"/>
    <w:rsid w:val="007A5395"/>
    <w:rsid w:val="007D054B"/>
    <w:rsid w:val="007F189E"/>
    <w:rsid w:val="00814B74"/>
    <w:rsid w:val="008205F1"/>
    <w:rsid w:val="00843A90"/>
    <w:rsid w:val="00855C5B"/>
    <w:rsid w:val="00856896"/>
    <w:rsid w:val="00856CE8"/>
    <w:rsid w:val="008610D5"/>
    <w:rsid w:val="008876C3"/>
    <w:rsid w:val="00893390"/>
    <w:rsid w:val="008950E4"/>
    <w:rsid w:val="008A0C40"/>
    <w:rsid w:val="008B745C"/>
    <w:rsid w:val="008C0F06"/>
    <w:rsid w:val="008C5829"/>
    <w:rsid w:val="008E09A0"/>
    <w:rsid w:val="008E2283"/>
    <w:rsid w:val="008E3C82"/>
    <w:rsid w:val="008F68A2"/>
    <w:rsid w:val="008F6DFB"/>
    <w:rsid w:val="00903651"/>
    <w:rsid w:val="0090799A"/>
    <w:rsid w:val="0092613E"/>
    <w:rsid w:val="009300A8"/>
    <w:rsid w:val="0094770D"/>
    <w:rsid w:val="009537F2"/>
    <w:rsid w:val="00964368"/>
    <w:rsid w:val="009721BA"/>
    <w:rsid w:val="0097258A"/>
    <w:rsid w:val="00973166"/>
    <w:rsid w:val="009909D7"/>
    <w:rsid w:val="009B15B6"/>
    <w:rsid w:val="009B2BAF"/>
    <w:rsid w:val="009B3B4C"/>
    <w:rsid w:val="009B5B05"/>
    <w:rsid w:val="009B75BC"/>
    <w:rsid w:val="009C2C59"/>
    <w:rsid w:val="009F1025"/>
    <w:rsid w:val="009F2776"/>
    <w:rsid w:val="009F433F"/>
    <w:rsid w:val="009F6252"/>
    <w:rsid w:val="009F78B8"/>
    <w:rsid w:val="00A0290A"/>
    <w:rsid w:val="00A46F19"/>
    <w:rsid w:val="00A52753"/>
    <w:rsid w:val="00A53A52"/>
    <w:rsid w:val="00AC535B"/>
    <w:rsid w:val="00AC7565"/>
    <w:rsid w:val="00AC7C01"/>
    <w:rsid w:val="00AE3FE8"/>
    <w:rsid w:val="00AE672B"/>
    <w:rsid w:val="00AE6E1A"/>
    <w:rsid w:val="00B00C38"/>
    <w:rsid w:val="00B0176A"/>
    <w:rsid w:val="00B10E97"/>
    <w:rsid w:val="00B15676"/>
    <w:rsid w:val="00B20D64"/>
    <w:rsid w:val="00B279F7"/>
    <w:rsid w:val="00B328DE"/>
    <w:rsid w:val="00B36C55"/>
    <w:rsid w:val="00B40F4F"/>
    <w:rsid w:val="00B444C4"/>
    <w:rsid w:val="00B509A9"/>
    <w:rsid w:val="00B50EA4"/>
    <w:rsid w:val="00B529D5"/>
    <w:rsid w:val="00B629BB"/>
    <w:rsid w:val="00B63747"/>
    <w:rsid w:val="00B742CF"/>
    <w:rsid w:val="00B86AAB"/>
    <w:rsid w:val="00BA18AD"/>
    <w:rsid w:val="00BA6F36"/>
    <w:rsid w:val="00BC3592"/>
    <w:rsid w:val="00BC7C48"/>
    <w:rsid w:val="00BD6759"/>
    <w:rsid w:val="00BE790F"/>
    <w:rsid w:val="00BF1129"/>
    <w:rsid w:val="00C02A22"/>
    <w:rsid w:val="00C12D70"/>
    <w:rsid w:val="00C15A21"/>
    <w:rsid w:val="00C170E2"/>
    <w:rsid w:val="00C24EDE"/>
    <w:rsid w:val="00C31417"/>
    <w:rsid w:val="00C31FC6"/>
    <w:rsid w:val="00C41265"/>
    <w:rsid w:val="00C50997"/>
    <w:rsid w:val="00C51ED0"/>
    <w:rsid w:val="00C54D4E"/>
    <w:rsid w:val="00C74CB1"/>
    <w:rsid w:val="00C9478D"/>
    <w:rsid w:val="00CB3EF6"/>
    <w:rsid w:val="00CD1871"/>
    <w:rsid w:val="00CF2799"/>
    <w:rsid w:val="00CF29ED"/>
    <w:rsid w:val="00CF7BC3"/>
    <w:rsid w:val="00D028DF"/>
    <w:rsid w:val="00D13C81"/>
    <w:rsid w:val="00D16484"/>
    <w:rsid w:val="00D17F48"/>
    <w:rsid w:val="00D230B6"/>
    <w:rsid w:val="00D318CE"/>
    <w:rsid w:val="00D401AE"/>
    <w:rsid w:val="00D46D33"/>
    <w:rsid w:val="00D47A55"/>
    <w:rsid w:val="00D63629"/>
    <w:rsid w:val="00D64EFB"/>
    <w:rsid w:val="00D659DB"/>
    <w:rsid w:val="00D73DBE"/>
    <w:rsid w:val="00D76226"/>
    <w:rsid w:val="00D84CE0"/>
    <w:rsid w:val="00DD23C5"/>
    <w:rsid w:val="00DD66EF"/>
    <w:rsid w:val="00DD67B9"/>
    <w:rsid w:val="00DE3C40"/>
    <w:rsid w:val="00DF155F"/>
    <w:rsid w:val="00E07218"/>
    <w:rsid w:val="00E1010A"/>
    <w:rsid w:val="00E11E95"/>
    <w:rsid w:val="00E131EE"/>
    <w:rsid w:val="00E44B42"/>
    <w:rsid w:val="00E620CC"/>
    <w:rsid w:val="00E6283E"/>
    <w:rsid w:val="00E63D2D"/>
    <w:rsid w:val="00E66347"/>
    <w:rsid w:val="00E80FB2"/>
    <w:rsid w:val="00E93B64"/>
    <w:rsid w:val="00EB12BC"/>
    <w:rsid w:val="00EB377E"/>
    <w:rsid w:val="00EB64CE"/>
    <w:rsid w:val="00EC6A8C"/>
    <w:rsid w:val="00ED340A"/>
    <w:rsid w:val="00ED751B"/>
    <w:rsid w:val="00EE0585"/>
    <w:rsid w:val="00EE5A9C"/>
    <w:rsid w:val="00EF3714"/>
    <w:rsid w:val="00F025BF"/>
    <w:rsid w:val="00F15576"/>
    <w:rsid w:val="00F21C64"/>
    <w:rsid w:val="00F21E7A"/>
    <w:rsid w:val="00F35FA8"/>
    <w:rsid w:val="00F444BF"/>
    <w:rsid w:val="00F62A90"/>
    <w:rsid w:val="00F63FFD"/>
    <w:rsid w:val="00F67212"/>
    <w:rsid w:val="00FA3CDC"/>
    <w:rsid w:val="00FB3018"/>
    <w:rsid w:val="00FB35C3"/>
    <w:rsid w:val="00FC188D"/>
    <w:rsid w:val="00FC3F5A"/>
    <w:rsid w:val="00FD0F57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0EDA7"/>
  <w15:docId w15:val="{3E500CF8-2150-4EBB-A3E8-E34E0826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D34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6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E12"/>
  </w:style>
  <w:style w:type="paragraph" w:styleId="Zpat">
    <w:name w:val="footer"/>
    <w:basedOn w:val="Normln"/>
    <w:link w:val="Zpat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E12"/>
  </w:style>
  <w:style w:type="paragraph" w:styleId="Odstavecseseznamem">
    <w:name w:val="List Paragraph"/>
    <w:basedOn w:val="Normln"/>
    <w:uiPriority w:val="34"/>
    <w:qFormat/>
    <w:rsid w:val="00531E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00A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00A8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0E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221A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21A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1A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A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AEF"/>
    <w:rPr>
      <w:b/>
      <w:bCs/>
      <w:sz w:val="20"/>
      <w:szCs w:val="20"/>
    </w:rPr>
  </w:style>
  <w:style w:type="paragraph" w:customStyle="1" w:styleId="Znaka">
    <w:name w:val="Značka"/>
    <w:rsid w:val="001C3C68"/>
    <w:pPr>
      <w:widowControl w:val="0"/>
      <w:spacing w:after="0" w:line="240" w:lineRule="auto"/>
      <w:ind w:left="28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95ED0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ED34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ard-contacts-list-item-value">
    <w:name w:val="card-contacts-list-item-value"/>
    <w:basedOn w:val="Normln"/>
    <w:rsid w:val="00D47A5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rsid w:val="00E80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365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E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66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2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8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65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unor@dolnivitk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7705-42DE-4BC8-89C3-1BFF2973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Příloha č. 1</dc:creator>
  <cp:lastModifiedBy>Pavla Grocholová</cp:lastModifiedBy>
  <cp:revision>2</cp:revision>
  <cp:lastPrinted>2020-08-12T07:12:00Z</cp:lastPrinted>
  <dcterms:created xsi:type="dcterms:W3CDTF">2020-08-12T13:13:00Z</dcterms:created>
  <dcterms:modified xsi:type="dcterms:W3CDTF">2020-08-12T13:13:00Z</dcterms:modified>
</cp:coreProperties>
</file>