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"Růžový palouček"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Morašice 180, 56951 Morašice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Bohuňovice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14 977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4 174,69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15 490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Cerekvice nad Loučnou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23 593,54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4 487,81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13 049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3 841,10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4 485,75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171 132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50 374,40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25 483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6 923,73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Morašice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1 512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Sídla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Pekla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12 227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17 364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4 480,96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Řídký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7 244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2 184,94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Tržek u Litomyšle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28 586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7 527,83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267 452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76 660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č.123N05/19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12310519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76 660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