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98" w:rsidRDefault="00A71398" w:rsidP="00A71398">
      <w:pPr>
        <w:pStyle w:val="Nadpis2"/>
      </w:pPr>
      <w:bookmarkStart w:id="0" w:name="_Toc466021371"/>
      <w:bookmarkStart w:id="1" w:name="_GoBack"/>
      <w:bookmarkEnd w:id="1"/>
      <w:r>
        <w:t>Technická specifikace předmětného plnění</w:t>
      </w:r>
      <w:bookmarkEnd w:id="0"/>
    </w:p>
    <w:p w:rsidR="00A71398" w:rsidRDefault="00A71398" w:rsidP="00A71398">
      <w:r>
        <w:t>Předmětem plnění veřejné zakázky je uzavření smlouvy na poskytování pevných hlasových a pevných datových telekomunikačních služeb v místě „koncových bodů sítě“, tj. v sídlech a všech pobočkách zadavatelů PK, v pobočkových telefonních ústřednách a v samostatných telefonních linkách v užívání zadavatelů PK v rozsahu specifikovaném touto zadávací dokumentací. V případě nutnosti dovedení připojení uchazečem ke koncovým bodům sítě nese veškeré náklady na toto dovedení uchazeč. Součástí plnění je zajištění všech činností souvisejících se zajištěním požadovaných služeb.</w:t>
      </w:r>
    </w:p>
    <w:p w:rsidR="00A71398" w:rsidRDefault="00A71398" w:rsidP="00A71398">
      <w:r>
        <w:t xml:space="preserve">Ve všech lokalitách (Příloha </w:t>
      </w:r>
      <w:proofErr w:type="gramStart"/>
      <w:r>
        <w:t>č.8 ZD</w:t>
      </w:r>
      <w:proofErr w:type="gramEnd"/>
      <w:r>
        <w:t>) zajistí Uchazeč telekomunikační služby v minimálně stejné kvalitě a rozsahu jako dosud.</w:t>
      </w:r>
    </w:p>
    <w:p w:rsidR="00A71398" w:rsidRDefault="00A71398" w:rsidP="00A71398">
      <w:r>
        <w:t>Pevné hlasové a pevné datové telekomunikační služby, které budou na základě tohoto zadávacího řízení poskytnuty Centrálnímu zadavateli, bude Uchazeč za stejných podmínek poskytovat i Krajskému úřadu Plzeňského kraje, příspěvkovým organizacím a organizacím s majetkovou účastí Plzeňského kraje, pokud bude v dané lokalitě příslušná služba dostupná a pro danou organizaci ekonomicky výhodná.</w:t>
      </w:r>
    </w:p>
    <w:p w:rsidR="00A71398" w:rsidRDefault="00A71398" w:rsidP="00A71398">
      <w:r>
        <w:t>Uchazeč zabezpečí veškeré níže uvedené služby po celou dobu trvání rámcové smlouvy plně v souladu s technickými podmínkami zadavatele na poskytování pevných hlasových a pevných datových telekomunikačních služeb, které představují minimální úroveň rozsahu poskytovaných služeb.</w:t>
      </w:r>
    </w:p>
    <w:p w:rsidR="00A71398" w:rsidRDefault="00A71398" w:rsidP="00A71398">
      <w:pPr>
        <w:pStyle w:val="Nadpis3"/>
      </w:pPr>
      <w:bookmarkStart w:id="2" w:name="_Toc466021372"/>
      <w:r>
        <w:t>Pravidelné měsíční paušální platby</w:t>
      </w:r>
      <w:bookmarkEnd w:id="2"/>
    </w:p>
    <w:p w:rsidR="00A71398" w:rsidRDefault="00A71398" w:rsidP="00A71398">
      <w:r w:rsidRPr="008703B4">
        <w:t>Uchazeč ve své nabídce ocen</w:t>
      </w:r>
      <w:r>
        <w:t>il</w:t>
      </w:r>
      <w:r w:rsidRPr="008703B4">
        <w:t xml:space="preserve"> měsíční paušální platby pro následující typy připojení:</w:t>
      </w:r>
    </w:p>
    <w:tbl>
      <w:tblPr>
        <w:tblW w:w="5000" w:type="pct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6570"/>
        <w:gridCol w:w="2718"/>
      </w:tblGrid>
      <w:tr w:rsidR="00A71398" w:rsidRPr="008703B4" w:rsidTr="00A000FB">
        <w:trPr>
          <w:trHeight w:val="417"/>
        </w:trPr>
        <w:tc>
          <w:tcPr>
            <w:tcW w:w="3537" w:type="pct"/>
            <w:shd w:val="clear" w:color="auto" w:fill="54B6E7"/>
            <w:vAlign w:val="center"/>
          </w:tcPr>
          <w:p w:rsidR="00A71398" w:rsidRPr="008703B4" w:rsidRDefault="00A71398" w:rsidP="00A000F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8703B4">
              <w:rPr>
                <w:b/>
                <w:sz w:val="18"/>
                <w:szCs w:val="18"/>
              </w:rPr>
              <w:t>Typ připojení</w:t>
            </w:r>
          </w:p>
        </w:tc>
        <w:tc>
          <w:tcPr>
            <w:tcW w:w="1463" w:type="pct"/>
            <w:shd w:val="clear" w:color="auto" w:fill="54B6E7"/>
            <w:vAlign w:val="center"/>
          </w:tcPr>
          <w:p w:rsidR="00A71398" w:rsidRPr="008703B4" w:rsidRDefault="00A71398" w:rsidP="00A000F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</w:t>
            </w:r>
          </w:p>
        </w:tc>
      </w:tr>
      <w:tr w:rsidR="00A71398" w:rsidRPr="008703B4" w:rsidTr="00A000FB">
        <w:trPr>
          <w:trHeight w:val="274"/>
        </w:trPr>
        <w:tc>
          <w:tcPr>
            <w:tcW w:w="3537" w:type="pct"/>
            <w:shd w:val="clear" w:color="auto" w:fill="auto"/>
            <w:vAlign w:val="center"/>
          </w:tcPr>
          <w:p w:rsidR="00A71398" w:rsidRPr="008703B4" w:rsidRDefault="00A71398" w:rsidP="00A000F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18"/>
              </w:rPr>
            </w:pPr>
            <w:r w:rsidRPr="008703B4">
              <w:rPr>
                <w:sz w:val="18"/>
                <w:szCs w:val="18"/>
              </w:rPr>
              <w:t>HTS</w:t>
            </w:r>
          </w:p>
        </w:tc>
        <w:tc>
          <w:tcPr>
            <w:tcW w:w="1463" w:type="pct"/>
            <w:vAlign w:val="center"/>
          </w:tcPr>
          <w:p w:rsidR="00A71398" w:rsidRPr="008703B4" w:rsidRDefault="00A71398" w:rsidP="00A000F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</w:tr>
      <w:tr w:rsidR="00A71398" w:rsidRPr="008703B4" w:rsidTr="00A000FB">
        <w:trPr>
          <w:trHeight w:val="274"/>
        </w:trPr>
        <w:tc>
          <w:tcPr>
            <w:tcW w:w="3537" w:type="pct"/>
            <w:shd w:val="clear" w:color="auto" w:fill="auto"/>
            <w:vAlign w:val="center"/>
          </w:tcPr>
          <w:p w:rsidR="00A71398" w:rsidRPr="008703B4" w:rsidRDefault="00A71398" w:rsidP="00A000F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18"/>
              </w:rPr>
            </w:pPr>
            <w:r w:rsidRPr="008703B4">
              <w:rPr>
                <w:sz w:val="18"/>
                <w:szCs w:val="18"/>
              </w:rPr>
              <w:t>ISDN2</w:t>
            </w:r>
          </w:p>
        </w:tc>
        <w:tc>
          <w:tcPr>
            <w:tcW w:w="1463" w:type="pct"/>
            <w:vAlign w:val="center"/>
          </w:tcPr>
          <w:p w:rsidR="00A71398" w:rsidRPr="008703B4" w:rsidRDefault="00A71398" w:rsidP="00A000F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</w:tr>
      <w:tr w:rsidR="00A71398" w:rsidRPr="008703B4" w:rsidTr="00A000FB">
        <w:trPr>
          <w:trHeight w:val="274"/>
        </w:trPr>
        <w:tc>
          <w:tcPr>
            <w:tcW w:w="3537" w:type="pct"/>
            <w:shd w:val="clear" w:color="auto" w:fill="auto"/>
            <w:vAlign w:val="center"/>
          </w:tcPr>
          <w:p w:rsidR="00A71398" w:rsidRPr="008703B4" w:rsidRDefault="00A71398" w:rsidP="00A000F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18"/>
              </w:rPr>
            </w:pPr>
            <w:r w:rsidRPr="008703B4">
              <w:rPr>
                <w:sz w:val="18"/>
                <w:szCs w:val="18"/>
              </w:rPr>
              <w:t>ISDN30</w:t>
            </w:r>
          </w:p>
        </w:tc>
        <w:tc>
          <w:tcPr>
            <w:tcW w:w="1463" w:type="pct"/>
            <w:vAlign w:val="center"/>
          </w:tcPr>
          <w:p w:rsidR="00A71398" w:rsidRPr="008703B4" w:rsidRDefault="00A71398" w:rsidP="00A000F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71398" w:rsidRPr="008703B4" w:rsidTr="00A000FB">
        <w:trPr>
          <w:trHeight w:val="274"/>
        </w:trPr>
        <w:tc>
          <w:tcPr>
            <w:tcW w:w="3537" w:type="pct"/>
            <w:shd w:val="clear" w:color="auto" w:fill="auto"/>
            <w:vAlign w:val="center"/>
          </w:tcPr>
          <w:p w:rsidR="00A71398" w:rsidRPr="008703B4" w:rsidRDefault="00A71398" w:rsidP="00A000F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18"/>
              </w:rPr>
            </w:pPr>
            <w:proofErr w:type="spellStart"/>
            <w:r w:rsidRPr="008703B4">
              <w:rPr>
                <w:sz w:val="18"/>
                <w:szCs w:val="18"/>
              </w:rPr>
              <w:t>VoIP</w:t>
            </w:r>
            <w:proofErr w:type="spellEnd"/>
            <w:r w:rsidRPr="008703B4">
              <w:rPr>
                <w:sz w:val="18"/>
                <w:szCs w:val="18"/>
              </w:rPr>
              <w:t xml:space="preserve"> SIP kanál </w:t>
            </w:r>
          </w:p>
        </w:tc>
        <w:tc>
          <w:tcPr>
            <w:tcW w:w="1463" w:type="pct"/>
            <w:vAlign w:val="center"/>
          </w:tcPr>
          <w:p w:rsidR="00A71398" w:rsidRPr="008703B4" w:rsidRDefault="00A71398" w:rsidP="00A000F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A71398" w:rsidRPr="008703B4" w:rsidTr="00A000FB">
        <w:trPr>
          <w:trHeight w:val="274"/>
        </w:trPr>
        <w:tc>
          <w:tcPr>
            <w:tcW w:w="3537" w:type="pct"/>
            <w:shd w:val="clear" w:color="auto" w:fill="auto"/>
            <w:vAlign w:val="center"/>
          </w:tcPr>
          <w:p w:rsidR="00A71398" w:rsidRPr="008703B4" w:rsidRDefault="00A71398" w:rsidP="00A000FB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xDSL</w:t>
            </w:r>
            <w:proofErr w:type="spellEnd"/>
            <w:r>
              <w:rPr>
                <w:sz w:val="18"/>
                <w:szCs w:val="18"/>
              </w:rPr>
              <w:t xml:space="preserve"> Internet 40/2 </w:t>
            </w:r>
            <w:proofErr w:type="spellStart"/>
            <w:r>
              <w:rPr>
                <w:sz w:val="18"/>
                <w:szCs w:val="18"/>
              </w:rPr>
              <w:t>Mbit</w:t>
            </w:r>
            <w:proofErr w:type="spellEnd"/>
            <w:r>
              <w:rPr>
                <w:sz w:val="18"/>
                <w:szCs w:val="18"/>
              </w:rPr>
              <w:t>/s, 1:50, bez FUP</w:t>
            </w:r>
          </w:p>
        </w:tc>
        <w:tc>
          <w:tcPr>
            <w:tcW w:w="1463" w:type="pct"/>
            <w:vAlign w:val="center"/>
          </w:tcPr>
          <w:p w:rsidR="00A71398" w:rsidRPr="008703B4" w:rsidRDefault="00A71398" w:rsidP="00A000F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A71398" w:rsidRPr="008703B4" w:rsidTr="00A000FB">
        <w:trPr>
          <w:trHeight w:val="274"/>
        </w:trPr>
        <w:tc>
          <w:tcPr>
            <w:tcW w:w="3537" w:type="pct"/>
            <w:shd w:val="clear" w:color="auto" w:fill="auto"/>
            <w:vAlign w:val="center"/>
          </w:tcPr>
          <w:p w:rsidR="00A71398" w:rsidRPr="008703B4" w:rsidRDefault="00A71398" w:rsidP="00A000FB">
            <w:pPr>
              <w:spacing w:before="40" w:after="40" w:line="240" w:lineRule="auto"/>
              <w:rPr>
                <w:sz w:val="18"/>
                <w:szCs w:val="18"/>
              </w:rPr>
            </w:pPr>
            <w:proofErr w:type="spellStart"/>
            <w:r w:rsidRPr="008703B4">
              <w:rPr>
                <w:sz w:val="18"/>
                <w:szCs w:val="18"/>
              </w:rPr>
              <w:t>xDSL</w:t>
            </w:r>
            <w:proofErr w:type="spellEnd"/>
            <w:r w:rsidRPr="008703B4">
              <w:rPr>
                <w:sz w:val="18"/>
                <w:szCs w:val="18"/>
              </w:rPr>
              <w:t xml:space="preserve"> Internet 20/2 </w:t>
            </w:r>
            <w:proofErr w:type="spellStart"/>
            <w:r w:rsidRPr="008703B4">
              <w:rPr>
                <w:sz w:val="18"/>
                <w:szCs w:val="18"/>
              </w:rPr>
              <w:t>Mbit</w:t>
            </w:r>
            <w:proofErr w:type="spellEnd"/>
            <w:r w:rsidRPr="008703B4">
              <w:rPr>
                <w:sz w:val="18"/>
                <w:szCs w:val="18"/>
              </w:rPr>
              <w:t>/s, 1:50</w:t>
            </w:r>
            <w:r>
              <w:rPr>
                <w:sz w:val="18"/>
                <w:szCs w:val="18"/>
              </w:rPr>
              <w:t>, bez FUP</w:t>
            </w:r>
          </w:p>
        </w:tc>
        <w:tc>
          <w:tcPr>
            <w:tcW w:w="1463" w:type="pct"/>
            <w:vAlign w:val="center"/>
          </w:tcPr>
          <w:p w:rsidR="00A71398" w:rsidRPr="008703B4" w:rsidRDefault="00A71398" w:rsidP="00A000FB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</w:tbl>
    <w:p w:rsidR="00A71398" w:rsidRPr="00EA16AA" w:rsidRDefault="00A71398" w:rsidP="00A71398">
      <w:pPr>
        <w:spacing w:after="0"/>
      </w:pPr>
      <w:r>
        <w:t>Měsíční paušální platby pro výše uvedená připojení a veškeré další služby, jejichž cena je určena daným typem připojení, jsou uchazečem doplněny do přílohy č. 1 zadávací dokumentace Tabulka služeb k ocenění (kapitola 17 této nabídky), které jsou stejné pro všechny zadavatele PK a Centrálního zadavatele. Uchazeč ocenil měsíční paušální platby i v případě nepřímého připojení tak, že uvedl nejvhodnější paušální platbu operátora, který danou přípojku provozuje.</w:t>
      </w:r>
    </w:p>
    <w:p w:rsidR="00A71398" w:rsidRDefault="00A71398" w:rsidP="00A71398">
      <w:pPr>
        <w:pStyle w:val="Nadpis3"/>
      </w:pPr>
      <w:bookmarkStart w:id="3" w:name="_Toc466021373"/>
      <w:r>
        <w:t>Vnitrostátní odchozí hovory</w:t>
      </w:r>
      <w:bookmarkEnd w:id="3"/>
    </w:p>
    <w:p w:rsidR="00A71398" w:rsidRDefault="00A71398" w:rsidP="00A71398">
      <w:r>
        <w:t>Uchazeč zabezpečí časové rozmezí od 00:00 hodin do 24:00 hodin; Uchazeč nerozlišuje časová rozmezí; hlasové, datové a jiné telekomunikační služby nebudou účtovány v závislosti na časovém rozmezí, ve kterém se uskuteční. Stejně tak Uchazeč nerozlišuje poskytování služeb v pracovních dnech, dnech pracovního volna, dnech pracovního klidu, o státních svátcích a podobně.</w:t>
      </w:r>
    </w:p>
    <w:p w:rsidR="00A71398" w:rsidRDefault="00A71398" w:rsidP="00A71398">
      <w:pPr>
        <w:keepNext/>
        <w:spacing w:before="240"/>
        <w:rPr>
          <w:b/>
        </w:rPr>
      </w:pPr>
      <w:r w:rsidRPr="00566E0A">
        <w:rPr>
          <w:b/>
        </w:rPr>
        <w:lastRenderedPageBreak/>
        <w:t>Uchazeč zabezpečí u pevných hlasových služeb:</w:t>
      </w:r>
    </w:p>
    <w:p w:rsidR="00A71398" w:rsidRDefault="00A71398" w:rsidP="00A71398">
      <w:r>
        <w:t>Zajištění přístupu k veřejně dostupným telefonním službám poskytovaným Uchazečem, případně i jinými poskytovateli služeb elektronických komunikací, prostřednictvím všech telefonních přípojek. Konkrétně Centrální zadavatel včetně zadavatelů PK hodlá nepřetržitě a v plně automatickém režimu uskutečňovat: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volání k číslům tísňového volání;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místní volání v rámci telefonních obvodů v lokalitách Centrálního zadavatele;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dálková (meziměstská) volání do ostatních telefonních obvodů na území České republiky;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mezinárodní volání do automatizované části mezinárodní telekomunikační sítě;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faxovou komunikaci a přenos dat;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volání na negeografická telefonní čísla (např. Zelené linky, Modré linky, atd.);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volání do neveřejných sítí;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volání do sítí jiných poskytovatelů služeb včetně mobilních sítí;</w:t>
      </w:r>
    </w:p>
    <w:p w:rsidR="00A71398" w:rsidRDefault="00A71398" w:rsidP="00A71398">
      <w:pPr>
        <w:numPr>
          <w:ilvl w:val="0"/>
          <w:numId w:val="2"/>
        </w:numPr>
        <w:spacing w:before="0" w:line="300" w:lineRule="exact"/>
        <w:ind w:left="714" w:hanging="357"/>
      </w:pPr>
      <w:r>
        <w:t>možnost nechat bezplatně zablokovat volání na telefonní čísla se zvýšenou tarifikací.</w:t>
      </w:r>
    </w:p>
    <w:p w:rsidR="00A71398" w:rsidRDefault="00A71398" w:rsidP="00A71398">
      <w:pPr>
        <w:spacing w:before="0" w:after="60" w:line="300" w:lineRule="exact"/>
      </w:pPr>
      <w:r>
        <w:t>Uchazeč ve své nabídce nabídl a ocenil druhy a množství vnitrostátních odchozích hovorů do přílohy č. 1 zadávací dokumentace Tabulka služeb k ocenění (kapitola 17 této nabídky), a to v následující struktuře: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místní a dálkové hovory</w:t>
      </w:r>
    </w:p>
    <w:p w:rsidR="00A71398" w:rsidRDefault="00A71398" w:rsidP="00A71398">
      <w:pPr>
        <w:numPr>
          <w:ilvl w:val="0"/>
          <w:numId w:val="2"/>
        </w:numPr>
        <w:spacing w:before="0" w:line="300" w:lineRule="exact"/>
        <w:ind w:left="714" w:hanging="357"/>
      </w:pPr>
      <w:r>
        <w:t>hovory do sítě mobilních operátorů</w:t>
      </w:r>
    </w:p>
    <w:p w:rsidR="00A71398" w:rsidRDefault="00A71398" w:rsidP="00A71398">
      <w:pPr>
        <w:spacing w:before="0" w:after="60" w:line="300" w:lineRule="exact"/>
      </w:pPr>
      <w:r>
        <w:t>Uchazeč ve své nabídce nabídl a uvedl účtování hovorů v tarifikaci 60 + 1, tzn., že první minuta odchozího hovoru se bude účtovat jako celá 1 minuta a poté se bude účtovat po vteřinách. Uchazeč nenabízí tarif s více časovými pásmy (ve špičce, mimo špičku, různé dny apod.).</w:t>
      </w:r>
    </w:p>
    <w:p w:rsidR="00A71398" w:rsidRDefault="00A71398" w:rsidP="00A71398">
      <w:pPr>
        <w:pStyle w:val="Nadpis3"/>
      </w:pPr>
      <w:bookmarkStart w:id="4" w:name="_Toc466021374"/>
      <w:r>
        <w:t xml:space="preserve">Služby </w:t>
      </w:r>
      <w:proofErr w:type="spellStart"/>
      <w:r>
        <w:t>xDSL</w:t>
      </w:r>
      <w:bookmarkEnd w:id="4"/>
      <w:proofErr w:type="spellEnd"/>
    </w:p>
    <w:p w:rsidR="00A71398" w:rsidRDefault="00A71398" w:rsidP="00A71398">
      <w:r w:rsidRPr="00566E0A">
        <w:t>Uchazeč zabezpečí zřízení datových služeb pro přístup k síti Internet s asymetrickou přenosovou rychlostí.</w:t>
      </w:r>
    </w:p>
    <w:p w:rsidR="00A71398" w:rsidRDefault="00A71398" w:rsidP="00A71398">
      <w:r>
        <w:t xml:space="preserve">Popis a parametry nabízených služeb </w:t>
      </w:r>
      <w:proofErr w:type="spellStart"/>
      <w:r>
        <w:t>xDSL</w:t>
      </w:r>
      <w:proofErr w:type="spellEnd"/>
      <w:r>
        <w:t xml:space="preserve"> je uveden v kapitole 8 této nabídky.</w:t>
      </w:r>
    </w:p>
    <w:p w:rsidR="00A71398" w:rsidRDefault="00A71398" w:rsidP="00A71398">
      <w:pPr>
        <w:pStyle w:val="Nadpis3"/>
      </w:pPr>
      <w:bookmarkStart w:id="5" w:name="_Toc466021375"/>
      <w:r>
        <w:t xml:space="preserve">Služba </w:t>
      </w:r>
      <w:proofErr w:type="spellStart"/>
      <w:r>
        <w:t>VoIP</w:t>
      </w:r>
      <w:proofErr w:type="spellEnd"/>
      <w:r>
        <w:t xml:space="preserve"> / SIP</w:t>
      </w:r>
      <w:bookmarkEnd w:id="5"/>
    </w:p>
    <w:p w:rsidR="00A71398" w:rsidRPr="00E71010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proofErr w:type="spellStart"/>
      <w:r w:rsidRPr="00E71010">
        <w:t>VoIP</w:t>
      </w:r>
      <w:proofErr w:type="spellEnd"/>
      <w:r w:rsidRPr="00E71010">
        <w:t>/SIP technologie bude přivedena od uchazeče k zadavateli po privátní lince, nebude</w:t>
      </w:r>
      <w:r>
        <w:t xml:space="preserve"> </w:t>
      </w:r>
      <w:r w:rsidRPr="00E71010">
        <w:t>využit veřejný internetový spoj</w:t>
      </w:r>
      <w:r>
        <w:t>.</w:t>
      </w:r>
    </w:p>
    <w:p w:rsidR="00A71398" w:rsidRPr="00E71010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 w:rsidRPr="00E71010">
        <w:t xml:space="preserve">Propustnost jedné linky pro </w:t>
      </w:r>
      <w:proofErr w:type="spellStart"/>
      <w:r w:rsidRPr="00E71010">
        <w:t>VoIP</w:t>
      </w:r>
      <w:proofErr w:type="spellEnd"/>
      <w:r w:rsidRPr="00E71010">
        <w:t>/SIP technologii bude dostatečně dimenzována, tzn. v</w:t>
      </w:r>
      <w:r>
        <w:t> </w:t>
      </w:r>
      <w:r w:rsidRPr="00E71010">
        <w:t>případě</w:t>
      </w:r>
      <w:r>
        <w:t xml:space="preserve"> </w:t>
      </w:r>
      <w:proofErr w:type="spellStart"/>
      <w:r w:rsidRPr="00E71010">
        <w:t>VoIP</w:t>
      </w:r>
      <w:proofErr w:type="spellEnd"/>
      <w:r w:rsidRPr="00E71010">
        <w:t xml:space="preserve"> SIP pro 30 kanálů tato linka bude mít kapacitu alespoň 30x100kbs.</w:t>
      </w:r>
    </w:p>
    <w:p w:rsidR="00A71398" w:rsidRPr="00E71010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 w:rsidRPr="00E71010">
        <w:t xml:space="preserve">Latence na lince pro </w:t>
      </w:r>
      <w:proofErr w:type="spellStart"/>
      <w:r w:rsidRPr="00E71010">
        <w:t>VoIP</w:t>
      </w:r>
      <w:proofErr w:type="spellEnd"/>
      <w:r w:rsidRPr="00E71010">
        <w:t>/SIP technologii nepřesáhne 20ms.</w:t>
      </w:r>
    </w:p>
    <w:p w:rsidR="00A71398" w:rsidRPr="00E71010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 w:rsidRPr="00E71010">
        <w:t xml:space="preserve">Provozní data budou zabezpečena vhodným šifrovaným protokolem (bude využito šifrování celého datového toku protokolem </w:t>
      </w:r>
      <w:proofErr w:type="spellStart"/>
      <w:r w:rsidRPr="00E71010">
        <w:t>IPSec</w:t>
      </w:r>
      <w:proofErr w:type="spellEnd"/>
      <w:r w:rsidRPr="00E71010">
        <w:t>).</w:t>
      </w:r>
    </w:p>
    <w:p w:rsidR="00A71398" w:rsidRPr="00E71010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 w:rsidRPr="00E71010">
        <w:t xml:space="preserve">Možnost přenosu </w:t>
      </w:r>
      <w:proofErr w:type="gramStart"/>
      <w:r w:rsidRPr="00E71010">
        <w:t>faxů (G.711</w:t>
      </w:r>
      <w:proofErr w:type="gramEnd"/>
      <w:r w:rsidRPr="00E71010">
        <w:t xml:space="preserve"> nebo T.38).</w:t>
      </w:r>
    </w:p>
    <w:p w:rsidR="00A71398" w:rsidRPr="00E71010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 w:rsidRPr="00E71010">
        <w:t>Konfigurace v režimu vysoké dostupnosti – přivedení telefonních čísel do 2 lokalit (primární, záložní)</w:t>
      </w:r>
    </w:p>
    <w:p w:rsidR="00A71398" w:rsidRPr="00E71010" w:rsidRDefault="00A71398" w:rsidP="00A71398">
      <w:pPr>
        <w:keepNext/>
        <w:spacing w:before="240"/>
        <w:rPr>
          <w:b/>
        </w:rPr>
      </w:pPr>
      <w:r w:rsidRPr="00E71010">
        <w:rPr>
          <w:b/>
        </w:rPr>
        <w:lastRenderedPageBreak/>
        <w:t xml:space="preserve">Popis lokalit pro připojení </w:t>
      </w:r>
      <w:proofErr w:type="spellStart"/>
      <w:r w:rsidRPr="00E71010">
        <w:rPr>
          <w:b/>
        </w:rPr>
        <w:t>VoIP</w:t>
      </w:r>
      <w:proofErr w:type="spellEnd"/>
      <w:r w:rsidRPr="00E71010">
        <w:rPr>
          <w:b/>
        </w:rPr>
        <w:t>/SIP</w:t>
      </w:r>
    </w:p>
    <w:p w:rsidR="00A71398" w:rsidRPr="00E71010" w:rsidRDefault="00A71398" w:rsidP="00A71398">
      <w:pPr>
        <w:rPr>
          <w:b/>
        </w:rPr>
      </w:pPr>
      <w:r w:rsidRPr="00E71010">
        <w:rPr>
          <w:b/>
        </w:rPr>
        <w:t>Lokalita Škroupova 18, Plzeň</w:t>
      </w:r>
    </w:p>
    <w:p w:rsidR="00A71398" w:rsidRDefault="00A71398" w:rsidP="00A71398">
      <w:r>
        <w:t>Ústředny:</w:t>
      </w:r>
    </w:p>
    <w:p w:rsidR="00A71398" w:rsidRDefault="00A71398" w:rsidP="00A71398">
      <w:r>
        <w:t xml:space="preserve">Siemens </w:t>
      </w:r>
      <w:proofErr w:type="spellStart"/>
      <w:r>
        <w:t>HiPath</w:t>
      </w:r>
      <w:proofErr w:type="spellEnd"/>
      <w:r>
        <w:t xml:space="preserve"> 4000 v5 - připojit přes SIP</w:t>
      </w:r>
    </w:p>
    <w:p w:rsidR="00A71398" w:rsidRDefault="00A71398" w:rsidP="00A71398">
      <w:r>
        <w:t>AASTRA 5000 – hlavní node clusteru, připojit přes SIP</w:t>
      </w:r>
    </w:p>
    <w:p w:rsidR="00A71398" w:rsidRPr="00E71010" w:rsidRDefault="00A71398" w:rsidP="00A71398">
      <w:pPr>
        <w:rPr>
          <w:b/>
        </w:rPr>
      </w:pPr>
      <w:r w:rsidRPr="00E71010">
        <w:rPr>
          <w:b/>
        </w:rPr>
        <w:t xml:space="preserve">Lokalita </w:t>
      </w:r>
      <w:proofErr w:type="spellStart"/>
      <w:r w:rsidRPr="00E71010">
        <w:rPr>
          <w:b/>
        </w:rPr>
        <w:t>Košutka</w:t>
      </w:r>
      <w:proofErr w:type="spellEnd"/>
      <w:r w:rsidRPr="00E71010">
        <w:rPr>
          <w:b/>
        </w:rPr>
        <w:t>, U Hasičů 1, Plzeň</w:t>
      </w:r>
    </w:p>
    <w:p w:rsidR="00A71398" w:rsidRPr="00E71010" w:rsidRDefault="00A71398" w:rsidP="00A71398">
      <w:r w:rsidRPr="00E71010">
        <w:t>Ústředny:</w:t>
      </w:r>
    </w:p>
    <w:p w:rsidR="00A71398" w:rsidRPr="00E71010" w:rsidRDefault="00A71398" w:rsidP="00A71398">
      <w:r w:rsidRPr="00E71010">
        <w:t>AASTRA 5000 – záložní node clusteru, připojit přes SIP</w:t>
      </w:r>
    </w:p>
    <w:p w:rsidR="00A71398" w:rsidRDefault="00A71398" w:rsidP="00A71398">
      <w:r>
        <w:t>Konektivita, po které bude poskytována služba SIP, bude přivedena do každé lokality. V případě ústředny Siemens bude při případném výpadku konektivity do lokality ve Škroupově 18, Plzeň využit optický DVDM propoj zadavatele mezi oběma lokalitami tak, aby se ústředna Siemens dala připojit k dodavateli přes konektivitu v lokalitě U Hasičů.</w:t>
      </w:r>
    </w:p>
    <w:p w:rsidR="00A71398" w:rsidRDefault="00A71398" w:rsidP="00A71398">
      <w:r>
        <w:t xml:space="preserve">Bude využito zabezpečení protokolem </w:t>
      </w:r>
      <w:proofErr w:type="spellStart"/>
      <w:r>
        <w:t>IPSec</w:t>
      </w:r>
      <w:proofErr w:type="spellEnd"/>
      <w:r>
        <w:t xml:space="preserve"> na privátní lince. </w:t>
      </w:r>
    </w:p>
    <w:p w:rsidR="00A71398" w:rsidRDefault="00A71398" w:rsidP="00A71398">
      <w:r>
        <w:t xml:space="preserve">Pouze pokud nebude možno zprovoznit zabezpečení z důvodu nekompatibility telefonních ústředen </w:t>
      </w:r>
      <w:proofErr w:type="spellStart"/>
      <w:r>
        <w:t>Aastra</w:t>
      </w:r>
      <w:proofErr w:type="spellEnd"/>
      <w:r>
        <w:t xml:space="preserve"> 5000 a Siemens </w:t>
      </w:r>
      <w:proofErr w:type="spellStart"/>
      <w:r>
        <w:t>Hipath</w:t>
      </w:r>
      <w:proofErr w:type="spellEnd"/>
      <w:r>
        <w:t xml:space="preserve"> 4000 v5, které centrální zadavatel používá, nebude zabezpečení na privátní lince použito.</w:t>
      </w:r>
    </w:p>
    <w:p w:rsidR="00A71398" w:rsidRDefault="00A71398" w:rsidP="00A71398">
      <w:r>
        <w:t xml:space="preserve">V lokalitě Škroupova 18, Plzeň bude zřízeno 1xSIP-30 kanálů do ústředny Siemens </w:t>
      </w:r>
      <w:proofErr w:type="spellStart"/>
      <w:r>
        <w:t>Hipath</w:t>
      </w:r>
      <w:proofErr w:type="spellEnd"/>
      <w:r>
        <w:t xml:space="preserve"> 4000v5 (a zároveň záložní </w:t>
      </w:r>
      <w:proofErr w:type="spellStart"/>
      <w:r>
        <w:t>trunk</w:t>
      </w:r>
      <w:proofErr w:type="spellEnd"/>
      <w:r>
        <w:t xml:space="preserve"> SIP-30 kanálů připojený přes lokalitu U hasičů) a 1xSIP-30kanálů do hlavního </w:t>
      </w:r>
      <w:proofErr w:type="spellStart"/>
      <w:r>
        <w:t>nódu</w:t>
      </w:r>
      <w:proofErr w:type="spellEnd"/>
      <w:r>
        <w:t xml:space="preserve"> ústředny </w:t>
      </w:r>
      <w:proofErr w:type="spellStart"/>
      <w:r>
        <w:t>Aastra</w:t>
      </w:r>
      <w:proofErr w:type="spellEnd"/>
      <w:r>
        <w:t xml:space="preserve"> 5000 (a zároveň záložní </w:t>
      </w:r>
      <w:proofErr w:type="spellStart"/>
      <w:r>
        <w:t>trunk</w:t>
      </w:r>
      <w:proofErr w:type="spellEnd"/>
      <w:r>
        <w:t xml:space="preserve"> SIP-30 kanálů připojený do záložního </w:t>
      </w:r>
      <w:proofErr w:type="spellStart"/>
      <w:r>
        <w:t>nódu</w:t>
      </w:r>
      <w:proofErr w:type="spellEnd"/>
      <w:r>
        <w:t xml:space="preserve"> ústředny </w:t>
      </w:r>
      <w:proofErr w:type="spellStart"/>
      <w:r>
        <w:t>Aastra</w:t>
      </w:r>
      <w:proofErr w:type="spellEnd"/>
      <w:r>
        <w:t xml:space="preserve"> 5000 v lokalitě U hasičů).</w:t>
      </w:r>
    </w:p>
    <w:p w:rsidR="00A71398" w:rsidRDefault="00A71398" w:rsidP="00A71398">
      <w:r>
        <w:t xml:space="preserve">Uchazeč na následujícím listu předkládá schéma fungování </w:t>
      </w:r>
      <w:proofErr w:type="spellStart"/>
      <w:r>
        <w:t>VoIP</w:t>
      </w:r>
      <w:proofErr w:type="spellEnd"/>
      <w:r>
        <w:t>/SIP.</w:t>
      </w:r>
    </w:p>
    <w:p w:rsidR="00A71398" w:rsidRDefault="00A71398" w:rsidP="00A71398">
      <w:r w:rsidRPr="00E71010">
        <w:rPr>
          <w:noProof/>
          <w:lang w:eastAsia="cs-CZ"/>
        </w:rPr>
        <w:lastRenderedPageBreak/>
        <w:drawing>
          <wp:inline distT="0" distB="0" distL="0" distR="0" wp14:anchorId="41E1BE60" wp14:editId="0C513648">
            <wp:extent cx="5760720" cy="8171784"/>
            <wp:effectExtent l="0" t="0" r="0" b="1270"/>
            <wp:docPr id="5" name="Obrázek 5" descr="C:\Users\mi056816\AppData\Local\Microsoft\Windows\Temporary Internet Files\Content.Outlook\0PV4K8JW\Přelivy hovorů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056816\AppData\Local\Microsoft\Windows\Temporary Internet Files\Content.Outlook\0PV4K8JW\Přelivy hovorů 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98" w:rsidRDefault="00A71398" w:rsidP="00A71398"/>
    <w:p w:rsidR="00A71398" w:rsidRDefault="00A71398" w:rsidP="00A71398">
      <w:pPr>
        <w:pStyle w:val="Nadpis3"/>
      </w:pPr>
      <w:bookmarkStart w:id="6" w:name="_Toc466021376"/>
      <w:r>
        <w:lastRenderedPageBreak/>
        <w:t>Administrativní úkony</w:t>
      </w:r>
      <w:bookmarkEnd w:id="6"/>
    </w:p>
    <w:p w:rsidR="00A71398" w:rsidRDefault="00A71398" w:rsidP="00A71398">
      <w:r>
        <w:t>Uchazeč poskytne následující služby – administrativní úkony za maximální možný poplatek 1 Kč bez DPH: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změna fakturačních údajů (např. změna názvu, sídla účetní jednotky)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převod účastnictví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změna umístění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vypojení telefonní linky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znovuzapojení telefonní linky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poplatek za detailní výpis jednoho účastnického čísla v tištěné podobě, vč. jeho doručení zadavateli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zřizovací poplatek HTS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zřizovací poplatek ISDN2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>zřizovací poplatek ISDN30</w:t>
      </w:r>
    </w:p>
    <w:p w:rsidR="00A71398" w:rsidRDefault="00A71398" w:rsidP="00A71398">
      <w:pPr>
        <w:numPr>
          <w:ilvl w:val="0"/>
          <w:numId w:val="2"/>
        </w:numPr>
        <w:spacing w:before="0" w:after="60" w:line="300" w:lineRule="exact"/>
        <w:ind w:left="714" w:hanging="357"/>
      </w:pPr>
      <w:r>
        <w:t xml:space="preserve">zřizovací poplatek </w:t>
      </w:r>
      <w:proofErr w:type="spellStart"/>
      <w:r>
        <w:t>xDSL</w:t>
      </w:r>
      <w:proofErr w:type="spellEnd"/>
      <w:r>
        <w:t xml:space="preserve"> včetně modemu</w:t>
      </w:r>
    </w:p>
    <w:p w:rsidR="00A71398" w:rsidRDefault="00A71398" w:rsidP="00A71398">
      <w:pPr>
        <w:numPr>
          <w:ilvl w:val="0"/>
          <w:numId w:val="2"/>
        </w:numPr>
        <w:spacing w:before="0" w:line="300" w:lineRule="exact"/>
        <w:ind w:left="714" w:hanging="357"/>
      </w:pPr>
      <w:r>
        <w:t xml:space="preserve">zřizovací poplatek </w:t>
      </w:r>
      <w:proofErr w:type="spellStart"/>
      <w:r>
        <w:t>VoIP</w:t>
      </w:r>
      <w:proofErr w:type="spellEnd"/>
      <w:r>
        <w:t xml:space="preserve"> SIP</w:t>
      </w:r>
    </w:p>
    <w:p w:rsidR="00A71398" w:rsidRDefault="00A71398" w:rsidP="00A71398">
      <w:pPr>
        <w:spacing w:before="0" w:after="60" w:line="300" w:lineRule="exact"/>
      </w:pPr>
      <w:r>
        <w:t xml:space="preserve">Zřizovací poplatek uvedený výše představuje jednorázovou platbu spojenou se zřízením nové telefonní linky (HTS, ISDN2, ISDN30, </w:t>
      </w:r>
      <w:proofErr w:type="spellStart"/>
      <w:r>
        <w:t>VoIP</w:t>
      </w:r>
      <w:proofErr w:type="spellEnd"/>
      <w:r>
        <w:t xml:space="preserve"> SIP) a </w:t>
      </w:r>
      <w:proofErr w:type="spellStart"/>
      <w:r>
        <w:t>xDSL</w:t>
      </w:r>
      <w:proofErr w:type="spellEnd"/>
      <w:r>
        <w:t>.</w:t>
      </w:r>
    </w:p>
    <w:p w:rsidR="00A71398" w:rsidRDefault="00A71398" w:rsidP="00A71398">
      <w:pPr>
        <w:pStyle w:val="Nadpis3"/>
      </w:pPr>
      <w:bookmarkStart w:id="7" w:name="_Toc466021377"/>
      <w:r>
        <w:t>Operátorské služby – zákaznický servis</w:t>
      </w:r>
      <w:bookmarkEnd w:id="7"/>
    </w:p>
    <w:p w:rsidR="00A71398" w:rsidRDefault="00A71398" w:rsidP="00A71398">
      <w:r>
        <w:t>Uchazeč poskytne operátorské služby – zákaznický servis v souladu s požadavky zadavatele. Podrobný popis těchto služeb je uveden v kapitole 20 této nabídky.</w:t>
      </w:r>
    </w:p>
    <w:p w:rsidR="00A71398" w:rsidRDefault="00A71398" w:rsidP="00A71398">
      <w:pPr>
        <w:pStyle w:val="Nadpis3"/>
      </w:pPr>
      <w:bookmarkStart w:id="8" w:name="_Toc466021378"/>
      <w:r>
        <w:t>Přenesení telefonních čísel a migrace služeb</w:t>
      </w:r>
      <w:bookmarkEnd w:id="8"/>
    </w:p>
    <w:p w:rsidR="00A71398" w:rsidRDefault="00A71398" w:rsidP="00A71398">
      <w:r>
        <w:t>Uchazeč je stávajícím poskytovatelem poptávaných služeb – viz kapitola 7 této nabídky.</w:t>
      </w:r>
    </w:p>
    <w:p w:rsidR="00A71398" w:rsidRDefault="00A71398" w:rsidP="00A71398">
      <w:pPr>
        <w:pStyle w:val="Nadpis3"/>
      </w:pPr>
      <w:bookmarkStart w:id="9" w:name="_Toc466021379"/>
      <w:r>
        <w:t>Výpisy a fakturace</w:t>
      </w:r>
      <w:bookmarkEnd w:id="9"/>
    </w:p>
    <w:p w:rsidR="00A71398" w:rsidRDefault="00A71398" w:rsidP="00A71398">
      <w:r>
        <w:t>Uchazeč zabezpečí výpisy a fakturaci v souladu s požadavky zadavatele. Podrobný popis zabezpečení výpisů a fakturace je uveden v kapitole 19 této nabídky.</w:t>
      </w:r>
    </w:p>
    <w:p w:rsidR="00A71398" w:rsidRDefault="00A71398" w:rsidP="00A71398">
      <w:pPr>
        <w:pStyle w:val="Nadpis3"/>
      </w:pPr>
      <w:bookmarkStart w:id="10" w:name="_Toc466021380"/>
      <w:r>
        <w:t>Ostatní požadavky Centrálního zadavatele</w:t>
      </w:r>
      <w:bookmarkEnd w:id="10"/>
    </w:p>
    <w:p w:rsidR="00A71398" w:rsidRDefault="00A71398" w:rsidP="00A71398">
      <w:r>
        <w:t>Uchazeč bere na vědomí a akceptuje, že Centrální zadavatel a zadavatelé PK si vyhrazují možnost čerpat služby neuvedené v zadávací dokumentaci nebo v příloze č. 1 zadávací dokumentace Tabulka služeb k ocenění, které jsou v nabídce vybraného uchazeče. Tyto služby budou účtovány dle standardního ceníku uchazeče. Kompletní standardní ceník veškerých služeb zároveň uchazeč předložil ve své nabídce v kapitole 9.</w:t>
      </w:r>
    </w:p>
    <w:p w:rsidR="00A71398" w:rsidRDefault="00A71398" w:rsidP="00A71398">
      <w:r>
        <w:t>Uchazeč zabezpečí m</w:t>
      </w:r>
      <w:r w:rsidRPr="00446357">
        <w:t>ožnost bezplatně blokovat volání na tzv. barevné linky a služby třetích stran.</w:t>
      </w:r>
    </w:p>
    <w:p w:rsidR="00A71398" w:rsidRDefault="00A71398" w:rsidP="00A71398">
      <w:r>
        <w:t>Uchazeč nesmí a nebude v rámci ceny za měsíční provoz služby (tj. pravidelný měsíční paušál) poskytovat Centrálnímu zadavateli volné minuty k volání.</w:t>
      </w:r>
    </w:p>
    <w:p w:rsidR="00A71398" w:rsidRDefault="00A71398" w:rsidP="00A71398">
      <w:r>
        <w:lastRenderedPageBreak/>
        <w:t>Uchazeč v kapitole 18 této nabídky předložil návrh na zajištění automatického zálohování pro pracoviště se zvláštním charakterem.</w:t>
      </w:r>
    </w:p>
    <w:p w:rsidR="00A71398" w:rsidRDefault="00A71398" w:rsidP="00A71398">
      <w:pPr>
        <w:pStyle w:val="Nadpis3"/>
      </w:pPr>
      <w:bookmarkStart w:id="11" w:name="_Toc466021381"/>
      <w:r>
        <w:t>Záruky za nabízené přístroje (telekomunikační zařízení)</w:t>
      </w:r>
      <w:bookmarkEnd w:id="11"/>
    </w:p>
    <w:p w:rsidR="00A71398" w:rsidRDefault="00A71398" w:rsidP="00A71398">
      <w:r>
        <w:t xml:space="preserve">Na telekomunikační zařízení dodávaná Uchazečem je standardně záruka </w:t>
      </w:r>
      <w:r w:rsidRPr="004258A5">
        <w:rPr>
          <w:b/>
        </w:rPr>
        <w:t>24 měsíců</w:t>
      </w:r>
      <w:r>
        <w:t>.</w:t>
      </w:r>
    </w:p>
    <w:p w:rsidR="00A71398" w:rsidRDefault="00A71398" w:rsidP="00A71398">
      <w:r>
        <w:t xml:space="preserve">Aktuální nabídka telekomunikačních zařízení pro pevnou telefonii a připojení k Internetu je vždy k dispozici na webových stránkách Uchazeče </w:t>
      </w:r>
      <w:hyperlink r:id="rId9" w:history="1">
        <w:r w:rsidRPr="000054F1">
          <w:rPr>
            <w:rStyle w:val="Hypertextovodkaz"/>
          </w:rPr>
          <w:t>www.o2.cz</w:t>
        </w:r>
      </w:hyperlink>
      <w:r>
        <w:t xml:space="preserve"> .</w:t>
      </w:r>
    </w:p>
    <w:p w:rsidR="00A71398" w:rsidRPr="00243D93" w:rsidRDefault="00A71398" w:rsidP="00A71398"/>
    <w:p w:rsidR="000F77A6" w:rsidRDefault="00D21F67"/>
    <w:sectPr w:rsidR="000F77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67" w:rsidRDefault="00D21F67" w:rsidP="0040085D">
      <w:pPr>
        <w:spacing w:before="0" w:after="0" w:line="240" w:lineRule="auto"/>
      </w:pPr>
      <w:r>
        <w:separator/>
      </w:r>
    </w:p>
  </w:endnote>
  <w:endnote w:type="continuationSeparator" w:id="0">
    <w:p w:rsidR="00D21F67" w:rsidRDefault="00D21F67" w:rsidP="004008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512346"/>
      <w:docPartObj>
        <w:docPartGallery w:val="Page Numbers (Bottom of Page)"/>
        <w:docPartUnique/>
      </w:docPartObj>
    </w:sdtPr>
    <w:sdtContent>
      <w:p w:rsidR="00B11940" w:rsidRDefault="00B119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1940" w:rsidRDefault="00B119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67" w:rsidRDefault="00D21F67" w:rsidP="0040085D">
      <w:pPr>
        <w:spacing w:before="0" w:after="0" w:line="240" w:lineRule="auto"/>
      </w:pPr>
      <w:r>
        <w:separator/>
      </w:r>
    </w:p>
  </w:footnote>
  <w:footnote w:type="continuationSeparator" w:id="0">
    <w:p w:rsidR="00D21F67" w:rsidRDefault="00D21F67" w:rsidP="004008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5D" w:rsidRDefault="0040085D">
    <w:pPr>
      <w:pStyle w:val="Zhlav"/>
    </w:pPr>
    <w:r>
      <w:t>Příloha č. 6 Rámcové smlouvy – Nabídka společnosti O2 Czech Republic a.s. – technická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BA0"/>
    <w:multiLevelType w:val="multilevel"/>
    <w:tmpl w:val="80DAB4FC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17A5EE6"/>
    <w:multiLevelType w:val="hybridMultilevel"/>
    <w:tmpl w:val="F1BEA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8"/>
    <w:rsid w:val="003A527D"/>
    <w:rsid w:val="0040085D"/>
    <w:rsid w:val="00A3597B"/>
    <w:rsid w:val="00A71398"/>
    <w:rsid w:val="00B11940"/>
    <w:rsid w:val="00D21F67"/>
    <w:rsid w:val="00E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98"/>
    <w:pPr>
      <w:spacing w:before="120" w:after="120" w:line="288" w:lineRule="auto"/>
    </w:pPr>
    <w:rPr>
      <w:rFonts w:ascii="Arial" w:hAnsi="Arial"/>
      <w:color w:val="000066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71398"/>
    <w:pPr>
      <w:keepNext/>
      <w:keepLines/>
      <w:pageBreakBefore/>
      <w:numPr>
        <w:numId w:val="1"/>
      </w:numPr>
      <w:pBdr>
        <w:bottom w:val="dotted" w:sz="12" w:space="1" w:color="54B6E7"/>
      </w:pBdr>
      <w:spacing w:before="360" w:after="360"/>
      <w:outlineLvl w:val="0"/>
    </w:pPr>
    <w:rPr>
      <w:rFonts w:eastAsiaTheme="majorEastAsia" w:cstheme="majorBidi"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1398"/>
    <w:pPr>
      <w:keepNext/>
      <w:keepLines/>
      <w:numPr>
        <w:ilvl w:val="1"/>
        <w:numId w:val="1"/>
      </w:numPr>
      <w:spacing w:before="360" w:after="240"/>
      <w:outlineLvl w:val="1"/>
    </w:pPr>
    <w:rPr>
      <w:rFonts w:eastAsiaTheme="majorEastAsia" w:cstheme="majorBidi"/>
      <w:bCs/>
      <w:color w:val="54B6E7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1398"/>
    <w:pPr>
      <w:keepNext/>
      <w:keepLines/>
      <w:numPr>
        <w:ilvl w:val="2"/>
        <w:numId w:val="1"/>
      </w:numPr>
      <w:spacing w:before="360" w:after="160"/>
      <w:outlineLvl w:val="2"/>
    </w:pPr>
    <w:rPr>
      <w:rFonts w:eastAsiaTheme="majorEastAsia" w:cstheme="majorBidi"/>
      <w:bCs/>
      <w:color w:val="54B6E7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71398"/>
    <w:pPr>
      <w:keepNext/>
      <w:keepLines/>
      <w:numPr>
        <w:ilvl w:val="3"/>
        <w:numId w:val="1"/>
      </w:numPr>
      <w:spacing w:before="36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71398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71398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71398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1398"/>
    <w:rPr>
      <w:rFonts w:ascii="Arial" w:eastAsiaTheme="majorEastAsia" w:hAnsi="Arial" w:cstheme="majorBidi"/>
      <w:bCs/>
      <w:color w:val="000066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71398"/>
    <w:rPr>
      <w:rFonts w:ascii="Arial" w:eastAsiaTheme="majorEastAsia" w:hAnsi="Arial" w:cstheme="majorBidi"/>
      <w:bCs/>
      <w:color w:val="54B6E7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71398"/>
    <w:rPr>
      <w:rFonts w:ascii="Arial" w:eastAsiaTheme="majorEastAsia" w:hAnsi="Arial" w:cstheme="majorBidi"/>
      <w:bCs/>
      <w:color w:val="54B6E7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A71398"/>
    <w:rPr>
      <w:rFonts w:ascii="Arial" w:eastAsiaTheme="majorEastAsia" w:hAnsi="Arial" w:cstheme="majorBidi"/>
      <w:b/>
      <w:bCs/>
      <w:iCs/>
      <w:color w:val="000066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A71398"/>
    <w:rPr>
      <w:rFonts w:ascii="Arial" w:eastAsiaTheme="majorEastAsia" w:hAnsi="Arial" w:cstheme="majorBidi"/>
      <w:b/>
      <w:color w:val="000066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A71398"/>
    <w:rPr>
      <w:rFonts w:ascii="Arial" w:eastAsiaTheme="majorEastAsia" w:hAnsi="Arial" w:cstheme="majorBidi"/>
      <w:b/>
      <w:iCs/>
      <w:color w:val="000066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A71398"/>
    <w:rPr>
      <w:rFonts w:ascii="Arial" w:eastAsiaTheme="majorEastAsia" w:hAnsi="Arial" w:cstheme="majorBidi"/>
      <w:b/>
      <w:iCs/>
      <w:color w:val="000066"/>
      <w:sz w:val="20"/>
    </w:rPr>
  </w:style>
  <w:style w:type="character" w:styleId="Hypertextovodkaz">
    <w:name w:val="Hyperlink"/>
    <w:basedOn w:val="Standardnpsmoodstavce"/>
    <w:uiPriority w:val="99"/>
    <w:unhideWhenUsed/>
    <w:rsid w:val="00A7139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0085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85D"/>
    <w:rPr>
      <w:rFonts w:ascii="Arial" w:hAnsi="Arial"/>
      <w:color w:val="000066"/>
      <w:sz w:val="20"/>
    </w:rPr>
  </w:style>
  <w:style w:type="paragraph" w:styleId="Zpat">
    <w:name w:val="footer"/>
    <w:basedOn w:val="Normln"/>
    <w:link w:val="ZpatChar"/>
    <w:uiPriority w:val="99"/>
    <w:unhideWhenUsed/>
    <w:rsid w:val="0040085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85D"/>
    <w:rPr>
      <w:rFonts w:ascii="Arial" w:hAnsi="Arial"/>
      <w:color w:val="000066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8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85D"/>
    <w:rPr>
      <w:rFonts w:ascii="Tahoma" w:hAnsi="Tahoma" w:cs="Tahoma"/>
      <w:color w:val="00006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98"/>
    <w:pPr>
      <w:spacing w:before="120" w:after="120" w:line="288" w:lineRule="auto"/>
    </w:pPr>
    <w:rPr>
      <w:rFonts w:ascii="Arial" w:hAnsi="Arial"/>
      <w:color w:val="000066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71398"/>
    <w:pPr>
      <w:keepNext/>
      <w:keepLines/>
      <w:pageBreakBefore/>
      <w:numPr>
        <w:numId w:val="1"/>
      </w:numPr>
      <w:pBdr>
        <w:bottom w:val="dotted" w:sz="12" w:space="1" w:color="54B6E7"/>
      </w:pBdr>
      <w:spacing w:before="360" w:after="360"/>
      <w:outlineLvl w:val="0"/>
    </w:pPr>
    <w:rPr>
      <w:rFonts w:eastAsiaTheme="majorEastAsia" w:cstheme="majorBidi"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1398"/>
    <w:pPr>
      <w:keepNext/>
      <w:keepLines/>
      <w:numPr>
        <w:ilvl w:val="1"/>
        <w:numId w:val="1"/>
      </w:numPr>
      <w:spacing w:before="360" w:after="240"/>
      <w:outlineLvl w:val="1"/>
    </w:pPr>
    <w:rPr>
      <w:rFonts w:eastAsiaTheme="majorEastAsia" w:cstheme="majorBidi"/>
      <w:bCs/>
      <w:color w:val="54B6E7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1398"/>
    <w:pPr>
      <w:keepNext/>
      <w:keepLines/>
      <w:numPr>
        <w:ilvl w:val="2"/>
        <w:numId w:val="1"/>
      </w:numPr>
      <w:spacing w:before="360" w:after="160"/>
      <w:outlineLvl w:val="2"/>
    </w:pPr>
    <w:rPr>
      <w:rFonts w:eastAsiaTheme="majorEastAsia" w:cstheme="majorBidi"/>
      <w:bCs/>
      <w:color w:val="54B6E7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71398"/>
    <w:pPr>
      <w:keepNext/>
      <w:keepLines/>
      <w:numPr>
        <w:ilvl w:val="3"/>
        <w:numId w:val="1"/>
      </w:numPr>
      <w:spacing w:before="36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71398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71398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71398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1398"/>
    <w:rPr>
      <w:rFonts w:ascii="Arial" w:eastAsiaTheme="majorEastAsia" w:hAnsi="Arial" w:cstheme="majorBidi"/>
      <w:bCs/>
      <w:color w:val="000066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71398"/>
    <w:rPr>
      <w:rFonts w:ascii="Arial" w:eastAsiaTheme="majorEastAsia" w:hAnsi="Arial" w:cstheme="majorBidi"/>
      <w:bCs/>
      <w:color w:val="54B6E7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71398"/>
    <w:rPr>
      <w:rFonts w:ascii="Arial" w:eastAsiaTheme="majorEastAsia" w:hAnsi="Arial" w:cstheme="majorBidi"/>
      <w:bCs/>
      <w:color w:val="54B6E7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A71398"/>
    <w:rPr>
      <w:rFonts w:ascii="Arial" w:eastAsiaTheme="majorEastAsia" w:hAnsi="Arial" w:cstheme="majorBidi"/>
      <w:b/>
      <w:bCs/>
      <w:iCs/>
      <w:color w:val="000066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A71398"/>
    <w:rPr>
      <w:rFonts w:ascii="Arial" w:eastAsiaTheme="majorEastAsia" w:hAnsi="Arial" w:cstheme="majorBidi"/>
      <w:b/>
      <w:color w:val="000066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A71398"/>
    <w:rPr>
      <w:rFonts w:ascii="Arial" w:eastAsiaTheme="majorEastAsia" w:hAnsi="Arial" w:cstheme="majorBidi"/>
      <w:b/>
      <w:iCs/>
      <w:color w:val="000066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A71398"/>
    <w:rPr>
      <w:rFonts w:ascii="Arial" w:eastAsiaTheme="majorEastAsia" w:hAnsi="Arial" w:cstheme="majorBidi"/>
      <w:b/>
      <w:iCs/>
      <w:color w:val="000066"/>
      <w:sz w:val="20"/>
    </w:rPr>
  </w:style>
  <w:style w:type="character" w:styleId="Hypertextovodkaz">
    <w:name w:val="Hyperlink"/>
    <w:basedOn w:val="Standardnpsmoodstavce"/>
    <w:uiPriority w:val="99"/>
    <w:unhideWhenUsed/>
    <w:rsid w:val="00A7139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0085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85D"/>
    <w:rPr>
      <w:rFonts w:ascii="Arial" w:hAnsi="Arial"/>
      <w:color w:val="000066"/>
      <w:sz w:val="20"/>
    </w:rPr>
  </w:style>
  <w:style w:type="paragraph" w:styleId="Zpat">
    <w:name w:val="footer"/>
    <w:basedOn w:val="Normln"/>
    <w:link w:val="ZpatChar"/>
    <w:uiPriority w:val="99"/>
    <w:unhideWhenUsed/>
    <w:rsid w:val="0040085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85D"/>
    <w:rPr>
      <w:rFonts w:ascii="Arial" w:hAnsi="Arial"/>
      <w:color w:val="000066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8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85D"/>
    <w:rPr>
      <w:rFonts w:ascii="Tahoma" w:hAnsi="Tahoma" w:cs="Tahoma"/>
      <w:color w:val="0000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2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Kurfürst Marcel</dc:creator>
  <cp:lastModifiedBy>Volín Richard</cp:lastModifiedBy>
  <cp:revision>3</cp:revision>
  <dcterms:created xsi:type="dcterms:W3CDTF">2017-02-02T10:56:00Z</dcterms:created>
  <dcterms:modified xsi:type="dcterms:W3CDTF">2017-02-03T07:29:00Z</dcterms:modified>
</cp:coreProperties>
</file>