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PŘÍKAZNÍ SMLOUVA</w:t>
      </w:r>
    </w:p>
    <w:p w14:paraId="00000002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Národní filmový archiv</w:t>
      </w:r>
    </w:p>
    <w:p w14:paraId="00000004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příspěvková organizace zřízená Ministerstvem kultury České republiky </w:t>
      </w:r>
    </w:p>
    <w:p w14:paraId="00000005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na adrese Malešická 12, 130 00 Praha 3</w:t>
      </w:r>
    </w:p>
    <w:p w14:paraId="00000006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00057266</w:t>
      </w:r>
    </w:p>
    <w:p w14:paraId="00000007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 CZ00057266</w:t>
      </w:r>
    </w:p>
    <w:p w14:paraId="00000008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zastoupena PhDr. Michalem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Bregantem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generálním ředitelem</w:t>
      </w:r>
    </w:p>
    <w:p w14:paraId="00000009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kontaktní osoba: </w:t>
      </w:r>
      <w:r>
        <w:rPr>
          <w:rFonts w:ascii="Arial" w:eastAsia="Arial" w:hAnsi="Arial" w:cs="Arial"/>
          <w:sz w:val="22"/>
          <w:szCs w:val="22"/>
        </w:rPr>
        <w:t xml:space="preserve">Ladislav </w:t>
      </w:r>
      <w:proofErr w:type="spellStart"/>
      <w:r>
        <w:rPr>
          <w:rFonts w:ascii="Arial" w:eastAsia="Arial" w:hAnsi="Arial" w:cs="Arial"/>
          <w:sz w:val="22"/>
          <w:szCs w:val="22"/>
        </w:rPr>
        <w:t>Cubr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(ladislav.cubr@nfa.cz)</w:t>
      </w:r>
    </w:p>
    <w:p w14:paraId="0000000A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Příkazce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0B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jedné</w:t>
      </w:r>
    </w:p>
    <w:p w14:paraId="0000000C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0000000D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0000000E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0F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Bohuš Získal</w:t>
      </w:r>
    </w:p>
    <w:p w14:paraId="00000010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sídlem </w:t>
      </w:r>
      <w:r>
        <w:rPr>
          <w:rFonts w:ascii="Arial" w:eastAsia="Arial" w:hAnsi="Arial" w:cs="Arial"/>
          <w:sz w:val="22"/>
          <w:szCs w:val="22"/>
        </w:rPr>
        <w:t>Schnirchova 1354/9, 170 00 Praha 7</w:t>
      </w:r>
    </w:p>
    <w:p w14:paraId="00000011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44342411</w:t>
      </w:r>
    </w:p>
    <w:p w14:paraId="0000001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710523</w:t>
      </w:r>
      <w:r>
        <w:rPr>
          <w:rFonts w:ascii="Arial" w:eastAsia="Arial" w:hAnsi="Arial" w:cs="Arial"/>
          <w:sz w:val="22"/>
          <w:szCs w:val="22"/>
        </w:rPr>
        <w:t>0242 / není plátcem DPH</w:t>
      </w:r>
    </w:p>
    <w:p w14:paraId="00000013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bankovního účtu: 6303081001/5500</w:t>
      </w:r>
    </w:p>
    <w:p w14:paraId="00000014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Příkazník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5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</w:t>
      </w:r>
    </w:p>
    <w:p w14:paraId="00000016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17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(Příkazce a Příkazník jsou v této smlouvě označováni jednotlivě také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Smluvní strana</w:t>
      </w:r>
      <w:r>
        <w:rPr>
          <w:rFonts w:ascii="Arial" w:eastAsia="Arial" w:hAnsi="Arial" w:cs="Arial"/>
          <w:color w:val="000000"/>
          <w:sz w:val="22"/>
          <w:szCs w:val="22"/>
        </w:rPr>
        <w:t>“ a společně pak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Smluvní strany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</w:p>
    <w:p w14:paraId="00000018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00000019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uzavřeli dle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§ 2430 a násl. zákona č. 89/2012 Sb., občanského zákoníku, níže uvedeného dne, měsíce a roku tuto příkazní smlouvu: </w:t>
      </w:r>
    </w:p>
    <w:p w14:paraId="0000001A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Preambule </w:t>
      </w:r>
    </w:p>
    <w:p w14:paraId="0000001C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Příkazce je příspěvková organizace, jejímž posláním je pečovat o filmové dědictví, zprostředkovávat veřejnost</w:t>
      </w:r>
      <w:r>
        <w:rPr>
          <w:rFonts w:ascii="Arial" w:eastAsia="Arial" w:hAnsi="Arial" w:cs="Arial"/>
          <w:color w:val="000000"/>
          <w:sz w:val="22"/>
          <w:szCs w:val="22"/>
        </w:rPr>
        <w:t>i jeho poznávání a napomáhat rozvoji českého audiovizuálního průmyslu a filmové kultury.</w:t>
      </w:r>
    </w:p>
    <w:p w14:paraId="0000001D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Příkazník prohlašuje, že je odborníkem </w:t>
      </w:r>
      <w:r>
        <w:rPr>
          <w:rFonts w:ascii="Arial" w:eastAsia="Arial" w:hAnsi="Arial" w:cs="Arial"/>
          <w:sz w:val="22"/>
          <w:szCs w:val="22"/>
        </w:rPr>
        <w:t>v oblasti správy a archivace audiovizuálního obsahu s dlouholetou zkušeností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podnikajícím na základě živnostenského oprávnění </w:t>
      </w:r>
      <w:r>
        <w:rPr>
          <w:rFonts w:ascii="Arial" w:eastAsia="Arial" w:hAnsi="Arial" w:cs="Arial"/>
          <w:color w:val="000000"/>
          <w:sz w:val="22"/>
          <w:szCs w:val="22"/>
        </w:rPr>
        <w:t>s předmětem podnikání</w:t>
      </w:r>
      <w:r>
        <w:rPr>
          <w:rFonts w:ascii="Arial" w:eastAsia="Arial" w:hAnsi="Arial" w:cs="Arial"/>
          <w:sz w:val="22"/>
          <w:szCs w:val="22"/>
        </w:rPr>
        <w:t xml:space="preserve"> výroba, obchod a služby neuvedené v přílohách 1 až 3 živnostenského zákona a oborem činnosti mimoškolní výchova a vzdělávání, pořádání kurzů, školení, včetně lektorské činnosti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tedy je zkušeným profesionálem ve svém oboru. </w:t>
      </w:r>
    </w:p>
    <w:p w14:paraId="0000001F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20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kazce si přeje při naplňování svého poslání využít odborných schopností Příkazníka a konzultací </w:t>
      </w:r>
      <w:r>
        <w:rPr>
          <w:rFonts w:ascii="Arial" w:eastAsia="Arial" w:hAnsi="Arial" w:cs="Arial"/>
          <w:sz w:val="22"/>
          <w:szCs w:val="22"/>
        </w:rPr>
        <w:t>při procesu zlepšování postupů a způsobů elektronického zpracování doprovodných dat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 oblasti </w:t>
      </w:r>
      <w:r>
        <w:rPr>
          <w:rFonts w:ascii="Arial" w:eastAsia="Arial" w:hAnsi="Arial" w:cs="Arial"/>
          <w:sz w:val="22"/>
          <w:szCs w:val="22"/>
        </w:rPr>
        <w:t>procesů evidence a katalogizace audiovizuálních sbírek.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Příkazník </w:t>
      </w:r>
      <w:r>
        <w:rPr>
          <w:rFonts w:ascii="Arial" w:eastAsia="Arial" w:hAnsi="Arial" w:cs="Arial"/>
          <w:color w:val="000000"/>
          <w:sz w:val="22"/>
          <w:szCs w:val="22"/>
        </w:rPr>
        <w:t>má zájem své odborné schopnosti Příkazci poskytnout, přičemž za účelem úpravy vzájemných práv a povinností Smluvní strany uzavírají tuto smlouvu.</w:t>
      </w:r>
    </w:p>
    <w:p w14:paraId="0000002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2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23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6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7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Předmět smlouvy</w:t>
      </w:r>
    </w:p>
    <w:p w14:paraId="00000028" w14:textId="77777777" w:rsidR="00157472" w:rsidRDefault="0071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Touto příkazní smlouvou se Příkazník zavazuje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 Příkazce zdokumentovat a zanalyzovat interní činnosti Příkaz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color w:val="000000"/>
          <w:sz w:val="22"/>
          <w:szCs w:val="22"/>
        </w:rPr>
        <w:t>spojené s</w:t>
      </w:r>
      <w:r>
        <w:rPr>
          <w:rFonts w:ascii="Arial" w:eastAsia="Arial" w:hAnsi="Arial" w:cs="Arial"/>
          <w:sz w:val="22"/>
          <w:szCs w:val="22"/>
        </w:rPr>
        <w:t xml:space="preserve"> akvizicí, </w:t>
      </w:r>
      <w:proofErr w:type="spellStart"/>
      <w:r>
        <w:rPr>
          <w:rFonts w:ascii="Arial" w:eastAsia="Arial" w:hAnsi="Arial" w:cs="Arial"/>
          <w:sz w:val="22"/>
          <w:szCs w:val="22"/>
        </w:rPr>
        <w:t>přírůstkováním</w:t>
      </w:r>
      <w:proofErr w:type="spellEnd"/>
      <w:r>
        <w:rPr>
          <w:rFonts w:ascii="Arial" w:eastAsia="Arial" w:hAnsi="Arial" w:cs="Arial"/>
          <w:sz w:val="22"/>
          <w:szCs w:val="22"/>
        </w:rPr>
        <w:t>, katalogizací a dalšími sbírkovými procesy, konzultovat nové pracovní postupy, na základě výsledků takto vzn</w:t>
      </w:r>
      <w:r>
        <w:rPr>
          <w:rFonts w:ascii="Arial" w:eastAsia="Arial" w:hAnsi="Arial" w:cs="Arial"/>
          <w:sz w:val="22"/>
          <w:szCs w:val="22"/>
        </w:rPr>
        <w:t xml:space="preserve">iklých analýz spoluvytvářet podklady umožňující výběr a zavedení řešení pro zefektivnění výše uvedených činností a kvalitnější správu všech doprovodných dat </w:t>
      </w:r>
      <w:r>
        <w:rPr>
          <w:rFonts w:ascii="Arial" w:eastAsia="Arial" w:hAnsi="Arial" w:cs="Arial"/>
          <w:b/>
          <w:color w:val="000000"/>
          <w:sz w:val="22"/>
          <w:szCs w:val="22"/>
        </w:rPr>
        <w:t>a provádět s tím související činnosti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také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příkaz</w:t>
      </w:r>
      <w:r>
        <w:rPr>
          <w:rFonts w:ascii="Arial" w:eastAsia="Arial" w:hAnsi="Arial" w:cs="Arial"/>
          <w:color w:val="000000"/>
          <w:sz w:val="22"/>
          <w:szCs w:val="22"/>
        </w:rPr>
        <w:t>“). Příkazce se zavazuje za to Příkazní</w:t>
      </w:r>
      <w:r>
        <w:rPr>
          <w:rFonts w:ascii="Arial" w:eastAsia="Arial" w:hAnsi="Arial" w:cs="Arial"/>
          <w:color w:val="000000"/>
          <w:sz w:val="22"/>
          <w:szCs w:val="22"/>
        </w:rPr>
        <w:t>kovi zaplatit odměnu, a to v rozsahu a za podmínek v této smlouvě sjednaných.</w:t>
      </w:r>
    </w:p>
    <w:p w14:paraId="00000029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2A" w14:textId="77777777" w:rsidR="00157472" w:rsidRDefault="00710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této smlouvy je vymezení práv a povinností Smluvních stran při plnění příkazu. Specifikace příkazu, na které se Smluvní strany dohodly, je obsažena v 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Příloze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která tvoří nedílnou součást této smlouvy.  </w:t>
      </w:r>
    </w:p>
    <w:p w14:paraId="0000002B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Povinnosti Příkazníka</w:t>
      </w:r>
    </w:p>
    <w:p w14:paraId="0000002E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Příkazník je povinen provést příkaz osobně; nesmí tak svěřit provedení příkazu nikomu jinému, ani si ustanovit náhradníka. </w:t>
      </w:r>
    </w:p>
    <w:p w14:paraId="0000002F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Příkazník je povinen plnit příkaz poctivě, pečlivě a odborně, podle svých nejlepších schopností a znalostí, v souladu s právními př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edpisy a etickými normami a se zohledněním zájmů Příkazce. </w:t>
      </w:r>
    </w:p>
    <w:p w14:paraId="0000003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Příkazník je povinen provést příkaz tak, že výsledky provádění příkazu budou právně bezvadné a nebudou (resp. jejich užití nebude) neoprávněně zasahovat do práv třetích osob, zejména ale nejenom </w:t>
      </w:r>
      <w:r>
        <w:rPr>
          <w:rFonts w:ascii="Arial" w:eastAsia="Arial" w:hAnsi="Arial" w:cs="Arial"/>
          <w:color w:val="000000"/>
          <w:sz w:val="22"/>
          <w:szCs w:val="22"/>
        </w:rPr>
        <w:t>do autorských práv, práv s autorským právem souvisejících, jiných práv k duševnímu vlastnictví či osobnostních práv.</w:t>
      </w:r>
    </w:p>
    <w:p w14:paraId="00000033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Příkazník postupuje při plnění příkazu samostatně, dle vlastního uvážení a s vynaložením náležité odborné péče. </w:t>
      </w:r>
      <w:r>
        <w:rPr>
          <w:rFonts w:ascii="Arial" w:eastAsia="Arial" w:hAnsi="Arial" w:cs="Arial"/>
          <w:color w:val="000000"/>
          <w:sz w:val="22"/>
          <w:szCs w:val="22"/>
        </w:rPr>
        <w:t>Příkazník je povinen řídit se zadáním, požadavky a dispozicemi Příkazce a jeho zástupců; odchýlit se od nich smí jen tehdy, pokud je to nezbytné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 zájmu Příkazce a nemůže-li včas obdržet jeho souhlas; jinak odpovídá za škodu tím vzniklou. Příkazník je povinen výsledky své činnosti upravit či opravit podle požadavků Příkazce ve lhůtě Příkazcem stanovené, a to i opakovaně.</w:t>
      </w:r>
    </w:p>
    <w:p w14:paraId="00000035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Příkazník je povinen upoz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ornit Příkazce na jeho zřejmě nesprávné pokyny, takový pokyn je povinen splnit jen tehdy, když na něm Příkazce bude přes upozornění trvat. </w:t>
      </w:r>
    </w:p>
    <w:p w14:paraId="00000037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8" w14:textId="77777777" w:rsidR="00157472" w:rsidRDefault="00710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50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podklady, informace, údaje a data, které obdrží Příkazník od Příkazce za účelem uskutečnění činností dle této Smlouvy, je Příkazník povinen ochraňovat a zabezpečit před jejich zpřístupněním třetím osobám. Veškeré údaje a data, která Příkazník získá</w:t>
      </w:r>
      <w:r>
        <w:rPr>
          <w:rFonts w:ascii="Arial" w:eastAsia="Arial" w:hAnsi="Arial" w:cs="Arial"/>
          <w:sz w:val="22"/>
          <w:szCs w:val="22"/>
        </w:rPr>
        <w:t xml:space="preserve"> a shromáždí v souvislosti s realizací činností dle této Smlouvy, jsou od počátku majetkem Příkazce.</w:t>
      </w:r>
    </w:p>
    <w:p w14:paraId="00000039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157472" w:rsidRDefault="00710B28">
      <w:pPr>
        <w:numPr>
          <w:ilvl w:val="0"/>
          <w:numId w:val="6"/>
        </w:numPr>
        <w:spacing w:line="264" w:lineRule="auto"/>
        <w:ind w:left="426" w:hanging="5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Příkazník je povinen kdykoliv podat Příkazci na jeho výzvu zprávu o postupu plnění příkazu.</w:t>
      </w:r>
    </w:p>
    <w:p w14:paraId="0000003B" w14:textId="77777777" w:rsidR="00157472" w:rsidRDefault="00157472">
      <w:pPr>
        <w:jc w:val="both"/>
        <w:rPr>
          <w:rFonts w:ascii="Arial" w:eastAsia="Arial" w:hAnsi="Arial" w:cs="Arial"/>
          <w:sz w:val="22"/>
          <w:szCs w:val="22"/>
        </w:rPr>
      </w:pPr>
    </w:p>
    <w:p w14:paraId="0000003C" w14:textId="77777777" w:rsidR="00157472" w:rsidRDefault="00710B28">
      <w:pPr>
        <w:numPr>
          <w:ilvl w:val="0"/>
          <w:numId w:val="6"/>
        </w:numPr>
        <w:spacing w:line="264" w:lineRule="auto"/>
        <w:ind w:left="426" w:hanging="5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Příkazník odpovídá bez jakéhokoliv omezení za škodu i nemajet</w:t>
      </w:r>
      <w:r>
        <w:rPr>
          <w:rFonts w:ascii="Arial" w:eastAsia="Arial" w:hAnsi="Arial" w:cs="Arial"/>
          <w:sz w:val="22"/>
          <w:szCs w:val="22"/>
        </w:rPr>
        <w:t xml:space="preserve">kovou újmu, kterou v souvislosti s prováděním příkazu Příkazci způsobí porušením své povinnosti, včetně případného ušlého zisku či jiných nepřímých škod a včetně případného zásahu do pověsti Příkazce. </w:t>
      </w:r>
    </w:p>
    <w:p w14:paraId="0000003D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F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Povinnosti Příkazce</w:t>
      </w:r>
    </w:p>
    <w:p w14:paraId="00000040" w14:textId="77777777" w:rsidR="00157472" w:rsidRDefault="0071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řádný výkon příkazu v souladu s ujednáními této smlouvy Příkazce zaplatí Příkazníkovi sjednanou odměnu dle článku 4 této smlouvy.</w:t>
      </w:r>
    </w:p>
    <w:p w14:paraId="0000004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2" w14:textId="77777777" w:rsidR="00157472" w:rsidRDefault="00710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Příkazce se zavazuje poskytnout Příkazníkovi součinnost potřebnou k plnění příkazu, zejména předkládat Příkazníkovi jednoznačné pokyny a požadavky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poskytovat mu přesné a úplné informace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a potřebné systémové přístupy</w:t>
      </w:r>
      <w:r>
        <w:rPr>
          <w:rFonts w:ascii="Arial" w:eastAsia="Arial" w:hAnsi="Arial" w:cs="Arial"/>
          <w:sz w:val="22"/>
          <w:szCs w:val="22"/>
        </w:rPr>
        <w:t xml:space="preserve"> k potřebným datům, včetně přístupu k pí</w:t>
      </w:r>
      <w:r>
        <w:rPr>
          <w:rFonts w:ascii="Arial" w:eastAsia="Arial" w:hAnsi="Arial" w:cs="Arial"/>
          <w:sz w:val="22"/>
          <w:szCs w:val="22"/>
        </w:rPr>
        <w:t xml:space="preserve">semným a elektronickým dokumentům Příkazce. </w:t>
      </w:r>
    </w:p>
    <w:p w14:paraId="00000043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4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</w:p>
    <w:p w14:paraId="00000045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color w:val="000000"/>
          <w:sz w:val="22"/>
          <w:szCs w:val="22"/>
        </w:rPr>
        <w:t>Odměna Příkazníka</w:t>
      </w:r>
    </w:p>
    <w:p w14:paraId="00000046" w14:textId="77777777" w:rsidR="00157472" w:rsidRDefault="0071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řádné plnění příkazu v souladu s ujednáními této smlouvy náleží Příkazníkovi odměna. Výši odměny upravuje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Příloha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která tvoří nedílnou součást této smlouvy.  </w:t>
      </w:r>
    </w:p>
    <w:p w14:paraId="00000047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77777777" w:rsidR="00157472" w:rsidRDefault="0071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Odměna Příkazníka je splatná měsíčně zpětně, a to na základě faktury vystavené Příkazníkem vždy k prvnímu dni následujícího kalendářního měsíce, v němž dochází k plnění příkazu. Splatnost odměny je 14 (</w:t>
      </w:r>
      <w:r>
        <w:rPr>
          <w:rFonts w:ascii="Arial" w:eastAsia="Arial" w:hAnsi="Arial" w:cs="Arial"/>
          <w:i/>
          <w:sz w:val="22"/>
          <w:szCs w:val="22"/>
        </w:rPr>
        <w:t>čtrnáct</w:t>
      </w:r>
      <w:r>
        <w:rPr>
          <w:rFonts w:ascii="Arial" w:eastAsia="Arial" w:hAnsi="Arial" w:cs="Arial"/>
          <w:sz w:val="22"/>
          <w:szCs w:val="22"/>
        </w:rPr>
        <w:t>) dní od doručení faktury Příkazci. Fakturu Pří</w:t>
      </w:r>
      <w:r>
        <w:rPr>
          <w:rFonts w:ascii="Arial" w:eastAsia="Arial" w:hAnsi="Arial" w:cs="Arial"/>
          <w:sz w:val="22"/>
          <w:szCs w:val="22"/>
        </w:rPr>
        <w:t>kazník vystaví na základě předloženého a Příkazcem odsouhlaseného výkazu činností (s uvedením jejich časové náročnosti) realizovaných v rámci provádění příkazu v příslušném kalendářním měsíci.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49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4A" w14:textId="77777777" w:rsidR="00157472" w:rsidRDefault="00710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Příkazník nemá právo na náhradu nákladů vynaložených v s</w:t>
      </w:r>
      <w:r>
        <w:rPr>
          <w:rFonts w:ascii="Arial" w:eastAsia="Arial" w:hAnsi="Arial" w:cs="Arial"/>
          <w:color w:val="000000"/>
          <w:sz w:val="22"/>
          <w:szCs w:val="22"/>
        </w:rPr>
        <w:t>ouvislosti s prováděním příkazu, ledaže se Smluvní strany na náhradě nákladů v konkrétním případě předem výslovně písemně dohodnou.</w:t>
      </w:r>
    </w:p>
    <w:p w14:paraId="0000004B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</w:p>
    <w:p w14:paraId="0000004C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Licence </w:t>
      </w:r>
    </w:p>
    <w:p w14:paraId="0000004D" w14:textId="77777777" w:rsidR="00157472" w:rsidRDefault="0071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Příkazník tímto poskytuje Příkazci výhradní licenci k užití veškerých výsledků provádění příkazu chráněných jako autorské dílo ve smyslu zákona č. 121/2000 Sb., o právu autorském, o právech souvisejících s právem autorským a o změně některých zákonů (autor</w:t>
      </w:r>
      <w:r>
        <w:rPr>
          <w:rFonts w:ascii="Arial" w:eastAsia="Arial" w:hAnsi="Arial" w:cs="Arial"/>
          <w:color w:val="000000"/>
          <w:sz w:val="22"/>
          <w:szCs w:val="22"/>
        </w:rPr>
        <w:t>ský zákon), ve znění pozdějších předpisů 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autorský zákon</w:t>
      </w:r>
      <w:r>
        <w:rPr>
          <w:rFonts w:ascii="Arial" w:eastAsia="Arial" w:hAnsi="Arial" w:cs="Arial"/>
          <w:color w:val="000000"/>
          <w:sz w:val="22"/>
          <w:szCs w:val="22"/>
        </w:rPr>
        <w:t>“) či jejich jednotlivých částí 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Dílo</w:t>
      </w:r>
      <w:r>
        <w:rPr>
          <w:rFonts w:ascii="Arial" w:eastAsia="Arial" w:hAnsi="Arial" w:cs="Arial"/>
          <w:color w:val="000000"/>
          <w:sz w:val="22"/>
          <w:szCs w:val="22"/>
        </w:rPr>
        <w:t>“), a to všemi způsoby uvedenými v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§ 12 a násl. autorského zákona, které jsou známé ke dni uzavření této smlouvy, a to s účinností ode dne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jejich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vytvoření  nebo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zpřístupnění Příkazci. Odměna za licenci je již zahrnuta v odměně Příkazníka za plnění příkazu dle článku IV. této smlouvy.</w:t>
      </w:r>
    </w:p>
    <w:p w14:paraId="0000004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F" w14:textId="77777777" w:rsidR="00157472" w:rsidRDefault="0071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Licence je poskytována v rozsahu neomezeném. Licence zejména není omezena co do množstevního rozsahu užití </w:t>
      </w:r>
      <w:r>
        <w:rPr>
          <w:rFonts w:ascii="Arial" w:eastAsia="Arial" w:hAnsi="Arial" w:cs="Arial"/>
          <w:color w:val="000000"/>
          <w:sz w:val="22"/>
          <w:szCs w:val="22"/>
        </w:rPr>
        <w:t>Díla, co do územního rozsahu užití Díla, co do účelu užití Díla a co do způsobu užití Díla. Licence je udělena na celou dobu trvání majetkových práv k autorskému dílu ve smyslu § 27 autorského zákona. Licence zahrnuje také oprávnění Dílo spojit s jiným díl</w:t>
      </w:r>
      <w:r>
        <w:rPr>
          <w:rFonts w:ascii="Arial" w:eastAsia="Arial" w:hAnsi="Arial" w:cs="Arial"/>
          <w:color w:val="000000"/>
          <w:sz w:val="22"/>
          <w:szCs w:val="22"/>
        </w:rPr>
        <w:t>em a zařadit do souboru s jinými autorskými či neautorskými díly či prvky.</w:t>
      </w:r>
    </w:p>
    <w:p w14:paraId="00000050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1" w14:textId="77777777" w:rsidR="00157472" w:rsidRDefault="0071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Příkazník tímto výslovně uděluje Příkazci souhlas Dílo dokončit, upravit, změnit nebo do něj jinak zasáhnout za podmínky, že takový zásah nesníží hodnotu Díla ve smyslu autorského </w:t>
      </w:r>
      <w:r>
        <w:rPr>
          <w:rFonts w:ascii="Arial" w:eastAsia="Arial" w:hAnsi="Arial" w:cs="Arial"/>
          <w:color w:val="000000"/>
          <w:sz w:val="22"/>
          <w:szCs w:val="22"/>
        </w:rPr>
        <w:t>zákona. Licence dle tohoto článku V. se vztahuje i na užití Díla v takové změněné podobě.</w:t>
      </w:r>
    </w:p>
    <w:p w14:paraId="00000052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3" w14:textId="77777777" w:rsidR="00157472" w:rsidRDefault="0071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Příkazce je oprávněn oprávnění tvořící součást licence poskytnout třetí osobě, a to zcela nebo zčásti (podlicence). Strany se dále výslovně dohodly, že Příkazce je o</w:t>
      </w:r>
      <w:r>
        <w:rPr>
          <w:rFonts w:ascii="Arial" w:eastAsia="Arial" w:hAnsi="Arial" w:cs="Arial"/>
          <w:color w:val="000000"/>
          <w:sz w:val="22"/>
          <w:szCs w:val="22"/>
        </w:rPr>
        <w:t>právněn licenci postoupit třetí osobě, a to zcela nebo zčásti.</w:t>
      </w:r>
    </w:p>
    <w:p w14:paraId="00000054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5" w14:textId="77777777" w:rsidR="00157472" w:rsidRDefault="00710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Příkazce není povinen licenci využít a Příkazník se tímto výslovně vzdává práva na odstoupení od smlouvy podle ustanovení § 2378 občanského zákoníku pro nedostatečné využití licence. </w:t>
      </w:r>
    </w:p>
    <w:p w14:paraId="00000056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7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58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</w:t>
      </w:r>
      <w:r>
        <w:rPr>
          <w:rFonts w:ascii="Arial" w:eastAsia="Arial" w:hAnsi="Arial" w:cs="Arial"/>
          <w:b/>
          <w:color w:val="000000"/>
          <w:sz w:val="22"/>
          <w:szCs w:val="22"/>
        </w:rPr>
        <w:t>Mlčenlivost</w:t>
      </w:r>
    </w:p>
    <w:p w14:paraId="00000059" w14:textId="77777777" w:rsidR="00157472" w:rsidRDefault="0071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Příkazník se zavazuje zachovávat mlčenlivost o všech skutečnostech a informacích, které se dozvěděl při uzavírání této smlouvy a v souvislosti s výkonem příkazu a které Příkazce označil jako důvěrné nebo jejichž utajování je v zájmu Příkazce (dále také jen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důvěrné informace</w:t>
      </w:r>
      <w:r>
        <w:rPr>
          <w:rFonts w:ascii="Arial" w:eastAsia="Arial" w:hAnsi="Arial" w:cs="Arial"/>
          <w:color w:val="000000"/>
          <w:sz w:val="22"/>
          <w:szCs w:val="22"/>
        </w:rPr>
        <w:t>“), důvěrné informace nevyužít pro vlastní potřeby nebo jinak, než jak to předvídá tato smlouva a v souladu s jejím účelem. Uvedený závazek trvá i po ukončení plnění příkazu a skončení této smlouvy.</w:t>
      </w:r>
    </w:p>
    <w:p w14:paraId="0000005A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B" w14:textId="77777777" w:rsidR="00157472" w:rsidRDefault="0071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Příkazník se zavazuje věnovat vysoký </w:t>
      </w:r>
      <w:r>
        <w:rPr>
          <w:rFonts w:ascii="Arial" w:eastAsia="Arial" w:hAnsi="Arial" w:cs="Arial"/>
          <w:color w:val="000000"/>
          <w:sz w:val="22"/>
          <w:szCs w:val="22"/>
        </w:rPr>
        <w:t>stupeň pozornosti ochraně důvěrných informací a za účelem předcházení jejich vyzrazení nepovolaným osobám je povinen učinit veškerá vhodná opatření, jež po něm lze oprávněně požadovat, k tomu, aby zamezil třetím osobám k těmto informacím přístup.</w:t>
      </w:r>
    </w:p>
    <w:p w14:paraId="0000005C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D" w14:textId="77777777" w:rsidR="00157472" w:rsidRDefault="0071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Dokumentaci obsahující důvěrné informace není Příkazník bez předchozího výslovného souhlasu Příkazce oprávněn kopírovat. </w:t>
      </w:r>
    </w:p>
    <w:p w14:paraId="0000005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F" w14:textId="77777777" w:rsidR="00157472" w:rsidRDefault="00710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Příkazník je oprávněn použít závěry své činnosti, případně některé části závěrů, ke kterým dospěje v souvislosti s plněním příkazu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svoji publikační a odbornou činnost, ale pouze po předchozím výslovném souhlasu uděleném mu Příkazcem. Souhlas musí být ze strany Příkazce udělen vždy pro každé jednotlivé použití, nebo zveřejnění. </w:t>
      </w:r>
    </w:p>
    <w:p w14:paraId="00000060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 </w:t>
      </w:r>
      <w:r>
        <w:rPr>
          <w:rFonts w:ascii="Arial" w:eastAsia="Arial" w:hAnsi="Arial" w:cs="Arial"/>
          <w:b/>
          <w:color w:val="000000"/>
          <w:sz w:val="22"/>
          <w:szCs w:val="22"/>
        </w:rPr>
        <w:t>Trvání a ukončení smlouvy</w:t>
      </w:r>
    </w:p>
    <w:p w14:paraId="00000063" w14:textId="77777777" w:rsidR="00157472" w:rsidRDefault="0071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nabývá platnosti a účinnosti dnem podpisu oběma Smluvními stranami se uzavírá na dobu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určitou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 31. </w:t>
      </w:r>
      <w:r>
        <w:rPr>
          <w:rFonts w:ascii="Arial" w:eastAsia="Arial" w:hAnsi="Arial" w:cs="Arial"/>
          <w:sz w:val="22"/>
          <w:szCs w:val="22"/>
        </w:rPr>
        <w:t>prosince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64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65" w14:textId="77777777" w:rsidR="00157472" w:rsidRDefault="0071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zaniká:</w:t>
      </w:r>
    </w:p>
    <w:p w14:paraId="00000066" w14:textId="77777777" w:rsidR="00157472" w:rsidRDefault="0071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uplynutím sjednané doby,</w:t>
      </w:r>
    </w:p>
    <w:p w14:paraId="00000067" w14:textId="77777777" w:rsidR="00157472" w:rsidRDefault="0071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dohodou Smluvních stran,</w:t>
      </w:r>
    </w:p>
    <w:p w14:paraId="00000068" w14:textId="77777777" w:rsidR="00157472" w:rsidRDefault="0071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odvoláním příkazu ze strany Příkazce, přičemž Příkazce může příkaz odvolat podle libosti i s okamžitou účinností, nebo</w:t>
      </w:r>
    </w:p>
    <w:p w14:paraId="00000069" w14:textId="77777777" w:rsidR="00157472" w:rsidRDefault="00710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výpovědí Příkazníka, kdy výpovědní doba uplyne ke konci měsíce následujícího po měsíci, v němž byla výpověď Příkazci doručena. </w:t>
      </w:r>
    </w:p>
    <w:p w14:paraId="0000006A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B" w14:textId="77777777" w:rsidR="00157472" w:rsidRDefault="0071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Výpověď a odvolání musí být vyhotoveny písemně a doručeny druhé Smluvní straně. </w:t>
      </w:r>
    </w:p>
    <w:p w14:paraId="0000006C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D" w14:textId="77777777" w:rsidR="00157472" w:rsidRDefault="0071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ukončení této smlouvy je Příkazník povinen vrátit Příkazci všechny podklady, dokumenty a věci, které obdržel od Příkazce nebo jinak získal v souvislosti s plněním příkazu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které má ve své dispozici. </w:t>
      </w:r>
    </w:p>
    <w:p w14:paraId="0000006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F" w14:textId="77777777" w:rsidR="00157472" w:rsidRDefault="00710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Při zániku příkazu odvoláním nebo výpovědí zařídí Příkazník vše, co nesnese odkladu, ledaže Příkazce projeví jinou vůli.</w:t>
      </w:r>
    </w:p>
    <w:p w14:paraId="00000070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8. </w:t>
      </w:r>
      <w:r>
        <w:rPr>
          <w:rFonts w:ascii="Arial" w:eastAsia="Arial" w:hAnsi="Arial" w:cs="Arial"/>
          <w:b/>
          <w:color w:val="000000"/>
          <w:sz w:val="22"/>
          <w:szCs w:val="22"/>
        </w:rPr>
        <w:t>Ustanovení závěrečná</w:t>
      </w:r>
    </w:p>
    <w:p w14:paraId="00000073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nezakládá pracovněprávní vztah mezi Smluvními stranami a Příkazník se sám stará o zdanění přijatých odměn a hradí ze svého z toho vzniklé daně a poplatky. Příkazník není vázán určitou pracovní dobou ani dobou své přítomnosti v sídle Příkazce. </w:t>
      </w:r>
      <w:r>
        <w:rPr>
          <w:rFonts w:ascii="Arial" w:eastAsia="Arial" w:hAnsi="Arial" w:cs="Arial"/>
          <w:color w:val="000000"/>
          <w:sz w:val="22"/>
          <w:szCs w:val="22"/>
        </w:rPr>
        <w:t>Příkazník je v časových dispozicích při provádění příkazu volný, nicméně musí brát ohled na termíny plnění svých závazků vůči Příkazci.</w:t>
      </w:r>
    </w:p>
    <w:p w14:paraId="00000074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5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Smlouva a právní vztahy vzniklé na základě smlouvy, včetně práv z porušení smlouvy, se řídí a vykládají podle právních předpisů České republiky, zejména občanského zákoníku. </w:t>
      </w:r>
    </w:p>
    <w:p w14:paraId="00000076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7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Jakékoli spory mezi Smluvními stranami v souvislosti se smlouvou se Smluvní strany nejprve pokusí vyřešit smírně. Pokud Smluvní strany nenaleznou smírné řešení, má pravomoc rozhodnout o jakémkoli sporu vzniklém ze smlouvy nebo v souvislosti se smlouvou sou</w:t>
      </w:r>
      <w:r>
        <w:rPr>
          <w:rFonts w:ascii="Arial" w:eastAsia="Arial" w:hAnsi="Arial" w:cs="Arial"/>
          <w:color w:val="000000"/>
          <w:sz w:val="22"/>
          <w:szCs w:val="22"/>
        </w:rPr>
        <w:t>d v České republice.</w:t>
      </w:r>
    </w:p>
    <w:p w14:paraId="00000078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9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Jakákoliv oznámení, zprávy atp. činěná podle smlouvy budou druhé Smluvní straně doručeny vždy v písemné formě prostřednictvím držitele poštovní licence podle zvláštního právního předpisu na doručovací adresu uvedenou v úvodu smlouvy (</w:t>
      </w:r>
      <w:r>
        <w:rPr>
          <w:rFonts w:ascii="Arial" w:eastAsia="Arial" w:hAnsi="Arial" w:cs="Arial"/>
          <w:color w:val="000000"/>
          <w:sz w:val="22"/>
          <w:szCs w:val="22"/>
        </w:rPr>
        <w:t>nebo na adresu následně oznámenou druhé Smluvní straně v souladu s tímto ustanovením) nebo elektronickou poštou na e-mailovou adresu Smluvní strany nebo osoby oprávněné jednat za tu kterou Smluvní stranu, osobně proti potvrzení o převzetí nebo prostřednict</w:t>
      </w:r>
      <w:r>
        <w:rPr>
          <w:rFonts w:ascii="Arial" w:eastAsia="Arial" w:hAnsi="Arial" w:cs="Arial"/>
          <w:color w:val="000000"/>
          <w:sz w:val="22"/>
          <w:szCs w:val="22"/>
        </w:rPr>
        <w:t>vím osoby, která provádí přepravu zásilek (kurýrní služba). V otázkách týkajících se trvání, změny nebo zániku této smlouvy se vyžaduje vždy doručování v listinné podobě osobně, kurýrní službou nebo prostřednictvím poštovní přepravy doporučeně. Pokud si př</w:t>
      </w:r>
      <w:r>
        <w:rPr>
          <w:rFonts w:ascii="Arial" w:eastAsia="Arial" w:hAnsi="Arial" w:cs="Arial"/>
          <w:color w:val="000000"/>
          <w:sz w:val="22"/>
          <w:szCs w:val="22"/>
        </w:rPr>
        <w:t>íjemce nevyzvedne zásilku, která byla uložena na poště, bude zásilka považována za doručenou prvním dnem úložní doby stanovené držitelem poštovní licence. Za doručenou ve stejné lhůtě bude zásilka považována i tehdy, když nebyla uložena na poště a pošta 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vrátila zpět odesílateli jako nedoručitelnou proto, že příjemce na uvedené adrese není k zastižení. Odmítne-li příjemce zásilku převzít, považuje se dnem odmítnutí převzetí za doručenou.</w:t>
      </w:r>
    </w:p>
    <w:p w14:paraId="0000007A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B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Veškeré změny smlouvy musejí být prováděny písemně vzestupně číslov</w:t>
      </w:r>
      <w:r>
        <w:rPr>
          <w:rFonts w:ascii="Arial" w:eastAsia="Arial" w:hAnsi="Arial" w:cs="Arial"/>
          <w:color w:val="000000"/>
          <w:sz w:val="22"/>
          <w:szCs w:val="22"/>
        </w:rPr>
        <w:t>anými dodatky podepsanými oběma Smluvními stranami.</w:t>
      </w:r>
    </w:p>
    <w:p w14:paraId="0000007C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D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Pokud se některé ustanovení smlouvy stane neplatným nebo nevymahatelným, nemá tato skutečnost vliv na platnost nebo vymahatelnost zbývajících ustanovení smlouvy, přičemž smlouva bude posuzována jako cele</w:t>
      </w:r>
      <w:r>
        <w:rPr>
          <w:rFonts w:ascii="Arial" w:eastAsia="Arial" w:hAnsi="Arial" w:cs="Arial"/>
          <w:color w:val="000000"/>
          <w:sz w:val="22"/>
          <w:szCs w:val="22"/>
        </w:rPr>
        <w:t>k s cílem zachovat původní záměr Smluvních stran s tím, že neplatné ustanovení bude nahrazeno ustanovením platným, jež je obsahem a účelem původnímu nejbližší. Ukáže-li se některé ustanovení smlouvy zdánlivým (nicotným), posoudí se vliv této vady na ostatn</w:t>
      </w:r>
      <w:r>
        <w:rPr>
          <w:rFonts w:ascii="Arial" w:eastAsia="Arial" w:hAnsi="Arial" w:cs="Arial"/>
          <w:color w:val="000000"/>
          <w:sz w:val="22"/>
          <w:szCs w:val="22"/>
        </w:rPr>
        <w:t>í ustanovení smlouvy obdobně podle § 576 občanského zákoníku.</w:t>
      </w:r>
    </w:p>
    <w:p w14:paraId="0000007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7F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je vyhotovena ve 2 (</w:t>
      </w:r>
      <w:r>
        <w:rPr>
          <w:rFonts w:ascii="Arial" w:eastAsia="Arial" w:hAnsi="Arial" w:cs="Arial"/>
          <w:i/>
          <w:color w:val="000000"/>
          <w:sz w:val="22"/>
          <w:szCs w:val="22"/>
        </w:rPr>
        <w:t>dvou</w:t>
      </w:r>
      <w:r>
        <w:rPr>
          <w:rFonts w:ascii="Arial" w:eastAsia="Arial" w:hAnsi="Arial" w:cs="Arial"/>
          <w:color w:val="000000"/>
          <w:sz w:val="22"/>
          <w:szCs w:val="22"/>
        </w:rPr>
        <w:t>) vyhotoveních, z nichž po jednom vyhotovení obdrží každá ze Smluvních stran.</w:t>
      </w:r>
    </w:p>
    <w:p w14:paraId="00000080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1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smlouvy jsou následující přílohy:</w:t>
      </w:r>
    </w:p>
    <w:p w14:paraId="0000008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Příloha č. 1</w:t>
      </w:r>
      <w:r>
        <w:rPr>
          <w:rFonts w:ascii="Arial" w:eastAsia="Arial" w:hAnsi="Arial" w:cs="Arial"/>
          <w:color w:val="000000"/>
          <w:sz w:val="22"/>
          <w:szCs w:val="22"/>
        </w:rPr>
        <w:t>: Specifikace předmětu příkazu a odměny Příkazníka</w:t>
      </w:r>
    </w:p>
    <w:p w14:paraId="00000083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4" w14:textId="77777777" w:rsidR="00157472" w:rsidRDefault="00710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prohlašují, že si smlouvu řádně přečetly, že se shodly na jejím obsahu ve všech bodech a tuto uzavírají na základě své svobodné a pravé vůle, vážně, bez nátlaku či za nápadně nevýhodných po</w:t>
      </w:r>
      <w:r>
        <w:rPr>
          <w:rFonts w:ascii="Arial" w:eastAsia="Arial" w:hAnsi="Arial" w:cs="Arial"/>
          <w:color w:val="000000"/>
          <w:sz w:val="22"/>
          <w:szCs w:val="22"/>
        </w:rPr>
        <w:t>dmínek kterékoliv ze Smluvních stran, na důkaz čehož připojují své podpisy.</w:t>
      </w:r>
    </w:p>
    <w:p w14:paraId="00000085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sz w:val="22"/>
          <w:szCs w:val="22"/>
        </w:rPr>
      </w:pPr>
    </w:p>
    <w:p w14:paraId="00000086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7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8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9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A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B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Příkazník:</w:t>
      </w:r>
    </w:p>
    <w:p w14:paraId="0000008C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D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ind w:hanging="708"/>
        <w:jc w:val="both"/>
        <w:rPr>
          <w:rFonts w:ascii="Arial" w:eastAsia="Arial" w:hAnsi="Arial" w:cs="Arial"/>
          <w:sz w:val="22"/>
          <w:szCs w:val="22"/>
        </w:rPr>
      </w:pPr>
    </w:p>
    <w:p w14:paraId="0000008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8F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 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  <w:t>V </w:t>
      </w:r>
      <w:r>
        <w:rPr>
          <w:rFonts w:ascii="Arial" w:eastAsia="Arial" w:hAnsi="Arial" w:cs="Arial"/>
          <w:sz w:val="22"/>
          <w:szCs w:val="22"/>
        </w:rPr>
        <w:t>Praze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 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90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1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48"/>
          <w:tab w:val="right" w:pos="3158"/>
          <w:tab w:val="left" w:pos="3254"/>
          <w:tab w:val="left" w:pos="5529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48"/>
          <w:tab w:val="right" w:pos="3158"/>
          <w:tab w:val="left" w:pos="3254"/>
          <w:tab w:val="left" w:pos="5529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>……..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14:paraId="00000093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Národní filmový archiv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Bohuš Získal</w:t>
      </w:r>
    </w:p>
    <w:p w14:paraId="00000094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PhDr. Michal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Bregant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generální ředitel</w:t>
      </w:r>
    </w:p>
    <w:p w14:paraId="00000095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6" w14:textId="77777777" w:rsidR="00157472" w:rsidRDefault="00710B28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97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lastRenderedPageBreak/>
        <w:t>Příloha č. 1 Příkazní smlouvy</w:t>
      </w:r>
    </w:p>
    <w:p w14:paraId="00000098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9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SPECIFIKACE PŘEDMĚTU PŘÍKAZU A ODMĚNY PŘÍKAZNÍKA</w:t>
      </w:r>
    </w:p>
    <w:p w14:paraId="0000009A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9B" w14:textId="77777777" w:rsidR="00157472" w:rsidRDefault="00710B28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Předmětem příkazu je obstarání záležitosti Příkazce Příkazníkem, spočívající v </w:t>
      </w:r>
      <w:r>
        <w:rPr>
          <w:rFonts w:ascii="Arial" w:eastAsia="Arial" w:hAnsi="Arial" w:cs="Arial"/>
          <w:sz w:val="22"/>
          <w:szCs w:val="22"/>
        </w:rPr>
        <w:t xml:space="preserve">dokumentaci a analýze interních činností Příkazce, spojenými s akvizicí, </w:t>
      </w:r>
      <w:proofErr w:type="spellStart"/>
      <w:r>
        <w:rPr>
          <w:rFonts w:ascii="Arial" w:eastAsia="Arial" w:hAnsi="Arial" w:cs="Arial"/>
          <w:sz w:val="22"/>
          <w:szCs w:val="22"/>
        </w:rPr>
        <w:t>přírůstkováním</w:t>
      </w:r>
      <w:proofErr w:type="spellEnd"/>
      <w:r>
        <w:rPr>
          <w:rFonts w:ascii="Arial" w:eastAsia="Arial" w:hAnsi="Arial" w:cs="Arial"/>
          <w:sz w:val="22"/>
          <w:szCs w:val="22"/>
        </w:rPr>
        <w:t>, katalogizací a dalšími sbírkovými procesy, a dále v doporučení nových pracovních postupů</w:t>
      </w:r>
      <w:r>
        <w:rPr>
          <w:rFonts w:ascii="Arial" w:eastAsia="Arial" w:hAnsi="Arial" w:cs="Arial"/>
          <w:sz w:val="22"/>
          <w:szCs w:val="22"/>
        </w:rPr>
        <w:t xml:space="preserve"> a vytvoření podkladů pro tvorbu jednotného sbírkového katalogizačního systému.</w:t>
      </w:r>
    </w:p>
    <w:p w14:paraId="0000009C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ind w:left="2766"/>
        <w:jc w:val="both"/>
        <w:rPr>
          <w:rFonts w:ascii="Arial" w:eastAsia="Arial" w:hAnsi="Arial" w:cs="Arial"/>
          <w:sz w:val="22"/>
          <w:szCs w:val="22"/>
        </w:rPr>
      </w:pPr>
    </w:p>
    <w:p w14:paraId="0000009D" w14:textId="77777777" w:rsidR="00157472" w:rsidRDefault="00710B28">
      <w:pPr>
        <w:widowControl w:val="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Výstupy činnosti budou Příkazníkem předávány Příkazci postupně. Za předaný výstup se považuje dokument až po odsouhlasení ze strany Příkazce. </w:t>
      </w:r>
    </w:p>
    <w:p w14:paraId="0000009E" w14:textId="77777777" w:rsidR="00157472" w:rsidRDefault="00710B28">
      <w:pPr>
        <w:widowControl w:val="0"/>
        <w:spacing w:before="200"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návaznosti na výkon Činností bude Příkazník komunikovat a spolupracovat se zástupci různých oddělení NFA, zejmé</w:t>
      </w:r>
      <w:r>
        <w:rPr>
          <w:rFonts w:ascii="Arial" w:eastAsia="Arial" w:hAnsi="Arial" w:cs="Arial"/>
          <w:sz w:val="22"/>
          <w:szCs w:val="22"/>
        </w:rPr>
        <w:t xml:space="preserve">na oddělení filmových sbírek, filmografie a katalogizace, digitální laboratoře a oddělením kurátorů. </w:t>
      </w:r>
    </w:p>
    <w:p w14:paraId="0000009F" w14:textId="77777777" w:rsidR="00157472" w:rsidRDefault="00710B28">
      <w:pPr>
        <w:widowControl w:val="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souladu s článkem 2 smlouvy je Příkazník povinen řídit se při plnění příkazu pokyny, požadavky a dispozicemi Příkazce a jeho zástupců, kteří mohou uvede</w:t>
      </w:r>
      <w:r>
        <w:rPr>
          <w:rFonts w:ascii="Arial" w:eastAsia="Arial" w:hAnsi="Arial" w:cs="Arial"/>
          <w:sz w:val="22"/>
          <w:szCs w:val="22"/>
        </w:rPr>
        <w:t xml:space="preserve">né </w:t>
      </w:r>
      <w:r>
        <w:rPr>
          <w:rFonts w:ascii="Arial" w:eastAsia="Arial" w:hAnsi="Arial" w:cs="Arial"/>
          <w:i/>
          <w:sz w:val="22"/>
          <w:szCs w:val="22"/>
        </w:rPr>
        <w:t>Činnosti Příkazníka</w:t>
      </w:r>
      <w:r>
        <w:rPr>
          <w:rFonts w:ascii="Arial" w:eastAsia="Arial" w:hAnsi="Arial" w:cs="Arial"/>
          <w:sz w:val="22"/>
          <w:szCs w:val="22"/>
        </w:rPr>
        <w:t xml:space="preserve"> konkretizovat, upřednostňovat a v přiměřeném rozsahu modifikovat.</w:t>
      </w:r>
    </w:p>
    <w:p w14:paraId="000000A0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000000A1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A2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000000A3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</w:rPr>
      </w:pPr>
    </w:p>
    <w:p w14:paraId="000000A4" w14:textId="77777777" w:rsidR="00157472" w:rsidRDefault="001574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A5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Odměna</w:t>
      </w:r>
    </w:p>
    <w:p w14:paraId="000000A6" w14:textId="77777777" w:rsidR="00157472" w:rsidRDefault="00710B28">
      <w:pPr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výkon činností Příkazníka, specifikovaných v bodu A. Přílohy č. 1, náleží Příkazníkovi odměna ve výši 800 Kč/hod, která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bude vyplácena dle podmínek uvedených v článku 4 Smlouvy, tedy </w:t>
      </w:r>
      <w:r>
        <w:rPr>
          <w:rFonts w:ascii="Arial" w:eastAsia="Arial" w:hAnsi="Arial" w:cs="Arial"/>
          <w:sz w:val="22"/>
          <w:szCs w:val="22"/>
        </w:rPr>
        <w:t xml:space="preserve">na základě předloženého a Příkazcem odsouhlaseného výkazu činností (s </w:t>
      </w:r>
      <w:r>
        <w:rPr>
          <w:rFonts w:ascii="Arial" w:eastAsia="Arial" w:hAnsi="Arial" w:cs="Arial"/>
          <w:sz w:val="22"/>
          <w:szCs w:val="22"/>
        </w:rPr>
        <w:t xml:space="preserve">uvedením jejich časové náročnosti) realizovaných v rámci provádění příkazu v příslušném kalendářním měsíci. Smluvní strany se dohodly, že celková odměna Příkazníka na základě této Smlouvy bude maximálně 300.000 Kč (slovy: tři sta tisíc korun českých). </w:t>
      </w:r>
    </w:p>
    <w:p w14:paraId="000000A7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A8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A9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AA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00000AB" w14:textId="77777777" w:rsidR="00157472" w:rsidRDefault="00710B2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000000AC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Příkazce:</w:t>
      </w:r>
      <w:r>
        <w:rPr>
          <w:rFonts w:ascii="Arial" w:eastAsia="Arial" w:hAnsi="Arial" w:cs="Arial"/>
          <w:color w:val="000000"/>
          <w:sz w:val="22"/>
          <w:szCs w:val="22"/>
        </w:rPr>
        <w:tab/>
        <w:t>Příkazník:</w:t>
      </w:r>
    </w:p>
    <w:p w14:paraId="000000AD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48"/>
          <w:tab w:val="right" w:pos="3158"/>
          <w:tab w:val="left" w:pos="3254"/>
          <w:tab w:val="left" w:pos="5529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AE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48"/>
          <w:tab w:val="right" w:pos="3158"/>
          <w:tab w:val="left" w:pos="3254"/>
          <w:tab w:val="left" w:pos="5529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AF" w14:textId="77777777" w:rsidR="00157472" w:rsidRDefault="00157472">
      <w:pPr>
        <w:pBdr>
          <w:top w:val="nil"/>
          <w:left w:val="nil"/>
          <w:bottom w:val="nil"/>
          <w:right w:val="nil"/>
          <w:between w:val="nil"/>
        </w:pBdr>
        <w:tabs>
          <w:tab w:val="left" w:pos="48"/>
          <w:tab w:val="right" w:pos="3158"/>
          <w:tab w:val="left" w:pos="3254"/>
          <w:tab w:val="left" w:pos="5529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B0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………………………………………………..</w:t>
      </w:r>
    </w:p>
    <w:p w14:paraId="000000B1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Národní filmový archiv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Bohuš Získal</w:t>
      </w:r>
    </w:p>
    <w:p w14:paraId="000000B2" w14:textId="77777777" w:rsidR="00157472" w:rsidRDefault="00710B28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PhDr. Michal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Bregant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generální ředitel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157472" w:rsidSect="0092085B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C0CCB" w14:textId="77777777" w:rsidR="00710B28" w:rsidRDefault="00710B28">
      <w:r>
        <w:separator/>
      </w:r>
    </w:p>
  </w:endnote>
  <w:endnote w:type="continuationSeparator" w:id="0">
    <w:p w14:paraId="4500E42D" w14:textId="77777777" w:rsidR="00710B28" w:rsidRDefault="0071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5" w14:textId="72BCB2D2" w:rsidR="00157472" w:rsidRDefault="00710B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Stránka </w:t>
    </w: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 w:rsidR="0092085B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92085B">
      <w:rPr>
        <w:rFonts w:ascii="Tahoma" w:eastAsia="Tahoma" w:hAnsi="Tahoma" w:cs="Tahoma"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8"/>
        <w:szCs w:val="18"/>
      </w:rPr>
      <w:t xml:space="preserve"> z </w:t>
    </w: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NUMPAGES</w:instrText>
    </w:r>
    <w:r w:rsidR="0092085B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92085B">
      <w:rPr>
        <w:rFonts w:ascii="Tahoma" w:eastAsia="Tahoma" w:hAnsi="Tahoma" w:cs="Tahoma"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</w:p>
  <w:p w14:paraId="000000B6" w14:textId="77777777" w:rsidR="00157472" w:rsidRDefault="0015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FA52" w14:textId="77777777" w:rsidR="00710B28" w:rsidRDefault="00710B28">
      <w:r>
        <w:separator/>
      </w:r>
    </w:p>
  </w:footnote>
  <w:footnote w:type="continuationSeparator" w:id="0">
    <w:p w14:paraId="67E4CAC0" w14:textId="77777777" w:rsidR="00710B28" w:rsidRDefault="0071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4" w14:textId="77777777" w:rsidR="00157472" w:rsidRDefault="0015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2E18" w14:textId="3BF459A3" w:rsidR="0092085B" w:rsidRPr="0092085B" w:rsidRDefault="0092085B" w:rsidP="0092085B">
    <w:pPr>
      <w:pStyle w:val="Zhlav"/>
      <w:jc w:val="right"/>
      <w:rPr>
        <w:rFonts w:ascii="Arial" w:hAnsi="Arial" w:cs="Arial"/>
      </w:rPr>
    </w:pPr>
    <w:r w:rsidRPr="0092085B">
      <w:rPr>
        <w:rFonts w:ascii="Arial" w:hAnsi="Arial" w:cs="Arial"/>
        <w:b/>
        <w:bCs/>
      </w:rPr>
      <w:t>Č.j. NFA0939/2020</w:t>
    </w:r>
    <w:r>
      <w:rPr>
        <w:rFonts w:ascii="Arial" w:hAnsi="Arial" w:cs="Arial"/>
        <w:b/>
        <w:bCs/>
      </w:rPr>
      <w:t xml:space="preserve"> ze dne 22.7.2020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00E0"/>
    <w:multiLevelType w:val="multilevel"/>
    <w:tmpl w:val="9E721CEA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4FD3"/>
    <w:multiLevelType w:val="multilevel"/>
    <w:tmpl w:val="5050778E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428C"/>
    <w:multiLevelType w:val="multilevel"/>
    <w:tmpl w:val="75C469CC"/>
    <w:lvl w:ilvl="0">
      <w:start w:val="1"/>
      <w:numFmt w:val="decimal"/>
      <w:lvlText w:val="5.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44E3"/>
    <w:multiLevelType w:val="multilevel"/>
    <w:tmpl w:val="DDD4B0D2"/>
    <w:lvl w:ilvl="0">
      <w:start w:val="1"/>
      <w:numFmt w:val="decimal"/>
      <w:lvlText w:val="7.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4B4E"/>
    <w:multiLevelType w:val="multilevel"/>
    <w:tmpl w:val="792E4006"/>
    <w:lvl w:ilvl="0">
      <w:start w:val="1"/>
      <w:numFmt w:val="decimal"/>
      <w:lvlText w:val="8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13D8B"/>
    <w:multiLevelType w:val="multilevel"/>
    <w:tmpl w:val="5DC60624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upperLetter"/>
      <w:lvlText w:val="%3."/>
      <w:lvlJc w:val="left"/>
      <w:pPr>
        <w:ind w:left="276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152D7F"/>
    <w:multiLevelType w:val="multilevel"/>
    <w:tmpl w:val="312275C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71FD"/>
    <w:multiLevelType w:val="multilevel"/>
    <w:tmpl w:val="8386529A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34531"/>
    <w:multiLevelType w:val="multilevel"/>
    <w:tmpl w:val="53740C42"/>
    <w:lvl w:ilvl="0">
      <w:start w:val="1"/>
      <w:numFmt w:val="decimal"/>
      <w:lvlText w:val="4.%1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72"/>
    <w:rsid w:val="00157472"/>
    <w:rsid w:val="00710B28"/>
    <w:rsid w:val="009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2C5D"/>
  <w15:docId w15:val="{CA8F45A0-D093-4824-8C08-AE30ECD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20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85B"/>
  </w:style>
  <w:style w:type="paragraph" w:styleId="Zpat">
    <w:name w:val="footer"/>
    <w:basedOn w:val="Normln"/>
    <w:link w:val="ZpatChar"/>
    <w:uiPriority w:val="99"/>
    <w:unhideWhenUsed/>
    <w:rsid w:val="00920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2192</Words>
  <Characters>12935</Characters>
  <Application>Microsoft Office Word</Application>
  <DocSecurity>0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Kopřivová</cp:lastModifiedBy>
  <cp:revision>2</cp:revision>
  <dcterms:created xsi:type="dcterms:W3CDTF">2020-07-22T07:06:00Z</dcterms:created>
  <dcterms:modified xsi:type="dcterms:W3CDTF">2020-07-22T07:11:00Z</dcterms:modified>
</cp:coreProperties>
</file>