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</w:t>
      </w:r>
      <w:bookmarkEnd w:id="0"/>
      <w:bookmarkEnd w:id="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dílo „Vypracování projektové dokumentace 111/12824-1 Mnich — most ev. č. 12824-1 ,</w:t>
        <w:br/>
        <w:t>číslo smlouvy objednatele: 40/2019/PD/D2/VZMR/PE/sl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98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tbl>
      <w:tblPr>
        <w:tblOverlap w:val="never"/>
        <w:jc w:val="left"/>
        <w:tblLayout w:type="fixed"/>
      </w:tblPr>
      <w:tblGrid>
        <w:gridCol w:w="1891"/>
        <w:gridCol w:w="6365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 Necid, ředitelem organizace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objednatele ve věcech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91"/>
        <w:gridCol w:w="6360"/>
      </w:tblGrid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ředitel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referent investiční výstavby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02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00090450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024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236220" simplePos="0" relativeHeight="125829378" behindDoc="0" locked="0" layoutInCell="1" allowOverlap="1">
                <wp:simplePos x="0" y="0"/>
                <wp:positionH relativeFrom="page">
                  <wp:posOffset>5318760</wp:posOffset>
                </wp:positionH>
                <wp:positionV relativeFrom="paragraph">
                  <wp:posOffset>12700</wp:posOffset>
                </wp:positionV>
                <wp:extent cx="1322705" cy="65532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22705" cy="655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 xml:space="preserve">KnjM tfrin •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 xml:space="preserve">WtHm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 xml:space="preserve">1Úyi6, M6 01 Hh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oatum 2 8 -07- 2020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8.80000000000001pt;margin-top:1.pt;width:104.15000000000001pt;height:51.600000000000001pt;z-index:-125829375;mso-wrap-distance-left:9.pt;mso-wrap-distance-right:18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 xml:space="preserve">KnjM tfrin • </w:t>
                      </w:r>
                      <w:r>
                        <w:rPr>
                          <w:rFonts w:ascii="Times New Roman" w:eastAsia="Times New Roman" w:hAnsi="Times New Roman" w:cs="Times New Roman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 xml:space="preserve">WtHm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 xml:space="preserve">1Úyi6, M6 01 Hh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oatum 2 8 -07- 2020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50190" distB="292100" distL="1379220" distR="114300" simplePos="0" relativeHeight="125829380" behindDoc="0" locked="0" layoutInCell="1" allowOverlap="1">
                <wp:simplePos x="0" y="0"/>
                <wp:positionH relativeFrom="page">
                  <wp:posOffset>6583680</wp:posOffset>
                </wp:positionH>
                <wp:positionV relativeFrom="paragraph">
                  <wp:posOffset>262890</wp:posOffset>
                </wp:positionV>
                <wp:extent cx="179705" cy="11303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705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IW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18.39999999999998pt;margin-top:20.699999999999999pt;width:14.15pt;height:8.9000000000000004pt;z-index:-125829373;mso-wrap-distance-left:108.59999999999999pt;mso-wrap-distance-top:19.699999999999999pt;mso-wrap-distance-right:9.pt;mso-wrap-distance-bottom:23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IW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CZ00090450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02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6626860</wp:posOffset>
            </wp:positionH>
            <wp:positionV relativeFrom="paragraph">
              <wp:posOffset>63500</wp:posOffset>
            </wp:positionV>
            <wp:extent cx="341630" cy="243840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41630" cy="2438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„Objednatel")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886"/>
        <w:gridCol w:w="6475"/>
      </w:tblGrid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Mostní projekce s.r.o.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Jana Babáka 2733/11, 612 00 Brno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Františkem Pokorným, jednatelem společnosti</w:t>
            </w:r>
          </w:p>
        </w:tc>
      </w:tr>
    </w:tbl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Krajským soudem v Brně pod značkou C 104090 Osoby pověřené jednat jménem zhotovitele ve věcech smluvních: technických:</w:t>
      </w:r>
    </w:p>
    <w:tbl>
      <w:tblPr>
        <w:tblOverlap w:val="never"/>
        <w:jc w:val="left"/>
        <w:tblLayout w:type="fixed"/>
      </w:tblPr>
      <w:tblGrid>
        <w:gridCol w:w="1886"/>
        <w:gridCol w:w="6475"/>
      </w:tblGrid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Fio banka, a. s.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86"/>
        <w:gridCol w:w="6475"/>
      </w:tblGrid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06754449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CZ06754449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„Zhotovitel")</w:t>
      </w:r>
    </w:p>
    <w:p>
      <w:pPr>
        <w:widowControl w:val="0"/>
        <w:spacing w:after="9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„Smluvnístrany"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„Smluvnístrana“)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1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ohledem na požadavek zhotovitele spočívající v úpravě termínu pro předání čistopisu společné dokumentace pro územní a stavební povolení (DUSP), uzavírají smluvní strany ke smlouvě o dílo na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„Vypracování projektové dokumentace 111/12824-1 Mnich - most ev. č. 12824-1",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40/2019/PD/D2/VZMR/PE/sl", ze dne 14. 8. 2019, ve znění Dodatku č. 1 ze dne 25.10. 2019 a Dodatku č. 2 ze dne 19. 2. 2020 (dále SoD) tento Dodatek č. 3, a to v souladu s ustanovením § 222 odst.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zákona č. 134/2016 Sb., o zadávání veřejných zakázek.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8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Svojížádost o uzavření dodatku zhotovitel dokládá tím, že v průběhu součinnosti při majetkoprávní přípravě nebylo zjištěno, že dotčené pozemky, se kterými hospodaří Úřad pro zastupování státu ve věcech majetkových, jsou v současné době převáděny na Povodí Vltavy, s.p. a v době podání žádosti nebyla získána potřebná vyjádření pro potřeby projektové dokumentace. Dále byla na žádost objednatele zhotovitelem provedena analýza na obsah polyaromatických uhlovodíků (PAU), a tím rozšířen předmět plnění a navýšena cena díla.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100" w:line="254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2"/>
      <w:bookmarkEnd w:id="3"/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9" w:val="left"/>
        </w:tabs>
        <w:bidi w:val="0"/>
        <w:spacing w:before="0" w:after="10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výše uvedeným dochází ke změně termínu pro odevzdání DUSP nacházející se v Příloze č. 3 SoD, ve znění Dodatků č. 1 a č. 2 a to následujícím způsobem: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znění se ruší:</w:t>
      </w:r>
    </w:p>
    <w:tbl>
      <w:tblPr>
        <w:tblOverlap w:val="never"/>
        <w:jc w:val="center"/>
        <w:tblLayout w:type="fixed"/>
      </w:tblPr>
      <w:tblGrid>
        <w:gridCol w:w="5520"/>
        <w:gridCol w:w="4488"/>
      </w:tblGrid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leader="hyphen" w:pos="24" w:val="left"/>
                <w:tab w:leader="hyphen" w:pos="466" w:val="left"/>
                <w:tab w:leader="hyphen" w:pos="509" w:val="left"/>
                <w:tab w:leader="hyphen" w:pos="4195" w:val="left"/>
                <w:tab w:leader="hyphen" w:pos="4214" w:val="left"/>
                <w:tab w:leader="hyphen" w:pos="4536" w:val="left"/>
                <w:tab w:leader="hyphen" w:pos="4555" w:val="left"/>
                <w:tab w:leader="hyphen" w:pos="4728" w:val="left"/>
                <w:tab w:leader="hyphen" w:pos="54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bscript"/>
                <w:lang w:val="cs-CZ" w:eastAsia="cs-CZ" w:bidi="cs-CZ"/>
              </w:rPr>
              <w:t>7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ab/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vydání společného povolení DUSP (koncept)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30. 11.2019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DÚSP (čistopis, včetně IČ a projednání s DOSS, odsouhlasená objednatelem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31. 3. 2020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sloučené povolení ÚR + SP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15 dnů od předání podkladů majetkoprávní přípravy k SP zadavatelem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provádění stavby (čistopis, včetně zpracování případných připomínek ze stavebního řízení a včetně soupisu prací, odsouhlasený objednatelem)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 měsíců od podání žádosti o územní rozhodnutí</w:t>
            </w:r>
          </w:p>
        </w:tc>
      </w:tr>
    </w:tbl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nahrazuje se novým zněním:</w:t>
      </w:r>
    </w:p>
    <w:tbl>
      <w:tblPr>
        <w:tblOverlap w:val="never"/>
        <w:jc w:val="center"/>
        <w:tblLayout w:type="fixed"/>
      </w:tblPr>
      <w:tblGrid>
        <w:gridCol w:w="5525"/>
        <w:gridCol w:w="4483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vydání společného povolení DÚSP (koncept)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30. 11.2019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DÚSP (čistopis, včetně IČ a projednání s DOSS, odsouhlasená objednatelem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31. 8. 2020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sloučené povolení ÚR + SP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15 dnů od předání podkladů majetkoprávní přípravy k SP zadavatelem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pro provádění stavby (čistopis, včetně zpracování případných připomínek ze stavebního řízení a včetně soupisu prací, odsouhlasený objednatelem)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 měsíců od podání žádosti o územní rozhodnutí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9" w:val="left"/>
        </w:tabs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výše uvedeným dále dochází k rozšíření předmětu plnění o provedení analýzy na obsah PAU ve vozovkových vrstvách.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Provedením analýzy na obsah PAU ve vozovkových, tedy vícepracemi dochází ke změně ceny vypracování projektové dokumentace, a to následujícím způsobem:</w:t>
      </w:r>
    </w:p>
    <w:tbl>
      <w:tblPr>
        <w:tblOverlap w:val="never"/>
        <w:jc w:val="center"/>
        <w:tblLayout w:type="fixed"/>
      </w:tblPr>
      <w:tblGrid>
        <w:gridCol w:w="4958"/>
        <w:gridCol w:w="3168"/>
      </w:tblGrid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projektové dokumentace dle původní SoD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350 000,00 Kč bez DPH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projektové dokumentace dle Dodatku č. 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387 000,00 Kč bez DPH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982"/>
        <w:gridCol w:w="3192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Více práce dle Dodatku č.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4 530,00 Kč bez DPH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projektové dokumentace dle Dodatku č.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391 530,00 Kč bez DPH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 (21 %)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82 221,30 Kč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projektové dokumentace dle Dodatku č. 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473 751,30 Kč včetně DPH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2.4.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SoD nedotčené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č. 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zůstávají v platnosti v původním znění, resp. ve znění Dodatků č. 1 a č. 2.</w:t>
      </w:r>
    </w:p>
    <w:p>
      <w:pPr>
        <w:widowControl w:val="0"/>
        <w:spacing w:after="59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4"/>
      <w:bookmarkEnd w:id="5"/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neupravená v Dodatku č. 3 se řídí zákonem č. 89/2012 Sb., občanský zákoník, v platném znění.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 je nedílnou součástí SoD.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 je vyhotoven ve čtyřech stejnopisech, z nichž dva výtisky obdrží objednatel a dva zhotovitel.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3 nabývá platnosti dnem podpisu a účinnosti dnem uveřejnění v informačním systému veřejné správy - Registru smluv.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smluv, v platném znění (zákon o registru smluv) zajistí objednatel.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4" w:val="left"/>
        </w:tabs>
        <w:bidi w:val="0"/>
        <w:spacing w:before="0" w:after="72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965200</wp:posOffset>
                </wp:positionV>
                <wp:extent cx="990600" cy="734695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734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Brně dne: .2.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7.25pt;margin-top:76.pt;width:78.pt;height:57.85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dne: .2.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2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06. OB. 2020</w:t>
      </w:r>
      <w:bookmarkEnd w:id="6"/>
      <w:bookmarkEnd w:id="7"/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5608" w:val="left"/>
          <w:tab w:leader="dot" w:pos="6736" w:val="left"/>
        </w:tabs>
        <w:bidi w:val="0"/>
        <w:spacing w:before="0" w:after="0" w:line="240" w:lineRule="auto"/>
        <w:ind w:left="3760" w:right="0" w:firstLine="0"/>
        <w:jc w:val="lef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888" w:left="1148" w:right="572" w:bottom="1566" w:header="146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  <w:tab/>
        <w:t xml:space="preserve"> </w:t>
        <w:tab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" w:after="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51" w:left="0" w:right="0" w:bottom="1851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IrtgT František Pokorný</w:t>
        <w:br/>
        <w:t>jednatel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</w:t>
        <w:br/>
        <w:t>ředitel organizace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51" w:left="2497" w:right="2587" w:bottom="1851" w:header="0" w:footer="3" w:gutter="0"/>
      <w:cols w:num="2" w:space="720" w:equalWidth="0">
        <w:col w:w="2150" w:space="2798"/>
        <w:col w:w="1867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3267710</wp:posOffset>
              </wp:positionH>
              <wp:positionV relativeFrom="page">
                <wp:posOffset>9867900</wp:posOffset>
              </wp:positionV>
              <wp:extent cx="636905" cy="8509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69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57.30000000000001pt;margin-top:777.pt;width:50.149999999999999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9721215</wp:posOffset>
              </wp:positionV>
              <wp:extent cx="6348730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487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950000000000003pt;margin-top:765.45000000000005pt;width:499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5"/>
      <w:numFmt w:val="decimal"/>
      <w:lvlText w:val="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3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Nadpis #1_"/>
    <w:basedOn w:val="DefaultParagraphFont"/>
    <w:link w:val="Style11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4">
    <w:name w:val="Záhlaví nebo zápatí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Jiné_"/>
    <w:basedOn w:val="DefaultParagraphFont"/>
    <w:link w:val="Style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Nadpis #3_"/>
    <w:basedOn w:val="DefaultParagraphFont"/>
    <w:link w:val="Style2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9">
    <w:name w:val="Nadpis #2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348" w:lineRule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spacing w:after="1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spacing w:after="10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3">
    <w:name w:val="Záhlaví nebo zápatí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FFFFFF"/>
      <w:spacing w:after="1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5">
    <w:name w:val="Nadpis #3"/>
    <w:basedOn w:val="Normal"/>
    <w:link w:val="CharStyle26"/>
    <w:pPr>
      <w:widowControl w:val="0"/>
      <w:shd w:val="clear" w:color="auto" w:fill="FFFFFF"/>
      <w:spacing w:after="110" w:line="247" w:lineRule="auto"/>
      <w:jc w:val="center"/>
      <w:outlineLvl w:val="2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8">
    <w:name w:val="Nadpis #2"/>
    <w:basedOn w:val="Normal"/>
    <w:link w:val="CharStyle29"/>
    <w:pPr>
      <w:widowControl w:val="0"/>
      <w:shd w:val="clear" w:color="auto" w:fill="FFFFFF"/>
      <w:ind w:left="560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/Relationships>
</file>