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607344">
            <w:rPr>
              <w:b/>
              <w:sz w:val="24"/>
              <w:szCs w:val="22"/>
            </w:rPr>
            <w:t>2-0267</w:t>
          </w:r>
        </w:sdtContent>
      </w:sdt>
    </w:p>
    <w:p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p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:rsidR="00507F60" w:rsidRPr="00F83570" w:rsidRDefault="00507F60" w:rsidP="00507F60">
      <w:pPr>
        <w:rPr>
          <w:sz w:val="24"/>
          <w:szCs w:val="24"/>
        </w:rPr>
      </w:pPr>
    </w:p>
    <w:p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EndPr/>
      <w:sdtContent>
        <w:p w:rsidR="0064759C" w:rsidRPr="006413FC" w:rsidRDefault="00607344" w:rsidP="0064759C">
          <w:pPr>
            <w:pStyle w:val="Textkomente"/>
            <w:jc w:val="center"/>
            <w:rPr>
              <w:sz w:val="24"/>
              <w:szCs w:val="24"/>
            </w:rPr>
          </w:pPr>
          <w:r w:rsidRPr="00607344">
            <w:rPr>
              <w:b/>
              <w:bCs/>
              <w:sz w:val="24"/>
              <w:szCs w:val="24"/>
            </w:rPr>
            <w:t>Vodovody a kanalizace Hradec Králové, a. s.</w:t>
          </w:r>
        </w:p>
      </w:sdtContent>
    </w:sdt>
    <w:p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607344" w:rsidP="00DA1326">
                <w:pPr>
                  <w:rPr>
                    <w:sz w:val="24"/>
                    <w:szCs w:val="24"/>
                  </w:rPr>
                </w:pPr>
                <w:r w:rsidRPr="00607344">
                  <w:rPr>
                    <w:sz w:val="24"/>
                    <w:szCs w:val="24"/>
                  </w:rPr>
                  <w:t>Víta Nejedlého 893/6</w:t>
                </w:r>
                <w:r>
                  <w:rPr>
                    <w:sz w:val="24"/>
                    <w:szCs w:val="24"/>
                  </w:rPr>
                  <w:t>, Hradec Králové</w:t>
                </w:r>
              </w:p>
            </w:tc>
          </w:sdtContent>
        </w:sdt>
      </w:tr>
      <w:tr w:rsidR="0064759C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607344" w:rsidP="00DA1326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Ing. Jiří Šolc, ředitel</w:t>
                </w:r>
                <w:r w:rsidR="00B71490">
                  <w:rPr>
                    <w:sz w:val="24"/>
                    <w:szCs w:val="24"/>
                  </w:rPr>
                  <w:t xml:space="preserve"> společnosti, na základě pověření</w:t>
                </w:r>
              </w:p>
            </w:tc>
          </w:sdtContent>
        </w:sdt>
      </w:tr>
      <w:tr w:rsidR="0064759C" w:rsidRPr="006413FC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607344" w:rsidP="00DA1326">
                <w:pPr>
                  <w:rPr>
                    <w:sz w:val="24"/>
                    <w:szCs w:val="24"/>
                  </w:rPr>
                </w:pPr>
                <w:r w:rsidRPr="00607344">
                  <w:rPr>
                    <w:sz w:val="24"/>
                    <w:szCs w:val="24"/>
                  </w:rPr>
                  <w:t>48172898</w:t>
                </w:r>
              </w:p>
            </w:tc>
          </w:sdtContent>
        </w:sdt>
      </w:tr>
      <w:tr w:rsidR="0064759C" w:rsidRPr="006413FC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607344" w:rsidP="00DA1326">
                <w:pPr>
                  <w:rPr>
                    <w:sz w:val="24"/>
                    <w:szCs w:val="24"/>
                  </w:rPr>
                </w:pPr>
                <w:r w:rsidRPr="00607344">
                  <w:rPr>
                    <w:sz w:val="24"/>
                    <w:szCs w:val="24"/>
                  </w:rPr>
                  <w:t>4304511/0100</w:t>
                </w:r>
              </w:p>
            </w:tc>
          </w:sdtContent>
        </w:sdt>
      </w:tr>
    </w:tbl>
    <w:p w:rsidR="0064759C" w:rsidRPr="006413FC" w:rsidRDefault="0064759C" w:rsidP="0064759C">
      <w:pPr>
        <w:rPr>
          <w:sz w:val="24"/>
          <w:szCs w:val="24"/>
        </w:rPr>
      </w:pPr>
    </w:p>
    <w:p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:rsidR="009C1DFF" w:rsidRPr="00CF2E37" w:rsidRDefault="009C1DFF" w:rsidP="0000057D">
      <w:pPr>
        <w:jc w:val="center"/>
        <w:rPr>
          <w:sz w:val="24"/>
          <w:szCs w:val="24"/>
        </w:rPr>
      </w:pPr>
    </w:p>
    <w:p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:rsidR="00943020" w:rsidRPr="005B782B" w:rsidRDefault="0056760B" w:rsidP="00607344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607344">
            <w:rPr>
              <w:sz w:val="24"/>
              <w:szCs w:val="24"/>
            </w:rPr>
            <w:t>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EndPr/>
        <w:sdtContent>
          <w:r w:rsidR="00607344" w:rsidRPr="00607344">
            <w:rPr>
              <w:b/>
              <w:sz w:val="24"/>
              <w:szCs w:val="24"/>
            </w:rPr>
            <w:t>Eliminace ohrožení nebo negativního ovlivnění</w:t>
          </w:r>
          <w:r w:rsidR="00607344">
            <w:rPr>
              <w:b/>
              <w:sz w:val="24"/>
              <w:szCs w:val="24"/>
            </w:rPr>
            <w:t xml:space="preserve"> </w:t>
          </w:r>
          <w:r w:rsidR="00607344" w:rsidRPr="00607344">
            <w:rPr>
              <w:b/>
              <w:sz w:val="24"/>
              <w:szCs w:val="24"/>
            </w:rPr>
            <w:t>režimu podzemních vod vrty a jinými hlubšími</w:t>
          </w:r>
          <w:r w:rsidR="00607344">
            <w:rPr>
              <w:b/>
              <w:sz w:val="24"/>
              <w:szCs w:val="24"/>
            </w:rPr>
            <w:t xml:space="preserve"> </w:t>
          </w:r>
          <w:r w:rsidR="00607344" w:rsidRPr="00607344">
            <w:rPr>
              <w:b/>
              <w:sz w:val="24"/>
              <w:szCs w:val="24"/>
            </w:rPr>
            <w:t>objekty v jímacím území Litá</w:t>
          </w:r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607344">
            <w:rPr>
              <w:sz w:val="24"/>
              <w:szCs w:val="22"/>
            </w:rPr>
            <w:t>2-0267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:rsidR="00587DBB" w:rsidRPr="00B71490" w:rsidRDefault="005420DF" w:rsidP="0099784F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B71490">
        <w:rPr>
          <w:sz w:val="24"/>
          <w:szCs w:val="24"/>
        </w:rPr>
        <w:t xml:space="preserve">Dotace je určena </w:t>
      </w:r>
      <w:r w:rsidR="001D397A" w:rsidRPr="00B71490">
        <w:rPr>
          <w:sz w:val="24"/>
          <w:szCs w:val="24"/>
        </w:rPr>
        <w:t xml:space="preserve">na </w:t>
      </w:r>
      <w:r w:rsidR="00B761CB" w:rsidRPr="00B71490">
        <w:rPr>
          <w:sz w:val="24"/>
          <w:szCs w:val="24"/>
        </w:rPr>
        <w:t>ú</w:t>
      </w:r>
      <w:r w:rsidR="001D397A" w:rsidRPr="00B71490">
        <w:rPr>
          <w:sz w:val="24"/>
          <w:szCs w:val="24"/>
        </w:rPr>
        <w:t>čel</w:t>
      </w:r>
      <w:r w:rsidR="00BF5E1F" w:rsidRPr="00B71490">
        <w:rPr>
          <w:sz w:val="24"/>
          <w:szCs w:val="24"/>
        </w:rPr>
        <w:t>:</w:t>
      </w:r>
      <w:r w:rsidR="0005535A" w:rsidRPr="00B7149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EndPr/>
        <w:sdtContent>
          <w:r w:rsidR="00607344" w:rsidRPr="00B71490">
            <w:rPr>
              <w:sz w:val="24"/>
              <w:szCs w:val="24"/>
            </w:rPr>
            <w:t>financování zajištění hydro-geologických podkladů pro "Projekt Eliminace ohrožení režimu podzemních vod vrty v jímací oblasti Litá" a rovněž na úhradu nákladů spojených se samotným "Projektem Eliminace ohrožení režimu podzemních vod vrty v jímací oblasti Litá"</w:t>
          </w:r>
        </w:sdtContent>
      </w:sdt>
      <w:r w:rsidR="0064759C" w:rsidRPr="00B71490">
        <w:rPr>
          <w:i/>
          <w:sz w:val="24"/>
          <w:szCs w:val="24"/>
        </w:rPr>
        <w:t>.</w:t>
      </w:r>
    </w:p>
    <w:p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:rsidR="00507F60" w:rsidRPr="00F83570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CF2E37">
        <w:rPr>
          <w:sz w:val="24"/>
          <w:szCs w:val="24"/>
        </w:rPr>
        <w:t>Příjemci</w:t>
      </w:r>
      <w:r w:rsidR="00432E7C" w:rsidRPr="00CF2E37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607344">
            <w:rPr>
              <w:sz w:val="24"/>
              <w:szCs w:val="24"/>
            </w:rPr>
            <w:t>investiční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607344">
            <w:rPr>
              <w:b/>
              <w:sz w:val="24"/>
              <w:szCs w:val="24"/>
            </w:rPr>
            <w:t>400 000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b/>
          <w:sz w:val="24"/>
          <w:szCs w:val="24"/>
        </w:rPr>
        <w:t>Kč</w:t>
      </w:r>
      <w:r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v souladu s rozpočtem uvedeným v žádosti o poskytnutí dotace z rozpočtu Královéhradeckého kraje č. </w:t>
      </w:r>
      <w:r w:rsidR="002621ED">
        <w:rPr>
          <w:sz w:val="24"/>
          <w:szCs w:val="24"/>
        </w:rPr>
        <w:t>20</w:t>
      </w:r>
      <w:r w:rsidR="00913E98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607344">
            <w:rPr>
              <w:sz w:val="24"/>
              <w:szCs w:val="22"/>
            </w:rPr>
            <w:t>2-0267</w:t>
          </w:r>
        </w:sdtContent>
      </w:sdt>
      <w:r w:rsidR="00913E98"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(dále jen „žádost o dotaci“).</w:t>
      </w:r>
      <w:r w:rsidR="00507F60" w:rsidRPr="00507F60">
        <w:rPr>
          <w:sz w:val="24"/>
          <w:szCs w:val="24"/>
        </w:rPr>
        <w:t xml:space="preserve"> </w:t>
      </w:r>
    </w:p>
    <w:p w:rsidR="00507F60" w:rsidRPr="009964A4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III.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2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7344">
            <w:rPr>
              <w:b/>
              <w:sz w:val="24"/>
              <w:szCs w:val="24"/>
            </w:rPr>
            <w:t>01.02.2020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1-03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7344">
            <w:rPr>
              <w:b/>
              <w:sz w:val="24"/>
              <w:szCs w:val="24"/>
            </w:rPr>
            <w:t>31.03.2021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1-03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7344">
            <w:rPr>
              <w:sz w:val="24"/>
              <w:szCs w:val="24"/>
            </w:rPr>
            <w:t>31.03.2021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:rsidR="00B71490" w:rsidRDefault="00B71490" w:rsidP="00507F60">
      <w:pPr>
        <w:spacing w:before="240"/>
        <w:jc w:val="center"/>
        <w:rPr>
          <w:b/>
          <w:sz w:val="24"/>
          <w:szCs w:val="24"/>
        </w:rPr>
      </w:pPr>
    </w:p>
    <w:p w:rsidR="00B71490" w:rsidRDefault="00B71490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IV.</w:t>
      </w:r>
    </w:p>
    <w:p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t>Změny v projektu, zánik příjemce s likvidací a změny podmínek čerpání poskytnuté dotace</w:t>
      </w:r>
    </w:p>
    <w:p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:rsidR="00FD170D" w:rsidRDefault="00FD170D" w:rsidP="00FD170D">
      <w:pPr>
        <w:pStyle w:val="Odstavecseseznamem"/>
        <w:rPr>
          <w:sz w:val="24"/>
          <w:szCs w:val="24"/>
        </w:rPr>
      </w:pPr>
    </w:p>
    <w:p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:rsidR="009E031F" w:rsidRDefault="009E031F" w:rsidP="00E842C3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 xml:space="preserve">konaném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ZK/29/2293/2020</w:t>
      </w:r>
      <w:r w:rsidR="0042077D">
        <w:rPr>
          <w:iCs/>
          <w:sz w:val="24"/>
          <w:szCs w:val="24"/>
        </w:rPr>
        <w:t>.</w:t>
      </w:r>
    </w:p>
    <w:p w:rsidR="00B71490" w:rsidRDefault="00B7149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B71490" w:rsidRDefault="00B71490" w:rsidP="00E842C3">
      <w:pPr>
        <w:keepNext/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Příloha: Pověření Ing. Jiřího Šolce k zastupování společnosti</w:t>
      </w:r>
    </w:p>
    <w:p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793330" w:rsidRPr="00CF2E37" w:rsidRDefault="00793330" w:rsidP="00363AD5">
      <w:pPr>
        <w:tabs>
          <w:tab w:val="center" w:pos="2160"/>
          <w:tab w:val="center" w:pos="7020"/>
        </w:tabs>
        <w:rPr>
          <w:sz w:val="24"/>
          <w:szCs w:val="24"/>
        </w:rPr>
      </w:pPr>
      <w:bookmarkStart w:id="0" w:name="_GoBack"/>
      <w:bookmarkEnd w:id="0"/>
    </w:p>
    <w:p w:rsidR="00985E80" w:rsidRDefault="00363AD5" w:rsidP="00B7149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    </w:t>
      </w:r>
      <w:sdt>
        <w:sdtPr>
          <w:rPr>
            <w:sz w:val="24"/>
            <w:szCs w:val="24"/>
          </w:rPr>
          <w:alias w:val="Doplňte jméno a příjmení osoby oprávněné k podpisu"/>
          <w:tag w:val="Doplňte jméno a příjmení podpisující osoby"/>
          <w:id w:val="1441252690"/>
          <w:placeholder>
            <w:docPart w:val="406CF910B3AF4CCE8253C08F402F3BD1"/>
          </w:placeholder>
          <w:text/>
        </w:sdtPr>
        <w:sdtEndPr/>
        <w:sdtContent>
          <w:r w:rsidR="00607344" w:rsidRPr="00837624">
            <w:rPr>
              <w:sz w:val="24"/>
              <w:szCs w:val="24"/>
            </w:rPr>
            <w:t>Ing. Jiří Šolc, ředitel</w:t>
          </w:r>
          <w:r w:rsidR="00B71490">
            <w:rPr>
              <w:sz w:val="24"/>
              <w:szCs w:val="24"/>
            </w:rPr>
            <w:t xml:space="preserve"> společnosti, na základě pověření</w:t>
          </w:r>
        </w:sdtContent>
      </w:sdt>
      <w:r w:rsidRPr="00CF2E37">
        <w:rPr>
          <w:sz w:val="24"/>
          <w:szCs w:val="24"/>
        </w:rPr>
        <w:tab/>
        <w:t xml:space="preserve">             </w:t>
      </w:r>
      <w:r w:rsidR="00985E80">
        <w:rPr>
          <w:sz w:val="24"/>
          <w:szCs w:val="24"/>
        </w:rPr>
        <w:t xml:space="preserve">    PhDr. Jiří Štěpán</w:t>
      </w:r>
      <w:r w:rsidR="00090089">
        <w:rPr>
          <w:sz w:val="24"/>
          <w:szCs w:val="24"/>
        </w:rPr>
        <w:t>, Ph.D.</w:t>
      </w:r>
    </w:p>
    <w:p w:rsidR="00506555" w:rsidRPr="00000138" w:rsidRDefault="00090089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5E80">
        <w:rPr>
          <w:sz w:val="24"/>
          <w:szCs w:val="24"/>
        </w:rPr>
        <w:tab/>
      </w:r>
      <w:r w:rsidR="00985E80">
        <w:rPr>
          <w:sz w:val="24"/>
          <w:szCs w:val="24"/>
        </w:rPr>
        <w:tab/>
        <w:t xml:space="preserve">                hejtman Královéhradeckého kraje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51" w:rsidRDefault="002F5A51">
      <w:r>
        <w:separator/>
      </w:r>
    </w:p>
  </w:endnote>
  <w:endnote w:type="continuationSeparator" w:id="0">
    <w:p w:rsidR="002F5A51" w:rsidRDefault="002F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51" w:rsidRDefault="002F5A51">
      <w:r>
        <w:separator/>
      </w:r>
    </w:p>
  </w:footnote>
  <w:footnote w:type="continuationSeparator" w:id="0">
    <w:p w:rsidR="002F5A51" w:rsidRDefault="002F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0089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23B6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245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1C73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5A51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057F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00F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539E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344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330"/>
    <w:rsid w:val="00793F78"/>
    <w:rsid w:val="00795B98"/>
    <w:rsid w:val="0079645C"/>
    <w:rsid w:val="007A0CD3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39C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685"/>
    <w:rsid w:val="00B2680B"/>
    <w:rsid w:val="00B26916"/>
    <w:rsid w:val="00B26EBB"/>
    <w:rsid w:val="00B31102"/>
    <w:rsid w:val="00B31595"/>
    <w:rsid w:val="00B31AE9"/>
    <w:rsid w:val="00B31E87"/>
    <w:rsid w:val="00B35746"/>
    <w:rsid w:val="00B376D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490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C688F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4DB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19A5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A37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B3C93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06CF910B3AF4CCE8253C08F402F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A9048-2BD6-47BB-94E8-215753C96E72}"/>
      </w:docPartPr>
      <w:docPartBody>
        <w:p w:rsidR="00647C0A" w:rsidRDefault="00651602" w:rsidP="00651602">
          <w:pPr>
            <w:pStyle w:val="406CF910B3AF4CCE8253C08F402F3BD1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1D718A"/>
    <w:rsid w:val="002773D7"/>
    <w:rsid w:val="002A0CFC"/>
    <w:rsid w:val="00490D0F"/>
    <w:rsid w:val="00647C0A"/>
    <w:rsid w:val="00651602"/>
    <w:rsid w:val="009B69F3"/>
    <w:rsid w:val="00A3773D"/>
    <w:rsid w:val="00AC60DA"/>
    <w:rsid w:val="00BC3424"/>
    <w:rsid w:val="00C301A6"/>
    <w:rsid w:val="00C37BFA"/>
    <w:rsid w:val="00C4523D"/>
    <w:rsid w:val="00C57C5B"/>
    <w:rsid w:val="00C7509A"/>
    <w:rsid w:val="00E3505A"/>
    <w:rsid w:val="00FA502D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0A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51C2-2AA0-401C-81B9-E2C56A18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1585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10920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5</cp:revision>
  <cp:lastPrinted>2017-04-24T10:20:00Z</cp:lastPrinted>
  <dcterms:created xsi:type="dcterms:W3CDTF">2020-07-13T13:54:00Z</dcterms:created>
  <dcterms:modified xsi:type="dcterms:W3CDTF">2020-07-15T13:38:00Z</dcterms:modified>
</cp:coreProperties>
</file>