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2621ED">
        <w:rPr>
          <w:b/>
          <w:sz w:val="24"/>
          <w:szCs w:val="22"/>
        </w:rPr>
        <w:t>20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F90999">
            <w:rPr>
              <w:b/>
              <w:sz w:val="24"/>
              <w:szCs w:val="22"/>
            </w:rPr>
            <w:t>2-0104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kterou v souladu s ustanovením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EndPr/>
      <w:sdtContent>
        <w:p w:rsidR="0064759C" w:rsidRPr="006413FC" w:rsidRDefault="00F90999" w:rsidP="0064759C">
          <w:pPr>
            <w:pStyle w:val="Textkomente"/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Město Rychnov nad Kněžnou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F90999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Havlíčkova 136, Rychnov nad Kněžnou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F90999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Ing. Jan Skořepa</w:t>
                </w:r>
              </w:p>
            </w:tc>
          </w:sdtContent>
        </w:sdt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F90999" w:rsidP="00DA1326">
                <w:pPr>
                  <w:rPr>
                    <w:sz w:val="24"/>
                    <w:szCs w:val="24"/>
                  </w:rPr>
                </w:pPr>
                <w:r w:rsidRPr="00F90999">
                  <w:rPr>
                    <w:sz w:val="24"/>
                    <w:szCs w:val="24"/>
                  </w:rPr>
                  <w:t>00275336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F90999" w:rsidP="00DA1326">
                <w:pPr>
                  <w:rPr>
                    <w:sz w:val="24"/>
                    <w:szCs w:val="24"/>
                  </w:rPr>
                </w:pPr>
                <w:r w:rsidRPr="00F90999">
                  <w:rPr>
                    <w:sz w:val="24"/>
                    <w:szCs w:val="24"/>
                  </w:rPr>
                  <w:t>19-1240286399/0800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A835C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F90999">
            <w:rPr>
              <w:sz w:val="24"/>
              <w:szCs w:val="24"/>
            </w:rPr>
            <w:t>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>
        <w:rPr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Content>
          <w:r w:rsidR="00F90999" w:rsidRPr="00F90999">
            <w:rPr>
              <w:b/>
              <w:sz w:val="24"/>
              <w:szCs w:val="24"/>
            </w:rPr>
            <w:t>16 BJ – Mírová, Rychnov nad Kněžnou</w:t>
          </w:r>
        </w:sdtContent>
      </w:sdt>
      <w:r w:rsidR="00CF2E37" w:rsidRPr="005B782B">
        <w:rPr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2621ED">
        <w:rPr>
          <w:sz w:val="24"/>
          <w:szCs w:val="24"/>
        </w:rPr>
        <w:t>20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F90999">
            <w:rPr>
              <w:sz w:val="24"/>
              <w:szCs w:val="22"/>
            </w:rPr>
            <w:t>2-0104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9A3375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EndPr/>
        <w:sdtContent>
          <w:r w:rsidR="00F90999">
            <w:rPr>
              <w:sz w:val="24"/>
              <w:szCs w:val="24"/>
            </w:rPr>
            <w:t>dofinancování výstavby 16 nájemních bytů</w:t>
          </w:r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F90999">
            <w:rPr>
              <w:sz w:val="24"/>
              <w:szCs w:val="24"/>
            </w:rPr>
            <w:t>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F90999">
            <w:rPr>
              <w:b/>
              <w:sz w:val="24"/>
              <w:szCs w:val="24"/>
            </w:rPr>
            <w:t>2 500 000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2621ED">
        <w:rPr>
          <w:sz w:val="24"/>
          <w:szCs w:val="24"/>
        </w:rPr>
        <w:t>20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F90999">
            <w:rPr>
              <w:sz w:val="24"/>
              <w:szCs w:val="22"/>
            </w:rPr>
            <w:t>2-0104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793330" w:rsidRDefault="00793330" w:rsidP="00507F60">
      <w:pPr>
        <w:spacing w:before="240"/>
        <w:jc w:val="center"/>
        <w:rPr>
          <w:b/>
          <w:sz w:val="24"/>
          <w:szCs w:val="24"/>
        </w:rPr>
      </w:pPr>
    </w:p>
    <w:p w:rsidR="00F90999" w:rsidRDefault="00F90999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19-10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0999">
            <w:rPr>
              <w:b/>
              <w:sz w:val="24"/>
              <w:szCs w:val="24"/>
            </w:rPr>
            <w:t>01.10.2019</w:t>
          </w:r>
        </w:sdtContent>
      </w:sdt>
      <w:r w:rsidRPr="002C3E3F">
        <w:rPr>
          <w:sz w:val="24"/>
          <w:szCs w:val="24"/>
        </w:rPr>
        <w:t xml:space="preserve"> </w:t>
      </w:r>
      <w:r w:rsidR="009A3375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 w:fullDate="2021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0999">
            <w:rPr>
              <w:b/>
              <w:sz w:val="24"/>
              <w:szCs w:val="24"/>
            </w:rPr>
            <w:t>30.06.2021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 w:fullDate="2021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0999">
            <w:rPr>
              <w:sz w:val="24"/>
              <w:szCs w:val="24"/>
            </w:rPr>
            <w:t>30.06.2021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523EB3" w:rsidRDefault="00523EB3" w:rsidP="00507F60">
      <w:pPr>
        <w:spacing w:before="240"/>
        <w:jc w:val="center"/>
        <w:rPr>
          <w:b/>
          <w:sz w:val="24"/>
          <w:szCs w:val="24"/>
        </w:rPr>
      </w:pPr>
    </w:p>
    <w:p w:rsidR="00F90999" w:rsidRDefault="00F90999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Podmínky, jejichž porušení je považováno za méně závažné, a výše odvodů za porušení rozpočtové kázně dle ustanovení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  <w:r w:rsidR="0042077D">
        <w:rPr>
          <w:iCs/>
          <w:sz w:val="24"/>
          <w:szCs w:val="24"/>
        </w:rPr>
        <w:t>.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  <w:t>V</w:t>
      </w:r>
      <w:r w:rsidR="00766476" w:rsidRPr="00CF2E37">
        <w:rPr>
          <w:sz w:val="24"/>
          <w:szCs w:val="24"/>
        </w:rPr>
        <w:t xml:space="preserve"> ………………….</w:t>
      </w:r>
      <w:r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793330" w:rsidRDefault="00793330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793330" w:rsidRPr="00CF2E37" w:rsidRDefault="00793330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</w:t>
      </w:r>
    </w:p>
    <w:p w:rsidR="00985E80" w:rsidRDefault="00363AD5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    </w:t>
      </w:r>
      <w:r w:rsidR="00F90999">
        <w:rPr>
          <w:sz w:val="24"/>
          <w:szCs w:val="24"/>
        </w:rPr>
        <w:t xml:space="preserve">      </w:t>
      </w:r>
      <w:r w:rsidRPr="00CF2E37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alias w:val="Doplňte jméno a příjmení osoby oprávněné k podpisu"/>
          <w:tag w:val="Doplňte jméno a příjmení podpisující osoby"/>
          <w:id w:val="1441252690"/>
          <w:placeholder>
            <w:docPart w:val="406CF910B3AF4CCE8253C08F402F3BD1"/>
          </w:placeholder>
          <w:text/>
        </w:sdtPr>
        <w:sdtEndPr/>
        <w:sdtContent>
          <w:r w:rsidR="00F90999">
            <w:rPr>
              <w:sz w:val="24"/>
              <w:szCs w:val="24"/>
            </w:rPr>
            <w:t>Ing. Jan Skořepa, starosta</w:t>
          </w:r>
        </w:sdtContent>
      </w:sdt>
      <w:r w:rsidRPr="00CF2E37">
        <w:rPr>
          <w:sz w:val="24"/>
          <w:szCs w:val="24"/>
        </w:rPr>
        <w:tab/>
        <w:t xml:space="preserve">             </w:t>
      </w:r>
      <w:r w:rsidR="00985E80">
        <w:rPr>
          <w:sz w:val="24"/>
          <w:szCs w:val="24"/>
        </w:rPr>
        <w:t xml:space="preserve">    PhDr. Jiří Štěpán</w:t>
      </w:r>
    </w:p>
    <w:p w:rsidR="00506555" w:rsidRPr="00000138" w:rsidRDefault="00985E80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hejtman Královéhradeckého kraje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22" w:rsidRDefault="00AC2A22">
      <w:r>
        <w:separator/>
      </w:r>
    </w:p>
  </w:endnote>
  <w:endnote w:type="continuationSeparator" w:id="0">
    <w:p w:rsidR="00AC2A22" w:rsidRDefault="00AC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22" w:rsidRDefault="00AC2A22">
      <w:r>
        <w:separator/>
      </w:r>
    </w:p>
  </w:footnote>
  <w:footnote w:type="continuationSeparator" w:id="0">
    <w:p w:rsidR="00AC2A22" w:rsidRDefault="00AC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8IxbkfEWqEaTi9Bm4dZqdBYIy5I3Hvwqz9BN+4dlNyWB55HJcbmySALdV+A1pVFSfEJLucbh6nXjaTfYUPy+A==" w:salt="M/iluB502HJ4+Z1T6DChs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1C73"/>
    <w:rsid w:val="00252009"/>
    <w:rsid w:val="00252397"/>
    <w:rsid w:val="00252A08"/>
    <w:rsid w:val="00252B63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057F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077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330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26410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4498D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3659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3375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2A22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DA4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80B"/>
    <w:rsid w:val="00B26916"/>
    <w:rsid w:val="00B26EBB"/>
    <w:rsid w:val="00B31595"/>
    <w:rsid w:val="00B31AE9"/>
    <w:rsid w:val="00B31E87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A37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0999"/>
    <w:rsid w:val="00F91436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3B2D1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6CF910B3AF4CCE8253C08F402F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A9048-2BD6-47BB-94E8-215753C96E72}"/>
      </w:docPartPr>
      <w:docPartBody>
        <w:p w:rsidR="00647C0A" w:rsidRDefault="00651602" w:rsidP="00651602">
          <w:pPr>
            <w:pStyle w:val="406CF910B3AF4CCE8253C08F402F3BD1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490D0F"/>
    <w:rsid w:val="00607BF2"/>
    <w:rsid w:val="00647C0A"/>
    <w:rsid w:val="00651602"/>
    <w:rsid w:val="009B69F3"/>
    <w:rsid w:val="00A3773D"/>
    <w:rsid w:val="00AC60DA"/>
    <w:rsid w:val="00C4523D"/>
    <w:rsid w:val="00C57C5B"/>
    <w:rsid w:val="00E3505A"/>
    <w:rsid w:val="00FA502D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0A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7BE9-01E6-43D6-9E07-8B6F0B78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10489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4</cp:revision>
  <cp:lastPrinted>2017-04-24T10:20:00Z</cp:lastPrinted>
  <dcterms:created xsi:type="dcterms:W3CDTF">2020-07-08T13:36:00Z</dcterms:created>
  <dcterms:modified xsi:type="dcterms:W3CDTF">2020-07-08T13:36:00Z</dcterms:modified>
</cp:coreProperties>
</file>