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630"/>
        <w:gridCol w:w="9009"/>
      </w:tblGrid>
      <w:tr w:rsidR="005F43B9" w:rsidRPr="005F43B9" w:rsidTr="0033437D">
        <w:tc>
          <w:tcPr>
            <w:tcW w:w="9639" w:type="dxa"/>
            <w:gridSpan w:val="2"/>
            <w:tcBorders>
              <w:top w:val="nil"/>
              <w:left w:val="nil"/>
              <w:bottom w:val="nil"/>
              <w:right w:val="nil"/>
            </w:tcBorders>
            <w:noWrap/>
            <w:tcMar>
              <w:left w:w="0" w:type="dxa"/>
              <w:right w:w="0" w:type="dxa"/>
            </w:tcMar>
          </w:tcPr>
          <w:p w:rsidR="005F43B9" w:rsidRPr="005F43B9" w:rsidRDefault="005F43B9" w:rsidP="005F43B9">
            <w:pPr>
              <w:overflowPunct/>
              <w:autoSpaceDE/>
              <w:autoSpaceDN/>
              <w:adjustRightInd/>
              <w:spacing w:after="40"/>
              <w:textAlignment w:val="auto"/>
              <w:rPr>
                <w:rFonts w:eastAsia="MS Mincho" w:cs="Arial"/>
                <w:sz w:val="14"/>
                <w:szCs w:val="18"/>
                <w:lang w:eastAsia="en-US"/>
              </w:rPr>
            </w:pPr>
            <w:bookmarkStart w:id="0" w:name="ceska"/>
            <w:bookmarkStart w:id="1" w:name="S_D1_optJazykCZ_ALL"/>
            <w:bookmarkStart w:id="2" w:name="_GoBack"/>
            <w:bookmarkEnd w:id="2"/>
            <w:r w:rsidRPr="005F43B9">
              <w:rPr>
                <w:rFonts w:eastAsia="MS Mincho" w:cs="Arial"/>
                <w:sz w:val="14"/>
                <w:szCs w:val="18"/>
                <w:lang w:eastAsia="en-US"/>
              </w:rPr>
              <w:t>Komerční banka, a.s., vydává tyto všeobecné obchodní podmínky (dále jen „VOP“), které upravují základní pravidla obchodních vztahů mezi Bankou a Klienty při poskytování Bankovních služeb.</w:t>
            </w:r>
            <w:r w:rsidRPr="005F43B9">
              <w:rPr>
                <w:rFonts w:eastAsia="ArialMT" w:cs="Arial"/>
                <w:szCs w:val="18"/>
                <w:lang w:eastAsia="en-US"/>
              </w:rPr>
              <w:t xml:space="preserve"> </w:t>
            </w:r>
            <w:r w:rsidRPr="005F43B9">
              <w:rPr>
                <w:rFonts w:eastAsia="MS Mincho" w:cs="Arial"/>
                <w:sz w:val="14"/>
                <w:szCs w:val="18"/>
                <w:lang w:eastAsia="en-US"/>
              </w:rPr>
              <w:t>Seznamte se prosím důkladně s tímto dokumentem. Vaše případné dotazy rádi zodpovíme.</w:t>
            </w:r>
            <w:bookmarkStart w:id="3" w:name="CZ_start"/>
            <w:bookmarkEnd w:id="3"/>
          </w:p>
        </w:tc>
      </w:tr>
      <w:tr w:rsidR="005F43B9" w:rsidRPr="005F43B9" w:rsidTr="0033437D">
        <w:trPr>
          <w:trHeight w:hRule="exact" w:val="57"/>
        </w:trPr>
        <w:tc>
          <w:tcPr>
            <w:tcW w:w="9639" w:type="dxa"/>
            <w:gridSpan w:val="2"/>
            <w:tcBorders>
              <w:top w:val="nil"/>
              <w:left w:val="nil"/>
              <w:bottom w:val="nil"/>
              <w:right w:val="nil"/>
            </w:tcBorders>
            <w:noWrap/>
            <w:tcMar>
              <w:left w:w="0" w:type="dxa"/>
              <w:right w:w="0" w:type="dxa"/>
            </w:tcMar>
          </w:tcPr>
          <w:p w:rsidR="005F43B9" w:rsidRPr="005F43B9" w:rsidRDefault="005F43B9" w:rsidP="005F43B9">
            <w:pPr>
              <w:overflowPunct/>
              <w:autoSpaceDE/>
              <w:autoSpaceDN/>
              <w:adjustRightInd/>
              <w:spacing w:after="40"/>
              <w:textAlignment w:val="auto"/>
              <w:rPr>
                <w:rFonts w:eastAsia="MS Mincho" w:cs="Arial"/>
                <w:sz w:val="14"/>
                <w:szCs w:val="1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 Úvodní ustanovení</w:t>
            </w:r>
          </w:p>
        </w:tc>
      </w:tr>
      <w:tr w:rsidR="005F43B9" w:rsidRPr="005F43B9" w:rsidTr="0033437D">
        <w:trPr>
          <w:trHeight w:hRule="exact" w:val="57"/>
        </w:trPr>
        <w:tc>
          <w:tcPr>
            <w:tcW w:w="9639" w:type="dxa"/>
            <w:gridSpan w:val="2"/>
            <w:tcBorders>
              <w:top w:val="nil"/>
              <w:left w:val="nil"/>
              <w:bottom w:val="nil"/>
              <w:right w:val="nil"/>
            </w:tcBorders>
            <w:noWrap/>
            <w:tcMar>
              <w:left w:w="0" w:type="dxa"/>
              <w:right w:w="0" w:type="dxa"/>
            </w:tcMar>
          </w:tcPr>
          <w:p w:rsidR="005F43B9" w:rsidRPr="005F43B9" w:rsidRDefault="005F43B9" w:rsidP="005F43B9">
            <w:pPr>
              <w:keepNext/>
              <w:overflowPunct/>
              <w:autoSpaceDE/>
              <w:autoSpaceDN/>
              <w:adjustRightInd/>
              <w:spacing w:after="40"/>
              <w:textAlignment w:val="auto"/>
              <w:rPr>
                <w:rFonts w:eastAsia="MS Mincho" w:cs="Arial"/>
                <w:sz w:val="14"/>
                <w:szCs w:val="18"/>
                <w:lang w:val="en-GB"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1.1</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425"/>
              </w:tabs>
              <w:overflowPunct/>
              <w:autoSpaceDE/>
              <w:autoSpaceDN/>
              <w:adjustRightInd/>
              <w:spacing w:before="40"/>
              <w:textAlignment w:val="auto"/>
              <w:rPr>
                <w:rFonts w:eastAsia="MS Mincho" w:cs="Arial"/>
                <w:sz w:val="14"/>
                <w:szCs w:val="18"/>
                <w:lang w:eastAsia="en-US"/>
              </w:rPr>
            </w:pPr>
            <w:r w:rsidRPr="005F43B9">
              <w:rPr>
                <w:rFonts w:eastAsia="MS Mincho" w:cs="Arial"/>
                <w:sz w:val="14"/>
                <w:szCs w:val="18"/>
                <w:lang w:eastAsia="en-US"/>
              </w:rPr>
              <w:t>Komerční banka, a.s., je právnická osoba vykonávající činnost na základě bankovní licence udělené jí podle příslušných právních předpisů.</w:t>
            </w:r>
          </w:p>
          <w:p w:rsidR="005F43B9" w:rsidRPr="005F43B9" w:rsidRDefault="005F43B9" w:rsidP="005F43B9">
            <w:pPr>
              <w:tabs>
                <w:tab w:val="num" w:pos="425"/>
              </w:tabs>
              <w:overflowPunct/>
              <w:autoSpaceDE/>
              <w:autoSpaceDN/>
              <w:adjustRightInd/>
              <w:textAlignment w:val="auto"/>
              <w:rPr>
                <w:rFonts w:eastAsia="MS Mincho" w:cs="Arial"/>
                <w:sz w:val="14"/>
                <w:szCs w:val="18"/>
                <w:lang w:eastAsia="en-US"/>
              </w:rPr>
            </w:pPr>
            <w:r w:rsidRPr="005F43B9">
              <w:rPr>
                <w:rFonts w:eastAsia="MS Mincho" w:cs="Arial"/>
                <w:sz w:val="14"/>
                <w:szCs w:val="18"/>
                <w:lang w:eastAsia="en-US"/>
              </w:rPr>
              <w:t>Identifikační údaje:</w:t>
            </w:r>
          </w:p>
          <w:p w:rsidR="005F43B9" w:rsidRPr="005F43B9" w:rsidRDefault="005F43B9" w:rsidP="005F43B9">
            <w:pPr>
              <w:tabs>
                <w:tab w:val="num" w:pos="425"/>
              </w:tabs>
              <w:overflowPunct/>
              <w:autoSpaceDE/>
              <w:autoSpaceDN/>
              <w:adjustRightInd/>
              <w:textAlignment w:val="auto"/>
              <w:rPr>
                <w:rFonts w:eastAsia="MS Mincho" w:cs="Arial"/>
                <w:sz w:val="14"/>
                <w:szCs w:val="18"/>
                <w:lang w:eastAsia="en-US"/>
              </w:rPr>
            </w:pPr>
            <w:r w:rsidRPr="005F43B9">
              <w:rPr>
                <w:rFonts w:eastAsia="MS Mincho" w:cs="Arial"/>
                <w:sz w:val="14"/>
                <w:szCs w:val="18"/>
                <w:lang w:eastAsia="en-US"/>
              </w:rPr>
              <w:t xml:space="preserve">sídlo: Praha 1, Na Příkopě 33, čp. 969, PSČ 114 07, </w:t>
            </w:r>
          </w:p>
          <w:p w:rsidR="005F43B9" w:rsidRPr="005F43B9" w:rsidRDefault="005F43B9" w:rsidP="005F43B9">
            <w:pPr>
              <w:tabs>
                <w:tab w:val="num" w:pos="425"/>
              </w:tabs>
              <w:overflowPunct/>
              <w:autoSpaceDE/>
              <w:autoSpaceDN/>
              <w:adjustRightInd/>
              <w:textAlignment w:val="auto"/>
              <w:rPr>
                <w:rFonts w:eastAsia="MS Mincho" w:cs="Arial"/>
                <w:sz w:val="14"/>
                <w:szCs w:val="18"/>
                <w:lang w:eastAsia="en-US"/>
              </w:rPr>
            </w:pPr>
            <w:r w:rsidRPr="005F43B9">
              <w:rPr>
                <w:rFonts w:eastAsia="MS Mincho" w:cs="Arial"/>
                <w:sz w:val="14"/>
                <w:szCs w:val="18"/>
                <w:lang w:eastAsia="en-US"/>
              </w:rPr>
              <w:t xml:space="preserve">IČO: 45317054, </w:t>
            </w:r>
          </w:p>
          <w:p w:rsidR="005F43B9" w:rsidRPr="005F43B9" w:rsidRDefault="005F43B9" w:rsidP="005F43B9">
            <w:pPr>
              <w:tabs>
                <w:tab w:val="num" w:pos="425"/>
              </w:tabs>
              <w:overflowPunct/>
              <w:autoSpaceDE/>
              <w:autoSpaceDN/>
              <w:adjustRightInd/>
              <w:textAlignment w:val="auto"/>
              <w:rPr>
                <w:rFonts w:eastAsia="MS Mincho" w:cs="Arial"/>
                <w:sz w:val="14"/>
                <w:szCs w:val="18"/>
                <w:lang w:eastAsia="en-US"/>
              </w:rPr>
            </w:pPr>
            <w:r w:rsidRPr="005F43B9">
              <w:rPr>
                <w:rFonts w:eastAsia="MS Mincho" w:cs="Arial"/>
                <w:sz w:val="14"/>
                <w:szCs w:val="18"/>
                <w:lang w:eastAsia="en-US"/>
              </w:rPr>
              <w:t xml:space="preserve">zapsaná v obchodním rejstříku vedeném Městským soudem v Praze, oddíl B, vložka 1360, </w:t>
            </w:r>
          </w:p>
          <w:p w:rsidR="005F43B9" w:rsidRPr="005F43B9" w:rsidRDefault="005F43B9" w:rsidP="005F43B9">
            <w:pPr>
              <w:tabs>
                <w:tab w:val="num" w:pos="425"/>
              </w:tabs>
              <w:overflowPunct/>
              <w:autoSpaceDE/>
              <w:autoSpaceDN/>
              <w:adjustRightInd/>
              <w:textAlignment w:val="auto"/>
              <w:rPr>
                <w:rFonts w:eastAsia="MS Mincho" w:cs="Arial"/>
                <w:sz w:val="14"/>
                <w:szCs w:val="18"/>
                <w:lang w:eastAsia="en-US"/>
              </w:rPr>
            </w:pPr>
            <w:r w:rsidRPr="005F43B9">
              <w:rPr>
                <w:rFonts w:eastAsia="MS Mincho" w:cs="Arial"/>
                <w:sz w:val="14"/>
                <w:szCs w:val="18"/>
                <w:lang w:eastAsia="en-US"/>
              </w:rPr>
              <w:t>číselný kód: 0100, znakový kód: KOMB,</w:t>
            </w:r>
          </w:p>
          <w:p w:rsidR="005F43B9" w:rsidRPr="005F43B9" w:rsidRDefault="005F43B9" w:rsidP="005F43B9">
            <w:pPr>
              <w:tabs>
                <w:tab w:val="num" w:pos="425"/>
              </w:tabs>
              <w:overflowPunct/>
              <w:autoSpaceDE/>
              <w:autoSpaceDN/>
              <w:adjustRightInd/>
              <w:textAlignment w:val="auto"/>
              <w:rPr>
                <w:rFonts w:eastAsia="MS Mincho" w:cs="Arial"/>
                <w:sz w:val="14"/>
                <w:szCs w:val="18"/>
                <w:lang w:eastAsia="en-US"/>
              </w:rPr>
            </w:pPr>
            <w:r w:rsidRPr="005F43B9">
              <w:rPr>
                <w:rFonts w:eastAsia="MS Mincho" w:cs="Arial"/>
                <w:sz w:val="14"/>
                <w:szCs w:val="18"/>
                <w:lang w:eastAsia="en-US"/>
              </w:rPr>
              <w:t xml:space="preserve">BIC / SWIFT kód: KOMBCZPPXXX (pro 8místnou variantu: KOMBCZPP). </w:t>
            </w:r>
          </w:p>
          <w:p w:rsidR="005F43B9" w:rsidRPr="005F43B9" w:rsidRDefault="005F43B9" w:rsidP="005F43B9">
            <w:pPr>
              <w:tabs>
                <w:tab w:val="num" w:pos="425"/>
              </w:tabs>
              <w:overflowPunct/>
              <w:autoSpaceDE/>
              <w:autoSpaceDN/>
              <w:adjustRightInd/>
              <w:textAlignment w:val="auto"/>
              <w:rPr>
                <w:rFonts w:eastAsia="MS Mincho" w:cs="Arial"/>
                <w:sz w:val="14"/>
                <w:szCs w:val="18"/>
                <w:lang w:eastAsia="en-US"/>
              </w:rPr>
            </w:pPr>
            <w:r w:rsidRPr="005F43B9">
              <w:rPr>
                <w:rFonts w:eastAsia="MS Mincho" w:cs="Arial"/>
                <w:sz w:val="14"/>
                <w:szCs w:val="18"/>
                <w:lang w:eastAsia="en-US"/>
              </w:rPr>
              <w:t>Činnost Banky podléhá dohledu ze strany ČNB.</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poskytuje Bankovní služby zpravidla v Klientově obchodním místě, v Obchodních dnech a v jejích provozních hodinách.</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 xml:space="preserve">Banka nemá povinnost vstoupit s Klientem do smluvního vztahu nebo poskytnout Bankovní službu. Banka je oprávněna vázat poskytování Bankovních služeb na předložení potřebných dokumentů a informací. </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 Smluvní dokumentace</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2.1</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425"/>
              </w:tabs>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Výčet Smluvních dokumentů.</w:t>
            </w:r>
            <w:r w:rsidRPr="005F43B9">
              <w:rPr>
                <w:rFonts w:eastAsia="MS Mincho" w:cs="Arial"/>
                <w:sz w:val="14"/>
                <w:szCs w:val="18"/>
                <w:lang w:eastAsia="en-US"/>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 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2.3</w:t>
            </w:r>
          </w:p>
        </w:tc>
        <w:tc>
          <w:tcPr>
            <w:tcW w:w="9009" w:type="dxa"/>
            <w:tcBorders>
              <w:left w:val="single" w:sz="6" w:space="0" w:color="C8C8C8"/>
            </w:tcBorders>
            <w:noWrap/>
            <w:tcMar>
              <w:left w:w="113" w:type="dxa"/>
              <w:right w:w="113" w:type="dxa"/>
            </w:tcMar>
          </w:tcPr>
          <w:p w:rsidR="005F43B9" w:rsidRPr="005F43B9" w:rsidRDefault="005F43B9" w:rsidP="005F43B9">
            <w:pPr>
              <w:adjustRightInd/>
              <w:spacing w:before="40" w:after="40"/>
              <w:textAlignment w:val="auto"/>
              <w:rPr>
                <w:rFonts w:eastAsia="MS Mincho" w:cs="Arial"/>
                <w:sz w:val="14"/>
                <w:szCs w:val="18"/>
                <w:lang w:eastAsia="en-US"/>
              </w:rPr>
            </w:pPr>
            <w:r w:rsidRPr="005F43B9">
              <w:rPr>
                <w:rFonts w:eastAsia="MS Mincho" w:cs="Arial"/>
                <w:b/>
                <w:sz w:val="14"/>
                <w:szCs w:val="18"/>
                <w:lang w:eastAsia="en-US"/>
              </w:rPr>
              <w:t>Hierarchie Smluvních dokumentů.</w:t>
            </w:r>
            <w:r w:rsidRPr="005F43B9">
              <w:rPr>
                <w:rFonts w:eastAsia="MS Mincho" w:cs="Arial"/>
                <w:sz w:val="14"/>
                <w:szCs w:val="18"/>
                <w:lang w:eastAsia="en-US"/>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Klient se zavazuje, že osoby, které jménem nebo za Klienta využívají Bankovní služby, budou vždy řádně seznámeny s příslušnou Smlouvou, Smluvními dokumenty a dalšími dokumenty, které se k dané Bankovní službě vztahují.</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2.5</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Povinné zveřejňování Smluv</w:t>
            </w:r>
            <w:r w:rsidRPr="005F43B9">
              <w:rPr>
                <w:rFonts w:eastAsia="MS Mincho" w:cs="Arial"/>
                <w:sz w:val="14"/>
                <w:szCs w:val="18"/>
                <w:lang w:eastAsia="en-US"/>
              </w:rPr>
              <w:t>. Nesplní-li Klient zákonnou</w:t>
            </w:r>
            <w:r w:rsidRPr="005F43B9">
              <w:rPr>
                <w:rFonts w:eastAsia="MS Mincho" w:cs="Arial"/>
                <w:sz w:val="14"/>
                <w:szCs w:val="18"/>
                <w:vertAlign w:val="superscript"/>
                <w:lang w:eastAsia="en-US"/>
              </w:rPr>
              <w:footnoteReference w:id="1"/>
            </w:r>
            <w:r w:rsidRPr="005F43B9">
              <w:rPr>
                <w:rFonts w:eastAsia="MS Mincho" w:cs="Arial"/>
                <w:sz w:val="14"/>
                <w:szCs w:val="18"/>
                <w:lang w:eastAsia="en-US"/>
              </w:rPr>
              <w:t>či smluvní povinnost uveřejnit Smlouvu, je Banka oprávněna ji uveřejnit příslušným způsobem sama. Klient je povinen nahradit Bance škodu, která jí vznikne v důsledku porušení povinnosti Klienta dle předchozí věty.</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eastAsia="MS Mincho" w:cs="Arial"/>
                <w:b/>
                <w:bCs/>
                <w:color w:val="FFFFFF"/>
                <w:sz w:val="14"/>
                <w:lang w:eastAsia="en-US"/>
              </w:rPr>
            </w:pPr>
            <w:r w:rsidRPr="005F43B9">
              <w:rPr>
                <w:rFonts w:cs="Arial"/>
                <w:b/>
                <w:bCs/>
                <w:color w:val="FFFFFF"/>
                <w:szCs w:val="18"/>
                <w:lang w:eastAsia="en-US"/>
              </w:rPr>
              <w:t>Článek 3. Identifikace klienta a předkládání dokumentů</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3.1</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b/>
                <w:sz w:val="14"/>
                <w:szCs w:val="18"/>
                <w:lang w:eastAsia="en-US"/>
              </w:rPr>
            </w:pPr>
            <w:r w:rsidRPr="005F43B9">
              <w:rPr>
                <w:rFonts w:eastAsia="MS Mincho" w:cs="Arial"/>
                <w:b/>
                <w:sz w:val="14"/>
                <w:szCs w:val="18"/>
                <w:lang w:eastAsia="en-US"/>
              </w:rPr>
              <w:t>Identifikace osob.</w:t>
            </w:r>
            <w:r w:rsidRPr="005F43B9">
              <w:rPr>
                <w:rFonts w:eastAsia="MS Mincho" w:cs="Arial"/>
                <w:sz w:val="14"/>
                <w:szCs w:val="18"/>
                <w:lang w:eastAsia="en-US"/>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 U.S. osobou nebo českým daňovým nerezidentem.</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3.2</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je oprávněna stanovit rozsah vyžadovaných dokumentů a informací. Banka je v rámci plnění svých povinností vyplývajících z právních předpisů</w:t>
            </w:r>
            <w:r w:rsidRPr="005F43B9">
              <w:rPr>
                <w:rFonts w:eastAsia="MS Mincho" w:cs="Arial"/>
                <w:sz w:val="14"/>
                <w:szCs w:val="18"/>
                <w:vertAlign w:val="superscript"/>
                <w:lang w:eastAsia="en-US"/>
              </w:rPr>
              <w:footnoteReference w:id="2"/>
            </w:r>
            <w:r w:rsidRPr="005F43B9">
              <w:rPr>
                <w:rFonts w:eastAsia="MS Mincho" w:cs="Arial"/>
                <w:sz w:val="14"/>
                <w:szCs w:val="18"/>
                <w:vertAlign w:val="superscript"/>
                <w:lang w:eastAsia="en-US"/>
              </w:rPr>
              <w:t xml:space="preserve"> </w:t>
            </w:r>
            <w:r w:rsidRPr="005F43B9">
              <w:rPr>
                <w:rFonts w:eastAsia="MS Mincho" w:cs="Arial"/>
                <w:sz w:val="14"/>
                <w:szCs w:val="18"/>
                <w:lang w:eastAsia="en-US"/>
              </w:rPr>
              <w:t>oprávněna provádět identifikaci a kontrolu, plnit svou informační povinnost, zjišťovat a zpracovávat údaje o účastnících Bankovní služby, vést evidenci takto získaných údajů, to vše v souladu se smluvními ujednáními a právními předpisy.</w:t>
            </w:r>
            <w:r w:rsidRPr="005F43B9">
              <w:rPr>
                <w:rFonts w:eastAsia="MS Mincho" w:cs="Arial"/>
                <w:sz w:val="14"/>
                <w:szCs w:val="18"/>
                <w:vertAlign w:val="superscript"/>
                <w:lang w:eastAsia="en-US"/>
              </w:rPr>
              <w:footnoteReference w:id="3"/>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3.3</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425"/>
              </w:tabs>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 xml:space="preserve">Pořízení kopií dokumentů. </w:t>
            </w:r>
            <w:r w:rsidRPr="005F43B9">
              <w:rPr>
                <w:rFonts w:eastAsia="MS Mincho" w:cs="Arial"/>
                <w:sz w:val="14"/>
                <w:szCs w:val="18"/>
                <w:lang w:eastAsia="en-US"/>
              </w:rPr>
              <w:t xml:space="preserve">Banka je oprávněna pořídit si pro vlastní potřebu kopie předložených dokumentů.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3.4</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425"/>
              </w:tabs>
              <w:overflowPunct/>
              <w:autoSpaceDE/>
              <w:autoSpaceDN/>
              <w:adjustRightInd/>
              <w:spacing w:before="40" w:after="40"/>
              <w:textAlignment w:val="auto"/>
              <w:rPr>
                <w:rFonts w:eastAsia="MS Mincho" w:cs="Arial"/>
                <w:b/>
                <w:sz w:val="14"/>
                <w:szCs w:val="18"/>
                <w:lang w:eastAsia="en-US"/>
              </w:rPr>
            </w:pPr>
            <w:r w:rsidRPr="005F43B9">
              <w:rPr>
                <w:rFonts w:eastAsia="MS Mincho" w:cs="Arial"/>
                <w:b/>
                <w:sz w:val="14"/>
                <w:szCs w:val="18"/>
                <w:lang w:eastAsia="en-US"/>
              </w:rPr>
              <w:t xml:space="preserve">Záznamy komunikace. </w:t>
            </w:r>
            <w:r w:rsidRPr="005F43B9">
              <w:rPr>
                <w:rFonts w:eastAsia="MS Mincho" w:cs="Arial"/>
                <w:sz w:val="14"/>
                <w:szCs w:val="18"/>
                <w:lang w:eastAsia="en-US"/>
              </w:rPr>
              <w:t>V souladu s právními předpisy upravujícími poskytování investičních služeb jsou všechny klientské telefonické hovory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jí k tomu opravňují právní předpisy. Záznamy komunikace jsou pořizovány a uchovávány i tehdy, pokud k uzavření obchodu nebo poskytnutí investiční služby nedošlo.</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3.5</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425"/>
              </w:tabs>
              <w:overflowPunct/>
              <w:autoSpaceDE/>
              <w:autoSpaceDN/>
              <w:adjustRightInd/>
              <w:spacing w:before="40" w:after="40"/>
              <w:textAlignment w:val="auto"/>
              <w:rPr>
                <w:rFonts w:eastAsia="MS Mincho" w:cs="Arial"/>
                <w:b/>
                <w:sz w:val="14"/>
                <w:szCs w:val="18"/>
                <w:lang w:eastAsia="en-US"/>
              </w:rPr>
            </w:pPr>
            <w:r w:rsidRPr="005F43B9">
              <w:rPr>
                <w:rFonts w:eastAsia="MS Mincho" w:cs="Arial"/>
                <w:sz w:val="14"/>
                <w:szCs w:val="18"/>
                <w:lang w:eastAsia="en-US"/>
              </w:rPr>
              <w:t>Klient se zavazuje přijmout taková opatření a počínat si tak, aby se nedopustil sám nebo prostřednictvím jiné osoby jednání, které by mohlo být vnímáno jako přijetí úplatku, podplácení či nepřímé úplatkářství dle příslušného právního předpisu.</w:t>
            </w:r>
            <w:r w:rsidRPr="005F43B9">
              <w:rPr>
                <w:rFonts w:eastAsia="MS Mincho" w:cs="Arial"/>
                <w:sz w:val="14"/>
                <w:szCs w:val="18"/>
                <w:vertAlign w:val="superscript"/>
                <w:lang w:eastAsia="en-US"/>
              </w:rPr>
              <w:footnoteReference w:id="4"/>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eastAsia="MS Mincho" w:cs="Arial"/>
                <w:b/>
                <w:bCs/>
                <w:color w:val="FFFFFF"/>
                <w:sz w:val="14"/>
                <w:lang w:eastAsia="en-US"/>
              </w:rPr>
            </w:pPr>
            <w:r w:rsidRPr="005F43B9">
              <w:rPr>
                <w:rFonts w:cs="Arial"/>
                <w:b/>
                <w:bCs/>
                <w:color w:val="FFFFFF"/>
                <w:szCs w:val="18"/>
                <w:lang w:eastAsia="en-US"/>
              </w:rPr>
              <w:t>Článek 4. Informační povinnost</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4.1</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425"/>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Informační povinnost Banky.</w:t>
            </w:r>
            <w:r w:rsidRPr="005F43B9">
              <w:rPr>
                <w:rFonts w:eastAsia="MS Mincho" w:cs="Arial"/>
                <w:sz w:val="14"/>
                <w:szCs w:val="18"/>
                <w:lang w:eastAsia="en-US"/>
              </w:rPr>
              <w:t xml:space="preserve"> VOP, Produktové podmínky, Oznámení, Sazebník a kurzovní lístek Banka uveřejňuje v obchodních místech a na internetových stránkách Banky.</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4.2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Informační povinnost Klienta.</w:t>
            </w:r>
            <w:r w:rsidRPr="005F43B9">
              <w:rPr>
                <w:rFonts w:eastAsia="MS Mincho" w:cs="Arial"/>
                <w:sz w:val="14"/>
                <w:szCs w:val="18"/>
                <w:lang w:eastAsia="en-US"/>
              </w:rPr>
              <w:t xml:space="preserve"> V zájmu zabezpečení řádného poskytování Bankovních služeb je Klient povinen Banku bez zbytečného odkladu informovat o:</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a)</w:t>
            </w:r>
            <w:r w:rsidRPr="005F43B9">
              <w:rPr>
                <w:rFonts w:eastAsia="MS Mincho" w:cs="Arial"/>
                <w:sz w:val="14"/>
                <w:szCs w:val="18"/>
                <w:lang w:eastAsia="en-US"/>
              </w:rPr>
              <w:tab/>
              <w:t xml:space="preserve">změně svých identifikačních údajů, jakož i údajů osob jednajících jeho jménem nebo za něj a Skutečného majitele, </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b)</w:t>
            </w:r>
            <w:r w:rsidRPr="005F43B9">
              <w:rPr>
                <w:rFonts w:eastAsia="MS Mincho" w:cs="Arial"/>
                <w:sz w:val="14"/>
                <w:szCs w:val="18"/>
                <w:lang w:eastAsia="en-US"/>
              </w:rPr>
              <w:tab/>
              <w:t>jakékoli skutečnosti, která z Klienta může činit Osobu se zvláštním vztahem k Bance,</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c)</w:t>
            </w:r>
            <w:r w:rsidRPr="005F43B9">
              <w:rPr>
                <w:rFonts w:eastAsia="MS Mincho" w:cs="Arial"/>
                <w:sz w:val="14"/>
                <w:szCs w:val="18"/>
                <w:lang w:eastAsia="en-US"/>
              </w:rPr>
              <w:tab/>
              <w:t xml:space="preserve">změně skutečností určujících status Politicky exponované osoby, U.S. osoby nebo zemi daňové rezidence, </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lastRenderedPageBreak/>
              <w:t>d)</w:t>
            </w:r>
            <w:r w:rsidRPr="005F43B9">
              <w:rPr>
                <w:rFonts w:eastAsia="MS Mincho" w:cs="Arial"/>
                <w:sz w:val="14"/>
                <w:szCs w:val="18"/>
                <w:lang w:eastAsia="en-US"/>
              </w:rPr>
              <w:tab/>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jménem nebo za Klienta nebo na Skutečného majitele,</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e)</w:t>
            </w:r>
            <w:r w:rsidRPr="005F43B9">
              <w:rPr>
                <w:rFonts w:eastAsia="MS Mincho" w:cs="Arial"/>
                <w:sz w:val="14"/>
                <w:szCs w:val="18"/>
                <w:lang w:eastAsia="en-US"/>
              </w:rPr>
              <w:tab/>
              <w:t>ztrátě dokumentů zásadního významu v souvislosti s poskytováním Bankovních služeb, jakož i dokladů identifikujících Klienta nebo osoby jednající jménem nebo za Klienta.</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lastRenderedPageBreak/>
              <w:t>4.3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4.4</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425"/>
              </w:tabs>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V případě, že se Klient v souvislosti s využíváním Bankovních služeb účastní přeshraničního uspořádání, které podléhá oznamovací povinnosti na základě příslušné regulace týkající se daní</w:t>
            </w:r>
            <w:r w:rsidRPr="005F43B9">
              <w:rPr>
                <w:rFonts w:eastAsia="MS Mincho" w:cs="Arial"/>
                <w:sz w:val="14"/>
                <w:szCs w:val="18"/>
                <w:vertAlign w:val="superscript"/>
                <w:lang w:eastAsia="en-US"/>
              </w:rPr>
              <w:footnoteReference w:id="5"/>
            </w:r>
            <w:r w:rsidRPr="005F43B9">
              <w:rPr>
                <w:rFonts w:eastAsia="MS Mincho" w:cs="Arial"/>
                <w:sz w:val="14"/>
                <w:szCs w:val="18"/>
                <w:lang w:eastAsia="en-US"/>
              </w:rPr>
              <w:t>, je povinen o této skutečnosti Banku bez odkladu informovat.</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4.5</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425"/>
              </w:tabs>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 xml:space="preserve">Pravost a správnost předkládaných dokumentů. </w:t>
            </w:r>
            <w:r w:rsidRPr="005F43B9">
              <w:rPr>
                <w:rFonts w:eastAsia="MS Mincho" w:cs="Arial"/>
                <w:sz w:val="14"/>
                <w:szCs w:val="18"/>
                <w:lang w:eastAsia="en-US"/>
              </w:rPr>
              <w:t>Banka jedná v důvěře v pravost a pravdivost předložených dokladů, dokumentů a poskytnutých informací, přičemž není povinna je přijmout, má-li o nich odůvodněné pochybnosti.</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eastAsia="MS Mincho" w:cs="Arial"/>
                <w:b/>
                <w:bCs/>
                <w:color w:val="FFFFFF"/>
                <w:sz w:val="14"/>
                <w:lang w:eastAsia="en-US"/>
              </w:rPr>
            </w:pPr>
            <w:r w:rsidRPr="005F43B9">
              <w:rPr>
                <w:rFonts w:cs="Arial"/>
                <w:b/>
                <w:bCs/>
                <w:color w:val="FFFFFF"/>
                <w:szCs w:val="18"/>
                <w:lang w:eastAsia="en-US"/>
              </w:rPr>
              <w:t>Článek 5. Jednání klienta a banky</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5.1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Způsob jednání Klienta.</w:t>
            </w:r>
            <w:r w:rsidRPr="005F43B9">
              <w:rPr>
                <w:rFonts w:eastAsia="MS Mincho" w:cs="Arial"/>
                <w:sz w:val="14"/>
                <w:szCs w:val="18"/>
                <w:lang w:eastAsia="en-US"/>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5.2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5.3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Náležitosti plné moci.</w:t>
            </w:r>
            <w:r w:rsidRPr="005F43B9">
              <w:rPr>
                <w:rFonts w:eastAsia="MS Mincho" w:cs="Arial"/>
                <w:sz w:val="14"/>
                <w:szCs w:val="18"/>
                <w:lang w:eastAsia="en-US"/>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r w:rsidRPr="005F43B9">
              <w:rPr>
                <w:rFonts w:eastAsia="MS Mincho"/>
                <w:color w:val="FF0000"/>
                <w:sz w:val="20"/>
                <w:lang w:eastAsia="en-US"/>
              </w:rPr>
              <w:t xml:space="preserve"> </w:t>
            </w:r>
            <w:r w:rsidRPr="005F43B9">
              <w:rPr>
                <w:rFonts w:eastAsia="MS Mincho" w:cs="Arial"/>
                <w:sz w:val="14"/>
                <w:szCs w:val="18"/>
                <w:lang w:eastAsia="en-US"/>
              </w:rPr>
              <w:t>nebo jiným Bankou akceptovatelným způsobem.</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5.4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Způsob jednání Banky.</w:t>
            </w:r>
            <w:r w:rsidRPr="005F43B9">
              <w:rPr>
                <w:rFonts w:eastAsia="MS Mincho" w:cs="Arial"/>
                <w:sz w:val="14"/>
                <w:szCs w:val="18"/>
                <w:lang w:eastAsia="en-US"/>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5.5</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Ověření podpisu.</w:t>
            </w:r>
            <w:r w:rsidRPr="005F43B9">
              <w:rPr>
                <w:rFonts w:eastAsia="MS Mincho" w:cs="Arial"/>
                <w:sz w:val="14"/>
                <w:szCs w:val="18"/>
                <w:lang w:eastAsia="en-US"/>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5.6</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Nezpůsobilost právně jednat.</w:t>
            </w:r>
            <w:r w:rsidRPr="005F43B9">
              <w:rPr>
                <w:rFonts w:eastAsia="MS Mincho" w:cs="Arial"/>
                <w:sz w:val="14"/>
                <w:szCs w:val="18"/>
                <w:lang w:eastAsia="en-US"/>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5.7</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5.8</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6. Vzájemná komunikace</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6.1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Způsoby komunikace.</w:t>
            </w:r>
            <w:r w:rsidRPr="005F43B9">
              <w:rPr>
                <w:rFonts w:eastAsia="MS Mincho" w:cs="Arial"/>
                <w:sz w:val="14"/>
                <w:szCs w:val="18"/>
                <w:lang w:eastAsia="en-US"/>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6.2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Jazyk komunikace.</w:t>
            </w:r>
            <w:r w:rsidRPr="005F43B9">
              <w:rPr>
                <w:rFonts w:eastAsia="MS Mincho" w:cs="Arial"/>
                <w:sz w:val="14"/>
                <w:szCs w:val="18"/>
                <w:lang w:eastAsia="en-US"/>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6.3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Místo komunikace.</w:t>
            </w:r>
            <w:r w:rsidRPr="005F43B9">
              <w:rPr>
                <w:rFonts w:eastAsia="MS Mincho" w:cs="Arial"/>
                <w:sz w:val="14"/>
                <w:szCs w:val="18"/>
                <w:lang w:eastAsia="en-US"/>
              </w:rPr>
              <w:t xml:space="preserve"> Vzájemná komunikace mezi Klientem a Bankou probíhá prostřednictvím Klientova obchodního místa, nebude-li Bankou stanoveno nebo s Klientem dohodnuto jinak. Tímto způsobem Klient plní také svou informační povinnost.</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7. Příkazy a žádosti klienta</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7.1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Cs w:val="18"/>
                <w:lang w:eastAsia="en-US"/>
              </w:rPr>
            </w:pPr>
            <w:r w:rsidRPr="005F43B9">
              <w:rPr>
                <w:rFonts w:eastAsia="MS Mincho" w:cs="Arial"/>
                <w:b/>
                <w:sz w:val="14"/>
                <w:szCs w:val="18"/>
                <w:lang w:eastAsia="en-US"/>
              </w:rPr>
              <w:t>Podmínky provedení příkazů a žádostí.</w:t>
            </w:r>
            <w:r w:rsidRPr="005F43B9">
              <w:rPr>
                <w:rFonts w:eastAsia="MS Mincho" w:cs="Arial"/>
                <w:sz w:val="14"/>
                <w:szCs w:val="18"/>
                <w:lang w:eastAsia="en-US"/>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5F43B9" w:rsidDel="00A8099C">
              <w:rPr>
                <w:rFonts w:eastAsia="MS Mincho" w:cs="Arial"/>
                <w:sz w:val="14"/>
                <w:szCs w:val="18"/>
                <w:lang w:eastAsia="en-US"/>
              </w:rPr>
              <w:t xml:space="preserve"> </w:t>
            </w:r>
            <w:r w:rsidRPr="005F43B9">
              <w:rPr>
                <w:rFonts w:eastAsia="MS Mincho" w:cs="Arial"/>
                <w:sz w:val="14"/>
                <w:szCs w:val="18"/>
                <w:lang w:eastAsia="en-US"/>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5F43B9">
              <w:rPr>
                <w:rFonts w:eastAsia="MS Mincho" w:cs="Arial"/>
                <w:szCs w:val="18"/>
                <w:lang w:eastAsia="en-US"/>
              </w:rPr>
              <w:t xml:space="preserve">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7.2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rPr>
              <w:t xml:space="preserve">Identifikace a prokázání totožnosti. </w:t>
            </w:r>
            <w:r w:rsidRPr="005F43B9">
              <w:rPr>
                <w:rFonts w:eastAsia="MS Mincho" w:cs="Arial"/>
                <w:sz w:val="14"/>
                <w:szCs w:val="18"/>
              </w:rPr>
              <w:t>Banka je ve smyslu příslušných právních předpisů</w:t>
            </w:r>
            <w:r w:rsidRPr="005F43B9">
              <w:rPr>
                <w:rFonts w:eastAsia="MS Mincho" w:cs="Arial"/>
                <w:sz w:val="14"/>
                <w:szCs w:val="18"/>
                <w:vertAlign w:val="superscript"/>
              </w:rPr>
              <w:footnoteReference w:id="6"/>
            </w:r>
            <w:r w:rsidRPr="005F43B9">
              <w:rPr>
                <w:rFonts w:eastAsia="MS Mincho" w:cs="Arial"/>
                <w:sz w:val="14"/>
                <w:szCs w:val="18"/>
              </w:rPr>
              <w:t xml:space="preserve"> oprávněna provést identifikaci každé osoby předkládající příkaz nebo žádost či skládající nebo vybírající hotovost bez ohledu na výši transakce.</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lastRenderedPageBreak/>
              <w:t>7.3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Změna a zrušení příkazu.</w:t>
            </w:r>
            <w:r w:rsidRPr="005F43B9">
              <w:rPr>
                <w:rFonts w:eastAsia="MS Mincho" w:cs="Arial"/>
                <w:sz w:val="14"/>
                <w:szCs w:val="18"/>
                <w:lang w:eastAsia="en-US"/>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7.4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b/>
                <w:sz w:val="14"/>
                <w:szCs w:val="18"/>
                <w:lang w:eastAsia="en-US"/>
              </w:rPr>
            </w:pPr>
            <w:r w:rsidRPr="005F43B9">
              <w:rPr>
                <w:rFonts w:eastAsia="MS Mincho" w:cs="Arial"/>
                <w:b/>
                <w:sz w:val="14"/>
                <w:szCs w:val="14"/>
                <w:lang w:eastAsia="en-US"/>
              </w:rPr>
              <w:t>Embarga a sankce</w:t>
            </w:r>
            <w:r w:rsidRPr="005F43B9">
              <w:rPr>
                <w:rFonts w:eastAsia="MS Mincho" w:cs="Arial"/>
                <w:sz w:val="14"/>
                <w:szCs w:val="14"/>
                <w:lang w:eastAsia="en-US"/>
              </w:rPr>
              <w:t xml:space="preserve">. Klient ke dni uzavření Smlouvy a k okamžiku poskytnutí Bankovní služby prohlašuje, že není </w:t>
            </w:r>
            <w:r w:rsidRPr="005F43B9">
              <w:rPr>
                <w:rFonts w:eastAsia="MS Mincho" w:cs="Arial"/>
                <w:color w:val="000000"/>
                <w:sz w:val="14"/>
                <w:szCs w:val="14"/>
                <w:lang w:eastAsia="en-US"/>
              </w:rPr>
              <w:t xml:space="preserve">Sankcionovanou osobou 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5F43B9">
              <w:rPr>
                <w:rFonts w:eastAsia="MS Mincho" w:cs="Arial"/>
                <w:color w:val="222A35"/>
                <w:sz w:val="14"/>
                <w:szCs w:val="14"/>
                <w:lang w:eastAsia="en-US"/>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vypovědět Smlouvu nebo od ní odstoupit a v případě obchodů na finančních trzích je Banka oprávněna provést závěrečné vyrovnání (close-out netting) podle příslušné Smlouvy (tyto skutečnosti se považují za případ porušení dle příslušné Smlouvy). 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8. Doručování zásilek</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8.1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Doručování Klientovi.</w:t>
            </w:r>
            <w:r w:rsidRPr="005F43B9">
              <w:rPr>
                <w:rFonts w:eastAsia="MS Mincho" w:cs="Arial"/>
                <w:sz w:val="14"/>
                <w:szCs w:val="18"/>
                <w:lang w:eastAsia="en-US"/>
              </w:rPr>
              <w:t xml:space="preserve"> Doručování Zásilek provádí Banka buď na Kontaktní adresu, do příslušné schránky internetového bankovnictví, které si Klient zřídil, nebo jinam dle vzájemné dohody, např. na e-mailovou adresu. Pokud se Klient s Bankou nedohodne jinak, považuje se za Kontaktní adresu u Klienta spotřebitele adresa jeho trvalého pobytu a u ostatních Klientů adresa jejich sídla.</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8.2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8.3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Doručování Bance.</w:t>
            </w:r>
            <w:r w:rsidRPr="005F43B9">
              <w:rPr>
                <w:rFonts w:eastAsia="MS Mincho" w:cs="Arial"/>
                <w:sz w:val="14"/>
                <w:szCs w:val="18"/>
                <w:lang w:eastAsia="en-US"/>
              </w:rPr>
              <w:t xml:space="preserve"> Zásilky určené Bance musí být doručovány do Klientova obchodního místa, neoznámí-li Banka Klientovi jinou adresu nebo nebude-li sjednáno jinak.</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8.4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Způsob doručování.</w:t>
            </w:r>
            <w:r w:rsidRPr="005F43B9">
              <w:rPr>
                <w:rFonts w:eastAsia="MS Mincho" w:cs="Arial"/>
                <w:sz w:val="14"/>
                <w:szCs w:val="18"/>
                <w:lang w:eastAsia="en-US"/>
              </w:rPr>
              <w:t xml:space="preserve"> Zásilky je možné doručovat osobně, poštou, kurýrní službou, prostřednictvím služeb internetového bankovnictví nebo jiným dohodnutým způsobem, např. faxem či e-mailem. Banka se může s Klientem dohodnout na doručování Zásilek prostřednictvím Zmocněnce pro doručování. Smluvní dokumenty či jejich změny dle článku 31 VOP doručuje Banka Klientovi přednostně do příslušné schránky ve službě internetového bankovnictví, má-li Klient takovou službu zřízenu. Klient se může s Bankou dohodnout na doručování dokumentů dle předchozí věty přednostně prostřednictvím elektronické pošty (e-mailem).</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8.5</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Okamžik doručení.</w:t>
            </w:r>
            <w:r w:rsidRPr="005F43B9">
              <w:rPr>
                <w:rFonts w:eastAsia="MS Mincho" w:cs="Arial"/>
                <w:sz w:val="14"/>
                <w:szCs w:val="18"/>
                <w:lang w:eastAsia="en-US"/>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8.6</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Ostatní Zásilky Klientovi, které nejsou doručovány do vlastních rukou nebo s dodejkou, se považují za doručené 3. pracovní den po jejich odeslání na území České republiky či 15. pracovní den po jejich odeslání do zahraničí. To však neplatí v případě, pokud se Banka dozví o doručení Zásilky před uplynutím této doby.</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8.7</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8.8</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Zásilky doručované prostřednictvím služeb internetového bankovnictví se považují za doručené okamžikem jejich umístění v příslušné službě. Zásilky zaslané faxem se považují za doručené okamžikem potvrzení úspěšného odeslání generovaného přístrojem odesílatele. Zásilky zasílané prostřednictvím elektronické pošty se považují za doručené okamžikem, kdy příslušný systém použitý k přenosu Zásilky potvrdí její úspěšné doručení na e-mailový systém příjemce. Sítě elektronických komunikací (veřejné telefonní linky, linky mobilních sítí, e</w:t>
            </w:r>
            <w:r w:rsidRPr="005F43B9">
              <w:rPr>
                <w:rFonts w:eastAsia="MS Mincho" w:cs="Arial"/>
                <w:sz w:val="14"/>
                <w:szCs w:val="18"/>
                <w:lang w:eastAsia="en-US"/>
              </w:rPr>
              <w:noBreakHyphen/>
              <w:t>mail a fax) sloužící pro doručování Zásilek však nejsou pod přímou kontrolou Banky, která tak neodpovídá za škodu způsobenou Klientovi jejich případným zneužitím.</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8.9</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Postup Banky při vracení Zásilek.</w:t>
            </w:r>
            <w:r w:rsidRPr="005F43B9">
              <w:rPr>
                <w:rFonts w:eastAsia="MS Mincho" w:cs="Arial"/>
                <w:sz w:val="14"/>
                <w:szCs w:val="18"/>
                <w:lang w:eastAsia="en-US"/>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9. Vznik smluvního vztahu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9.1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 xml:space="preserve">Banka uzavírá s Klientem Smlouvy zpravidla ve svých obchodních místech. Smlouvu lze uzavřít též elektronicky či jinými technickými prostředky s využitím prostředků umožňujících určení jednající osoby (např. elektronický podpis) a zachycení obsahu Smlouvy. Není-li ve Smlouvě stanoveno jinak, je Smlouva uzavírána na dobu neurčitou.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9.2</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5F43B9">
              <w:rPr>
                <w:rFonts w:eastAsia="MS Mincho" w:cs="Arial"/>
                <w:sz w:val="14"/>
                <w:szCs w:val="18"/>
                <w:vertAlign w:val="superscript"/>
                <w:lang w:eastAsia="en-US"/>
              </w:rPr>
              <w:footnoteReference w:id="7"/>
            </w:r>
            <w:r w:rsidRPr="005F43B9">
              <w:rPr>
                <w:rFonts w:eastAsia="MS Mincho" w:cs="Arial"/>
                <w:sz w:val="14"/>
                <w:szCs w:val="18"/>
                <w:lang w:eastAsia="en-US"/>
              </w:rPr>
              <w:t xml:space="preserve"> na svůj smluvní vztah založený Smlouvou.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10. Zánik smluvního vztahu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10.1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 xml:space="preserve">Odstoupení Banky. </w:t>
            </w:r>
            <w:r w:rsidRPr="005F43B9">
              <w:rPr>
                <w:rFonts w:eastAsia="MS Mincho" w:cs="Arial"/>
                <w:sz w:val="14"/>
                <w:szCs w:val="18"/>
                <w:lang w:eastAsia="en-US"/>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10.2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Vzájemné vypořádání.</w:t>
            </w:r>
            <w:r w:rsidRPr="005F43B9">
              <w:rPr>
                <w:rFonts w:eastAsia="MS Mincho" w:cs="Arial"/>
                <w:sz w:val="14"/>
                <w:szCs w:val="18"/>
                <w:lang w:eastAsia="en-US"/>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w:t>
            </w:r>
            <w:r w:rsidRPr="005F43B9">
              <w:rPr>
                <w:rFonts w:eastAsia="MS Mincho" w:cs="Arial"/>
                <w:sz w:val="14"/>
                <w:szCs w:val="18"/>
                <w:lang w:eastAsia="en-US"/>
              </w:rPr>
              <w:lastRenderedPageBreak/>
              <w:t>předměty, které Banka či třetí osoba Klientovi předaly v souvislosti s poskytováním Bankovní služby. Odstoupením od Smlouvy se závazky Klienta a Banky ze Smlouvy ruší ke dni účinnosti odstoupení.</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lastRenderedPageBreak/>
              <w:t>10.3</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Promlčení.</w:t>
            </w:r>
            <w:r w:rsidRPr="005F43B9">
              <w:rPr>
                <w:rFonts w:eastAsia="MS Mincho" w:cs="Arial"/>
                <w:sz w:val="14"/>
                <w:szCs w:val="18"/>
                <w:lang w:eastAsia="en-US"/>
              </w:rPr>
              <w:t xml:space="preserve"> Klient souhlasí s tím, že neodporuje-li to v konkrétním případě právním předpisům, promlčují se veškerá práva a pohledávky Banky za Klientem ve lhůtě patnácti let, a tam, kde se pro daný právní vztah použije právní úprava platná před účinností občanského zákoníku</w:t>
            </w:r>
            <w:r w:rsidRPr="005F43B9">
              <w:rPr>
                <w:rFonts w:eastAsia="MS Mincho" w:cs="Arial"/>
                <w:sz w:val="14"/>
                <w:szCs w:val="18"/>
                <w:vertAlign w:val="superscript"/>
                <w:lang w:eastAsia="en-US"/>
              </w:rPr>
              <w:footnoteReference w:id="8"/>
            </w:r>
            <w:r w:rsidRPr="005F43B9">
              <w:rPr>
                <w:rFonts w:eastAsia="MS Mincho" w:cs="Arial"/>
                <w:sz w:val="14"/>
                <w:szCs w:val="18"/>
                <w:lang w:eastAsia="en-US"/>
              </w:rPr>
              <w:t xml:space="preserve">, ve lhůtě deseti let ode dne, kdy mohla být Bankou vykonána/uplatněna poprvé. </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11. Zřizování a vedení účtů</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11.1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 xml:space="preserve">Banka zřizuje a vede Účty na základě Smlouvy.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11.2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Identifikace Účtu.</w:t>
            </w:r>
            <w:r w:rsidRPr="005F43B9">
              <w:rPr>
                <w:rFonts w:eastAsia="MS Mincho" w:cs="Arial"/>
                <w:sz w:val="14"/>
                <w:szCs w:val="18"/>
                <w:lang w:eastAsia="en-US"/>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11.3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Minimální vklad a zůstatek.</w:t>
            </w:r>
            <w:r w:rsidRPr="005F43B9">
              <w:rPr>
                <w:rFonts w:eastAsia="MS Mincho" w:cs="Arial"/>
                <w:sz w:val="14"/>
                <w:szCs w:val="18"/>
                <w:lang w:eastAsia="en-US"/>
              </w:rPr>
              <w:t xml:space="preserve"> Pro některé typy účtů Banka stanoví v Oznámení výši minimálního vkladu a výši minimálního zůstatku, které je Klient povinen dodržovat.</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11.4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Způsob využití Účtu.</w:t>
            </w:r>
            <w:r w:rsidRPr="005F43B9">
              <w:rPr>
                <w:rFonts w:eastAsia="MS Mincho" w:cs="Arial"/>
                <w:sz w:val="14"/>
                <w:szCs w:val="18"/>
                <w:lang w:eastAsia="en-US"/>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11.5</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Balíček služeb.</w:t>
            </w:r>
            <w:r w:rsidRPr="005F43B9">
              <w:rPr>
                <w:rFonts w:eastAsia="MS Mincho" w:cs="Arial"/>
                <w:sz w:val="14"/>
                <w:szCs w:val="18"/>
                <w:lang w:eastAsia="en-US"/>
              </w:rPr>
              <w:t xml:space="preserve"> K vybraným typům Účtů poskytuje Banka balíček služeb, v rámci kterého nabízí produkty a služby uvedené v Sazebníku pro daný typ Účtu.</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11.6</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Oznámení o provádění platebního styku.</w:t>
            </w:r>
            <w:r w:rsidRPr="005F43B9">
              <w:rPr>
                <w:rFonts w:eastAsia="MS Mincho" w:cs="Arial"/>
                <w:sz w:val="14"/>
                <w:szCs w:val="18"/>
                <w:lang w:eastAsia="en-US"/>
              </w:rPr>
              <w:t xml:space="preserve"> Další podmínky a informace týkající se Účtů a provádění platebního styku, zejména služby zahraničního a 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12. Rušení účtů</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12.1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Důvody zániku smlouvy.</w:t>
            </w:r>
            <w:r w:rsidRPr="005F43B9">
              <w:rPr>
                <w:rFonts w:eastAsia="MS Mincho" w:cs="Arial"/>
                <w:sz w:val="14"/>
                <w:szCs w:val="18"/>
                <w:lang w:eastAsia="en-US"/>
              </w:rPr>
              <w:t xml:space="preserve"> Důvodem zániku smlouvy o Účtu je zejména výpověď Klienta dle článku 12.2 nebo Banky dle článku 18.3, odstoupení dle čl. 10.1 nebo Rozhodný den dle článku 12.5.</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12.2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Vypovězení smlouvy Klientem.</w:t>
            </w:r>
            <w:r w:rsidRPr="005F43B9">
              <w:rPr>
                <w:rFonts w:eastAsia="MS Mincho" w:cs="Arial"/>
                <w:sz w:val="14"/>
                <w:szCs w:val="18"/>
                <w:lang w:eastAsia="en-US"/>
              </w:rPr>
              <w:t xml:space="preserve"> Klient je oprávněn vypovědět smlouvu o Účtu s výpovědní dobou 10 kalendářních dnů nebo 30 kalendářních dnů, byla-li k Účtu poskytnuta debetní karta. Výpovědní doba počíná běžet dnem doručení výpovědi Bance. Vypovídá-li Klient smlouvu o Účtu postupem dle Kodexu ČBA „Mobilita klientů – postup při změně banky“, výpovědní doba počíná běžet ode dne uvedeného v žádosti o změnu banky.</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12.3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Vypořádání.</w:t>
            </w:r>
            <w:r w:rsidRPr="005F43B9">
              <w:rPr>
                <w:rFonts w:eastAsia="MS Mincho" w:cs="Arial"/>
                <w:sz w:val="14"/>
                <w:szCs w:val="18"/>
                <w:lang w:eastAsia="en-US"/>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12.4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12.5</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Důsledky úmrtí Klienta.</w:t>
            </w:r>
            <w:r w:rsidRPr="005F43B9">
              <w:rPr>
                <w:rFonts w:eastAsia="MS Mincho" w:cs="Arial"/>
                <w:sz w:val="14"/>
                <w:szCs w:val="18"/>
                <w:lang w:eastAsia="en-US"/>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13. Debet na účtu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13.1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Zřízení povoleného debetu.</w:t>
            </w:r>
            <w:r w:rsidRPr="005F43B9">
              <w:rPr>
                <w:rFonts w:eastAsia="MS Mincho" w:cs="Arial"/>
                <w:sz w:val="14"/>
                <w:szCs w:val="18"/>
                <w:lang w:eastAsia="en-US"/>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13.2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Důsledky nepovoleného debetu.</w:t>
            </w:r>
            <w:r w:rsidRPr="005F43B9">
              <w:rPr>
                <w:rFonts w:eastAsia="MS Mincho" w:cs="Arial"/>
                <w:sz w:val="14"/>
                <w:szCs w:val="18"/>
                <w:lang w:eastAsia="en-US"/>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13.3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val="x-none" w:eastAsia="en-US"/>
              </w:rPr>
            </w:pPr>
            <w:r w:rsidRPr="005F43B9">
              <w:rPr>
                <w:rFonts w:eastAsia="MS Mincho" w:cs="Arial"/>
                <w:b/>
                <w:sz w:val="14"/>
                <w:szCs w:val="18"/>
                <w:lang w:eastAsia="en-US"/>
              </w:rPr>
              <w:t>Úročení nepovoleného debetu.</w:t>
            </w:r>
            <w:r w:rsidRPr="005F43B9">
              <w:rPr>
                <w:rFonts w:eastAsia="MS Mincho" w:cs="Arial"/>
                <w:sz w:val="14"/>
                <w:szCs w:val="18"/>
                <w:lang w:eastAsia="en-US"/>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 příslušných Produktových podmínkách.</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13.4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13.5</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informuje Klienta o aktuální výši úrokové sazby, kterou se úročí nepovolený debet, a o aktuální výši úroků z prodlení, sankcích a poplatcích v souladu s právními předpisy a podle VOP.</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13.6</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Výrazný nepovolený debet.</w:t>
            </w:r>
            <w:r w:rsidRPr="005F43B9">
              <w:rPr>
                <w:rFonts w:eastAsia="MS Mincho" w:cs="Arial"/>
                <w:sz w:val="14"/>
                <w:szCs w:val="18"/>
                <w:lang w:eastAsia="en-US"/>
              </w:rPr>
              <w:t xml:space="preserve"> V případě, že dojde k výraznému nepovolenému debetu dle zákona o spotřebitelském úvěru</w:t>
            </w:r>
            <w:r w:rsidRPr="005F43B9">
              <w:rPr>
                <w:rFonts w:eastAsia="MS Mincho" w:cs="Arial"/>
                <w:sz w:val="14"/>
                <w:szCs w:val="14"/>
                <w:vertAlign w:val="superscript"/>
                <w:lang w:eastAsia="en-US"/>
              </w:rPr>
              <w:footnoteReference w:id="9"/>
            </w:r>
            <w:r w:rsidRPr="005F43B9">
              <w:rPr>
                <w:rFonts w:eastAsia="MS Mincho" w:cs="Arial"/>
                <w:sz w:val="14"/>
                <w:szCs w:val="18"/>
                <w:lang w:eastAsia="en-US"/>
              </w:rPr>
              <w:t xml:space="preserve">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14. Nakládání s prostředky na účtu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14.1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 xml:space="preserve">Nakládání s prostředky na Účtu Klientem. </w:t>
            </w:r>
            <w:r w:rsidRPr="005F43B9">
              <w:rPr>
                <w:rFonts w:eastAsia="MS Mincho" w:cs="Arial"/>
                <w:sz w:val="14"/>
                <w:szCs w:val="18"/>
                <w:lang w:eastAsia="en-US"/>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případně i jinou formu dispozičního oprávnění k účtu, pokud je jí nepochybně prokázáno, že daná osoba již není oprávněna za Klienta nebo jeho jménem jednat.</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14.2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14.3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Klient je oprávněn vybírat z nově zřízeného Účtu volné prostředky v hotovosti nebo je převádět bezhotovostním převodem nejdříve první Obchodní den následující po Obchodním dni, kdy Banka Účet zřídila.</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14.4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14.5</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je oprávněna omezit nakládání s prostředky na Účtu Klienta v souladu s právními předpisy. Právo na výplatu peněžních prostředků podle zvláštního právního předpisu</w:t>
            </w:r>
            <w:r w:rsidRPr="005F43B9">
              <w:rPr>
                <w:rFonts w:eastAsia="MS Mincho" w:cs="Arial"/>
                <w:sz w:val="14"/>
                <w:szCs w:val="18"/>
                <w:vertAlign w:val="superscript"/>
                <w:lang w:eastAsia="en-US"/>
              </w:rPr>
              <w:footnoteReference w:id="10"/>
            </w:r>
            <w:r w:rsidRPr="005F43B9">
              <w:rPr>
                <w:rFonts w:eastAsia="MS Mincho" w:cs="Arial"/>
                <w:sz w:val="14"/>
                <w:szCs w:val="18"/>
                <w:lang w:eastAsia="en-US"/>
              </w:rPr>
              <w:t xml:space="preserve"> z Účtu, ke kterému má Klient omezeno právo nakládat s peněžními prostředky, může uplatnit pouze Klient spotřebitel, a to osobně a v Klientově obchodním místě.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14.6</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Nakládání s prostředky na Účtu Bankou.</w:t>
            </w:r>
            <w:r w:rsidRPr="005F43B9">
              <w:rPr>
                <w:rFonts w:eastAsia="MS Mincho" w:cs="Arial"/>
                <w:sz w:val="14"/>
                <w:szCs w:val="18"/>
                <w:lang w:eastAsia="en-US"/>
              </w:rPr>
              <w:t xml:space="preserve"> Banka je oprávněna nakládat s prostředky na Účtu, stanoví-li tak právní předpis nebo Smlouva. Klient souhlasí s tím, že Banka má právo odepsat z jeho Účtu u Banky prostředky za účelem:</w:t>
            </w:r>
          </w:p>
          <w:p w:rsidR="005F43B9" w:rsidRPr="005F43B9" w:rsidRDefault="005F43B9" w:rsidP="005F43B9">
            <w:pPr>
              <w:overflowPunct/>
              <w:autoSpaceDE/>
              <w:autoSpaceDN/>
              <w:adjustRightInd/>
              <w:ind w:left="227" w:hanging="227"/>
              <w:jc w:val="left"/>
              <w:textAlignment w:val="auto"/>
              <w:rPr>
                <w:rFonts w:eastAsia="MS Mincho" w:cs="Arial"/>
                <w:sz w:val="14"/>
                <w:szCs w:val="18"/>
                <w:lang w:eastAsia="en-US"/>
              </w:rPr>
            </w:pPr>
            <w:r w:rsidRPr="005F43B9">
              <w:rPr>
                <w:rFonts w:eastAsia="MS Mincho" w:cs="Arial"/>
                <w:sz w:val="14"/>
                <w:szCs w:val="18"/>
                <w:lang w:eastAsia="en-US"/>
              </w:rPr>
              <w:t>a)</w:t>
            </w:r>
            <w:r w:rsidRPr="005F43B9">
              <w:rPr>
                <w:rFonts w:eastAsia="MS Mincho" w:cs="Arial"/>
                <w:sz w:val="14"/>
                <w:szCs w:val="18"/>
                <w:lang w:eastAsia="en-US"/>
              </w:rPr>
              <w:tab/>
              <w:t>úhrady splatných úroků;</w:t>
            </w:r>
          </w:p>
          <w:p w:rsidR="005F43B9" w:rsidRPr="005F43B9" w:rsidRDefault="005F43B9" w:rsidP="005F43B9">
            <w:pPr>
              <w:overflowPunct/>
              <w:autoSpaceDE/>
              <w:autoSpaceDN/>
              <w:adjustRightInd/>
              <w:ind w:left="227" w:hanging="227"/>
              <w:jc w:val="left"/>
              <w:textAlignment w:val="auto"/>
              <w:rPr>
                <w:rFonts w:eastAsia="MS Mincho" w:cs="Arial"/>
                <w:sz w:val="14"/>
                <w:szCs w:val="18"/>
                <w:lang w:eastAsia="en-US"/>
              </w:rPr>
            </w:pPr>
            <w:r w:rsidRPr="005F43B9">
              <w:rPr>
                <w:rFonts w:eastAsia="MS Mincho" w:cs="Arial"/>
                <w:sz w:val="14"/>
                <w:szCs w:val="18"/>
                <w:lang w:eastAsia="en-US"/>
              </w:rPr>
              <w:t>b)</w:t>
            </w:r>
            <w:r w:rsidRPr="005F43B9">
              <w:rPr>
                <w:rFonts w:eastAsia="MS Mincho" w:cs="Arial"/>
                <w:sz w:val="14"/>
                <w:szCs w:val="18"/>
                <w:lang w:eastAsia="en-US"/>
              </w:rPr>
              <w:tab/>
              <w:t>realizace opravného zúčtování v důsledku vlastního chybného zúčtování nebo chybného zúčtování jiné banky ve smyslu příslušných právních předpisů</w:t>
            </w:r>
            <w:r w:rsidRPr="005F43B9">
              <w:rPr>
                <w:rFonts w:eastAsia="MS Mincho" w:cs="Arial"/>
                <w:sz w:val="14"/>
                <w:szCs w:val="18"/>
                <w:vertAlign w:val="superscript"/>
                <w:lang w:eastAsia="en-US"/>
              </w:rPr>
              <w:footnoteReference w:id="11"/>
            </w:r>
            <w:r w:rsidRPr="005F43B9">
              <w:rPr>
                <w:rFonts w:eastAsia="MS Mincho" w:cs="Arial"/>
                <w:sz w:val="14"/>
                <w:szCs w:val="18"/>
                <w:lang w:eastAsia="en-US"/>
              </w:rPr>
              <w:t xml:space="preserve">; </w:t>
            </w:r>
          </w:p>
          <w:p w:rsidR="005F43B9" w:rsidRPr="005F43B9" w:rsidRDefault="005F43B9" w:rsidP="005F43B9">
            <w:pPr>
              <w:overflowPunct/>
              <w:autoSpaceDE/>
              <w:autoSpaceDN/>
              <w:adjustRightInd/>
              <w:ind w:left="227" w:hanging="227"/>
              <w:jc w:val="left"/>
              <w:textAlignment w:val="auto"/>
              <w:rPr>
                <w:rFonts w:eastAsia="MS Mincho" w:cs="Arial"/>
                <w:sz w:val="14"/>
                <w:szCs w:val="18"/>
                <w:lang w:eastAsia="en-US"/>
              </w:rPr>
            </w:pPr>
            <w:r w:rsidRPr="005F43B9">
              <w:rPr>
                <w:rFonts w:eastAsia="MS Mincho" w:cs="Arial"/>
                <w:sz w:val="14"/>
                <w:szCs w:val="18"/>
                <w:lang w:eastAsia="en-US"/>
              </w:rPr>
              <w:t>c)</w:t>
            </w:r>
            <w:r w:rsidRPr="005F43B9">
              <w:rPr>
                <w:rFonts w:eastAsia="MS Mincho" w:cs="Arial"/>
                <w:sz w:val="14"/>
                <w:szCs w:val="18"/>
                <w:lang w:eastAsia="en-US"/>
              </w:rPr>
              <w:tab/>
              <w:t>úhrady v zákonem stanovených případech;</w:t>
            </w:r>
          </w:p>
          <w:p w:rsidR="005F43B9" w:rsidRPr="005F43B9" w:rsidRDefault="005F43B9" w:rsidP="005F43B9">
            <w:pPr>
              <w:overflowPunct/>
              <w:autoSpaceDE/>
              <w:autoSpaceDN/>
              <w:adjustRightInd/>
              <w:ind w:left="227" w:hanging="227"/>
              <w:jc w:val="left"/>
              <w:textAlignment w:val="auto"/>
              <w:rPr>
                <w:rFonts w:eastAsia="MS Mincho" w:cs="Arial"/>
                <w:sz w:val="14"/>
                <w:szCs w:val="18"/>
                <w:lang w:eastAsia="en-US"/>
              </w:rPr>
            </w:pPr>
            <w:r w:rsidRPr="005F43B9">
              <w:rPr>
                <w:rFonts w:eastAsia="MS Mincho" w:cs="Arial"/>
                <w:sz w:val="14"/>
                <w:szCs w:val="18"/>
                <w:lang w:eastAsia="en-US"/>
              </w:rPr>
              <w:t>d)</w:t>
            </w:r>
            <w:r w:rsidRPr="005F43B9">
              <w:rPr>
                <w:rFonts w:eastAsia="MS Mincho" w:cs="Arial"/>
                <w:sz w:val="14"/>
                <w:szCs w:val="18"/>
                <w:lang w:eastAsia="en-US"/>
              </w:rPr>
              <w:tab/>
              <w:t xml:space="preserve">úhrady všech cen, poplatků a výloh v souvislosti s poskytováním Bankovních služeb, včetně poplatků jiných bank a osob zúčastněných na operacích platebního styku; </w:t>
            </w:r>
          </w:p>
          <w:p w:rsidR="005F43B9" w:rsidRPr="005F43B9" w:rsidRDefault="005F43B9" w:rsidP="005F43B9">
            <w:pPr>
              <w:overflowPunct/>
              <w:autoSpaceDE/>
              <w:autoSpaceDN/>
              <w:adjustRightInd/>
              <w:ind w:left="227" w:hanging="227"/>
              <w:jc w:val="left"/>
              <w:textAlignment w:val="auto"/>
              <w:rPr>
                <w:rFonts w:eastAsia="MS Mincho" w:cs="Arial"/>
                <w:sz w:val="14"/>
                <w:szCs w:val="18"/>
                <w:lang w:eastAsia="en-US"/>
              </w:rPr>
            </w:pPr>
            <w:r w:rsidRPr="005F43B9">
              <w:rPr>
                <w:rFonts w:eastAsia="MS Mincho" w:cs="Arial"/>
                <w:sz w:val="14"/>
                <w:szCs w:val="18"/>
                <w:lang w:eastAsia="en-US"/>
              </w:rPr>
              <w:t>e)</w:t>
            </w:r>
            <w:r w:rsidRPr="005F43B9">
              <w:rPr>
                <w:rFonts w:eastAsia="MS Mincho" w:cs="Arial"/>
                <w:sz w:val="14"/>
                <w:szCs w:val="18"/>
                <w:lang w:eastAsia="en-US"/>
              </w:rPr>
              <w:tab/>
              <w:t>úhrady částky šeku nebo peněžní poukázky již proplacených Bankou v případě jejich následného neproplacení šekovníkem nebo inkasní bankou;</w:t>
            </w:r>
          </w:p>
          <w:p w:rsidR="005F43B9" w:rsidRPr="005F43B9" w:rsidRDefault="005F43B9" w:rsidP="005F43B9">
            <w:pPr>
              <w:overflowPunct/>
              <w:autoSpaceDE/>
              <w:autoSpaceDN/>
              <w:adjustRightInd/>
              <w:ind w:left="227" w:hanging="227"/>
              <w:jc w:val="left"/>
              <w:textAlignment w:val="auto"/>
              <w:rPr>
                <w:rFonts w:eastAsia="MS Mincho" w:cs="Arial"/>
                <w:sz w:val="14"/>
                <w:szCs w:val="18"/>
                <w:lang w:eastAsia="en-US"/>
              </w:rPr>
            </w:pPr>
            <w:r w:rsidRPr="005F43B9">
              <w:rPr>
                <w:rFonts w:eastAsia="MS Mincho" w:cs="Arial"/>
                <w:sz w:val="14"/>
                <w:szCs w:val="18"/>
                <w:lang w:eastAsia="en-US"/>
              </w:rPr>
              <w:t>f)</w:t>
            </w:r>
            <w:r w:rsidRPr="005F43B9">
              <w:rPr>
                <w:rFonts w:eastAsia="MS Mincho" w:cs="Arial"/>
                <w:sz w:val="14"/>
                <w:szCs w:val="18"/>
                <w:lang w:eastAsia="en-US"/>
              </w:rPr>
              <w:tab/>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5F43B9" w:rsidRPr="005F43B9" w:rsidRDefault="005F43B9" w:rsidP="005F43B9">
            <w:pPr>
              <w:overflowPunct/>
              <w:autoSpaceDE/>
              <w:autoSpaceDN/>
              <w:adjustRightInd/>
              <w:ind w:left="227" w:hanging="227"/>
              <w:jc w:val="left"/>
              <w:textAlignment w:val="auto"/>
              <w:rPr>
                <w:rFonts w:eastAsia="MS Mincho" w:cs="Arial"/>
                <w:sz w:val="14"/>
                <w:szCs w:val="18"/>
                <w:lang w:eastAsia="en-US"/>
              </w:rPr>
            </w:pPr>
            <w:r w:rsidRPr="005F43B9">
              <w:rPr>
                <w:rFonts w:eastAsia="MS Mincho" w:cs="Arial"/>
                <w:sz w:val="14"/>
                <w:szCs w:val="18"/>
                <w:lang w:eastAsia="en-US"/>
              </w:rPr>
              <w:t>g)</w:t>
            </w:r>
            <w:r w:rsidRPr="005F43B9">
              <w:rPr>
                <w:rFonts w:eastAsia="MS Mincho" w:cs="Arial"/>
                <w:sz w:val="14"/>
                <w:szCs w:val="18"/>
                <w:lang w:eastAsia="en-US"/>
              </w:rPr>
              <w:tab/>
              <w:t xml:space="preserve">úhrady připsané platby ze zahraničí, pokud odesílající bankou nebylo zajištěno krytí/převedení prostředků ve prospěch Banky; </w:t>
            </w:r>
          </w:p>
          <w:p w:rsidR="005F43B9" w:rsidRPr="005F43B9" w:rsidRDefault="005F43B9" w:rsidP="005F43B9">
            <w:pPr>
              <w:overflowPunct/>
              <w:autoSpaceDE/>
              <w:autoSpaceDN/>
              <w:adjustRightInd/>
              <w:ind w:left="227" w:hanging="227"/>
              <w:jc w:val="left"/>
              <w:textAlignment w:val="auto"/>
              <w:rPr>
                <w:rFonts w:eastAsia="MS Mincho" w:cs="Arial"/>
                <w:sz w:val="14"/>
                <w:szCs w:val="18"/>
                <w:lang w:eastAsia="en-US"/>
              </w:rPr>
            </w:pPr>
            <w:r w:rsidRPr="005F43B9">
              <w:rPr>
                <w:rFonts w:eastAsia="MS Mincho" w:cs="Arial"/>
                <w:sz w:val="14"/>
                <w:szCs w:val="18"/>
                <w:lang w:eastAsia="en-US"/>
              </w:rPr>
              <w:t>h)</w:t>
            </w:r>
            <w:r w:rsidRPr="005F43B9">
              <w:rPr>
                <w:rFonts w:eastAsia="MS Mincho" w:cs="Arial"/>
                <w:sz w:val="14"/>
                <w:szCs w:val="18"/>
                <w:lang w:eastAsia="en-US"/>
              </w:rPr>
              <w:tab/>
              <w:t>vrácení důchodů a jiných zákonem stanovených dávek (pouze však do výše kreditního zůstatku na Účtu), pokud na jejich vyplacení příjemci platby zanikl nárok a plátce o vrácení takto bezdůvodně poukázané platby výslovně požádal;</w:t>
            </w:r>
          </w:p>
          <w:p w:rsidR="005F43B9" w:rsidRPr="005F43B9" w:rsidRDefault="005F43B9" w:rsidP="005F43B9">
            <w:pPr>
              <w:overflowPunct/>
              <w:autoSpaceDE/>
              <w:autoSpaceDN/>
              <w:adjustRightInd/>
              <w:ind w:left="227" w:hanging="227"/>
              <w:jc w:val="left"/>
              <w:textAlignment w:val="auto"/>
              <w:rPr>
                <w:rFonts w:eastAsia="MS Mincho" w:cs="Arial"/>
                <w:sz w:val="14"/>
                <w:szCs w:val="18"/>
                <w:lang w:eastAsia="en-US"/>
              </w:rPr>
            </w:pPr>
            <w:r w:rsidRPr="005F43B9">
              <w:rPr>
                <w:rFonts w:eastAsia="MS Mincho" w:cs="Arial"/>
                <w:sz w:val="14"/>
                <w:szCs w:val="18"/>
                <w:lang w:eastAsia="en-US"/>
              </w:rPr>
              <w:t>i)</w:t>
            </w:r>
            <w:r w:rsidRPr="005F43B9">
              <w:rPr>
                <w:rFonts w:eastAsia="MS Mincho" w:cs="Arial"/>
                <w:sz w:val="14"/>
                <w:szCs w:val="18"/>
                <w:lang w:eastAsia="en-US"/>
              </w:rPr>
              <w:tab/>
              <w:t>vrácení částky inkasa připsané na Účet Klienta, kterou plátce požaduje vrátit v souladu se zákonem o platebním styku</w:t>
            </w:r>
            <w:r w:rsidRPr="005F43B9">
              <w:rPr>
                <w:rFonts w:eastAsia="MS Mincho" w:cs="Arial"/>
                <w:sz w:val="14"/>
                <w:szCs w:val="18"/>
                <w:vertAlign w:val="superscript"/>
                <w:lang w:eastAsia="en-US"/>
              </w:rPr>
              <w:footnoteReference w:id="12"/>
            </w:r>
            <w:r w:rsidRPr="005F43B9">
              <w:rPr>
                <w:rFonts w:eastAsia="MS Mincho" w:cs="Arial"/>
                <w:sz w:val="14"/>
                <w:szCs w:val="18"/>
                <w:lang w:eastAsia="en-US"/>
              </w:rPr>
              <w:t xml:space="preserve">; </w:t>
            </w:r>
          </w:p>
          <w:p w:rsidR="005F43B9" w:rsidRPr="005F43B9" w:rsidRDefault="005F43B9" w:rsidP="005F43B9">
            <w:pPr>
              <w:overflowPunct/>
              <w:autoSpaceDE/>
              <w:autoSpaceDN/>
              <w:adjustRightInd/>
              <w:ind w:left="227" w:hanging="227"/>
              <w:jc w:val="left"/>
              <w:textAlignment w:val="auto"/>
              <w:rPr>
                <w:rFonts w:eastAsia="MS Mincho" w:cs="Arial"/>
                <w:sz w:val="14"/>
                <w:szCs w:val="14"/>
                <w:lang w:eastAsia="en-US"/>
              </w:rPr>
            </w:pPr>
            <w:r w:rsidRPr="005F43B9">
              <w:rPr>
                <w:rFonts w:eastAsia="MS Mincho" w:cs="Arial"/>
                <w:sz w:val="14"/>
                <w:szCs w:val="14"/>
                <w:lang w:eastAsia="en-US"/>
              </w:rPr>
              <w:t>j)</w:t>
            </w:r>
            <w:r w:rsidRPr="005F43B9">
              <w:rPr>
                <w:rFonts w:eastAsia="MS Mincho" w:cs="Arial"/>
                <w:sz w:val="14"/>
                <w:szCs w:val="14"/>
                <w:lang w:eastAsia="en-US"/>
              </w:rPr>
              <w:tab/>
            </w:r>
            <w:r w:rsidRPr="005F43B9">
              <w:rPr>
                <w:rFonts w:eastAsia="MS Mincho" w:cs="Arial"/>
                <w:sz w:val="14"/>
                <w:szCs w:val="18"/>
                <w:lang w:eastAsia="en-US"/>
              </w:rPr>
              <w:t xml:space="preserve">vrácení připsané platby, </w:t>
            </w:r>
            <w:r w:rsidRPr="005F43B9">
              <w:rPr>
                <w:rFonts w:eastAsia="MS Mincho" w:cs="Arial"/>
                <w:sz w:val="14"/>
                <w:szCs w:val="14"/>
                <w:lang w:eastAsia="en-US"/>
              </w:rPr>
              <w:t>pokud číslo Účtu příjemce nebo plátce je uvedeno na seznamu nepovolených internetových her v souladu s požadavky zákona o hazardních hrách</w:t>
            </w:r>
            <w:r w:rsidRPr="005F43B9">
              <w:rPr>
                <w:rFonts w:eastAsia="MS Mincho"/>
                <w:sz w:val="14"/>
                <w:szCs w:val="14"/>
                <w:vertAlign w:val="superscript"/>
                <w:lang w:eastAsia="en-US"/>
              </w:rPr>
              <w:footnoteReference w:id="13"/>
            </w:r>
            <w:r w:rsidRPr="005F43B9">
              <w:rPr>
                <w:rFonts w:eastAsia="MS Mincho" w:cs="Arial"/>
                <w:sz w:val="14"/>
                <w:szCs w:val="14"/>
                <w:lang w:eastAsia="en-US"/>
              </w:rPr>
              <w:t xml:space="preserve"> nebo</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k)</w:t>
            </w:r>
            <w:r w:rsidRPr="005F43B9">
              <w:rPr>
                <w:rFonts w:eastAsia="MS Mincho" w:cs="Arial"/>
                <w:sz w:val="14"/>
                <w:szCs w:val="18"/>
                <w:lang w:eastAsia="en-US"/>
              </w:rPr>
              <w:tab/>
              <w:t>úhrady jakékoli jiné splatné pohledávky Banky za Klientem, a to i promlčené.</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14.7</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je oprávněna odepsat prostředky z Účtu Klienta i v případě, že na Účtu vznikne v důsledku takové operace debetní zůstatek.</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14.8</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15. Výpisy z účtu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15.1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Forma a způsob doručování.</w:t>
            </w:r>
            <w:r w:rsidRPr="005F43B9">
              <w:rPr>
                <w:rFonts w:eastAsia="MS Mincho" w:cs="Arial"/>
                <w:sz w:val="14"/>
                <w:szCs w:val="18"/>
                <w:lang w:eastAsia="en-US"/>
              </w:rPr>
              <w:t xml:space="preserve"> Banka informuje Klienta o zůstatku prostředků na Účtu a o provedených transakcích výpisem z účtu, a to 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internetového bankovnictví nebo e-mailem.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15.2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V případě, že při zasílání Elektronických výpisů prostřednictvím sjednané Bankovní služby (např. internetového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internetového bankovnictví, má-li ji Klient zřízenu, nebo v tištěné (papírové) podobě způsobem sjednaným pro doručování ostatních Zásilek. V obou případech zůstane sjednaná frekvence zasílání výpisů z účtu zachována.</w:t>
            </w:r>
            <w:r w:rsidRPr="005F43B9" w:rsidDel="00A23176">
              <w:rPr>
                <w:rFonts w:eastAsia="MS Mincho" w:cs="Arial"/>
                <w:sz w:val="14"/>
                <w:szCs w:val="18"/>
                <w:lang w:eastAsia="en-US"/>
              </w:rPr>
              <w:t xml:space="preserve"> </w:t>
            </w:r>
            <w:r w:rsidRPr="005F43B9">
              <w:rPr>
                <w:rFonts w:eastAsia="MS Mincho" w:cs="Arial"/>
                <w:sz w:val="14"/>
                <w:szCs w:val="18"/>
                <w:lang w:eastAsia="en-US"/>
              </w:rPr>
              <w:t>Ustanovení tohoto článku se uplatní též na oznámení Banky Klientovi o výši pohledávky ze Smlouvy, na základě níž Banka poskytla Klientovi úvěr.</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15.3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15.4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Kontrola výpisů z účtu.</w:t>
            </w:r>
            <w:r w:rsidRPr="005F43B9">
              <w:rPr>
                <w:rFonts w:eastAsia="MS Mincho" w:cs="Arial"/>
                <w:sz w:val="14"/>
                <w:szCs w:val="18"/>
                <w:lang w:eastAsia="en-US"/>
              </w:rPr>
              <w:t xml:space="preserve"> Klient je povinen bez zbytečného odkladu po doručení výpisu z účtu zkontrolovat, zda jsou zúčtované transakce autorizované a správně provedené. Pokud Klient, který není Kvalifikovaným klientem, neuplatní reklamaci ve lhůtě dle reklamačního řádu Banky, má se za to, že transakce byly zúčtovány správně.</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16. Úroky a zdanění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16.1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16.2</w:t>
            </w:r>
          </w:p>
        </w:tc>
        <w:tc>
          <w:tcPr>
            <w:tcW w:w="9009" w:type="dxa"/>
            <w:tcBorders>
              <w:left w:val="single" w:sz="6" w:space="0" w:color="C8C8C8"/>
            </w:tcBorders>
            <w:noWrap/>
            <w:tcMar>
              <w:left w:w="113" w:type="dxa"/>
              <w:right w:w="113" w:type="dxa"/>
            </w:tcMar>
          </w:tcPr>
          <w:p w:rsidR="005F43B9" w:rsidRPr="005F43B9" w:rsidRDefault="005F43B9" w:rsidP="005F43B9">
            <w:pPr>
              <w:keepNext/>
              <w:overflowPunct/>
              <w:autoSpaceDE/>
              <w:autoSpaceDN/>
              <w:adjustRightInd/>
              <w:spacing w:before="40" w:after="40"/>
              <w:textAlignment w:val="auto"/>
              <w:rPr>
                <w:rFonts w:eastAsia="MS Mincho" w:cs="Arial"/>
                <w:sz w:val="14"/>
                <w:szCs w:val="14"/>
                <w:lang w:eastAsia="en-US"/>
              </w:rPr>
            </w:pPr>
            <w:r w:rsidRPr="005F43B9">
              <w:rPr>
                <w:rFonts w:eastAsia="MS Mincho" w:cs="Arial"/>
                <w:b/>
                <w:sz w:val="14"/>
                <w:szCs w:val="14"/>
                <w:lang w:eastAsia="en-US"/>
              </w:rPr>
              <w:t>Způsob určení a změny úrokové sazby.</w:t>
            </w:r>
            <w:r w:rsidRPr="005F43B9">
              <w:rPr>
                <w:rFonts w:eastAsia="MS Mincho" w:cs="Arial"/>
                <w:sz w:val="14"/>
                <w:szCs w:val="14"/>
                <w:lang w:eastAsia="en-US"/>
              </w:rPr>
              <w:t xml:space="preserve"> Výši úrokové sazby Banka stanoví v návaznosti na úrokové sazby vyhlašované ČNB, s přihlédnutím k vývoji peněžního trhu, obchodní politice Banky a postupům pro řízení finančních rizik. 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5F43B9">
              <w:rPr>
                <w:rFonts w:eastAsia="MS Mincho" w:cs="Arial"/>
                <w:b/>
                <w:sz w:val="14"/>
                <w:szCs w:val="14"/>
                <w:lang w:eastAsia="en-US"/>
              </w:rPr>
              <w:t xml:space="preserve"> </w:t>
            </w:r>
            <w:r w:rsidRPr="005F43B9">
              <w:rPr>
                <w:rFonts w:eastAsia="MS Mincho" w:cs="Arial"/>
                <w:sz w:val="14"/>
                <w:szCs w:val="14"/>
                <w:lang w:eastAsia="en-US"/>
              </w:rPr>
              <w:t>ve smyslu zákona o platební styku</w:t>
            </w:r>
            <w:r w:rsidRPr="005F43B9">
              <w:rPr>
                <w:rFonts w:eastAsia="MS Mincho" w:cs="Arial"/>
                <w:sz w:val="14"/>
                <w:szCs w:val="14"/>
                <w:vertAlign w:val="superscript"/>
                <w:lang w:eastAsia="en-US"/>
              </w:rPr>
              <w:footnoteReference w:id="14"/>
            </w:r>
            <w:r w:rsidRPr="005F43B9">
              <w:rPr>
                <w:rFonts w:eastAsia="MS Mincho" w:cs="Arial"/>
                <w:sz w:val="14"/>
                <w:szCs w:val="14"/>
                <w:lang w:eastAsia="en-US"/>
              </w:rPr>
              <w:t>, kterou je dvoutýdenní REPO sazba ČNB</w:t>
            </w:r>
            <w:r w:rsidRPr="005F43B9">
              <w:rPr>
                <w:rFonts w:eastAsia="MS Mincho" w:cs="Arial"/>
                <w:sz w:val="14"/>
                <w:szCs w:val="14"/>
                <w:vertAlign w:val="superscript"/>
                <w:lang w:eastAsia="en-US"/>
              </w:rPr>
              <w:footnoteReference w:id="15"/>
            </w:r>
            <w:r w:rsidRPr="005F43B9">
              <w:rPr>
                <w:rFonts w:eastAsia="MS Mincho" w:cs="Arial"/>
                <w:sz w:val="14"/>
                <w:szCs w:val="14"/>
                <w:lang w:eastAsia="en-US"/>
              </w:rPr>
              <w:t>.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 s účinností dle čl. 31 VOP. Banka je oprávněna měnit výši úrokové sazby pro kreditní a debetní zůstatky na Účtech ostatních Klientů jednostranně v závislosti na vývoji trhu, nákladech Banky na své financování a dalších objektivních skutečnostech.</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16.3</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Účinnost změny úrokové sazby.</w:t>
            </w:r>
            <w:r w:rsidRPr="005F43B9">
              <w:rPr>
                <w:rFonts w:eastAsia="MS Mincho" w:cs="Arial"/>
                <w:sz w:val="14"/>
                <w:szCs w:val="18"/>
                <w:lang w:eastAsia="en-US"/>
              </w:rPr>
              <w:t xml:space="preserve"> Změna v Oznámení o úrokových sazbách nabývá účinnosti okamžikem vyhlášení nového znění Oznámení o úrokových sazbách na internetových stránkách Banky, pokud není v Oznámení o úrokových sazbách nebo ve VOP stanoveno jinak. Nová výše úrokové sazby se uplatní na všechny příslušné existující Účty ode dne účinnosti změny příslušného Oznámení o úrokových sazbách, pokud není v Oznámení o úrokových sazbách stanoveno pozdější datum účinnosti změny úrokové sazby.</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16.4</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Úročící schéma.</w:t>
            </w:r>
            <w:r w:rsidRPr="005F43B9">
              <w:rPr>
                <w:rFonts w:eastAsia="MS Mincho" w:cs="Arial"/>
                <w:sz w:val="14"/>
                <w:szCs w:val="18"/>
                <w:lang w:eastAsia="en-US"/>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16.5</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Úročení kreditního zůstatku.</w:t>
            </w:r>
            <w:r w:rsidRPr="005F43B9">
              <w:rPr>
                <w:rFonts w:eastAsia="MS Mincho" w:cs="Arial"/>
                <w:sz w:val="14"/>
                <w:szCs w:val="18"/>
                <w:lang w:eastAsia="en-US"/>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16.6</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 xml:space="preserve">Úročení debetního zůstatku. </w:t>
            </w:r>
            <w:r w:rsidRPr="005F43B9">
              <w:rPr>
                <w:rFonts w:eastAsia="MS Mincho" w:cs="Arial"/>
                <w:sz w:val="14"/>
                <w:szCs w:val="18"/>
                <w:lang w:eastAsia="en-US"/>
              </w:rPr>
              <w:t>Úročení debetního zůstatku na Účtu počíná dnem vzniku debetu a končí dnem předcházejícím dni jeho vyrovnání. Úroky z povoleného debetního zůstatku na Účtu jsou splatné vždy poslední den kalendářního měsíce, za který se hradí.</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16.7</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Zdaňování úroku.</w:t>
            </w:r>
            <w:r w:rsidRPr="005F43B9">
              <w:rPr>
                <w:rFonts w:eastAsia="MS Mincho" w:cs="Arial"/>
                <w:sz w:val="14"/>
                <w:szCs w:val="18"/>
                <w:lang w:eastAsia="en-US"/>
              </w:rPr>
              <w:t xml:space="preserve"> Úrok je zdaňován podle právních předpisů platných ke dni připsání úroku na Účet Klienta. V případě výplaty prostředků z</w:t>
            </w:r>
            <w:r w:rsidRPr="005F43B9">
              <w:rPr>
                <w:rFonts w:eastAsia="MS Mincho" w:cs="Arial"/>
                <w:szCs w:val="18"/>
                <w:lang w:eastAsia="en-US"/>
              </w:rPr>
              <w:t> </w:t>
            </w:r>
            <w:r w:rsidRPr="005F43B9">
              <w:rPr>
                <w:rFonts w:eastAsia="MS Mincho" w:cs="Arial"/>
                <w:sz w:val="14"/>
                <w:szCs w:val="18"/>
                <w:lang w:eastAsia="en-US"/>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17. Platební služby</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17.1</w:t>
            </w:r>
          </w:p>
        </w:tc>
        <w:tc>
          <w:tcPr>
            <w:tcW w:w="9009" w:type="dxa"/>
            <w:tcBorders>
              <w:left w:val="single" w:sz="6" w:space="0" w:color="C8C8C8"/>
            </w:tcBorders>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Informační povinnosti Banky.</w:t>
            </w:r>
            <w:r w:rsidRPr="005F43B9">
              <w:rPr>
                <w:rFonts w:eastAsia="MS Mincho" w:cs="Arial"/>
                <w:sz w:val="14"/>
                <w:szCs w:val="18"/>
                <w:lang w:eastAsia="en-US"/>
              </w:rPr>
              <w:t xml:space="preserve"> </w:t>
            </w:r>
            <w:bookmarkStart w:id="4" w:name="_DV_M174"/>
            <w:bookmarkEnd w:id="4"/>
            <w:r w:rsidRPr="005F43B9">
              <w:rPr>
                <w:rFonts w:eastAsia="MS Mincho" w:cs="Arial"/>
                <w:sz w:val="14"/>
                <w:szCs w:val="18"/>
                <w:lang w:eastAsia="en-US"/>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5F43B9">
              <w:rPr>
                <w:rFonts w:eastAsia="MS Mincho" w:cs="Arial"/>
                <w:position w:val="4"/>
                <w:sz w:val="12"/>
                <w:szCs w:val="18"/>
                <w:lang w:eastAsia="en-US"/>
              </w:rPr>
              <w:footnoteReference w:id="16"/>
            </w:r>
            <w:r w:rsidRPr="005F43B9">
              <w:rPr>
                <w:rFonts w:eastAsia="MS Mincho" w:cs="Arial"/>
                <w:sz w:val="14"/>
                <w:szCs w:val="18"/>
                <w:lang w:eastAsia="en-US"/>
              </w:rPr>
              <w:t>. V souladu se zákonem o platebním styku poskytuje Banka informace související s Platebními službami zejména prostřednictvím služby internetového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není povinna poskytnout Kvalifikovanému klientovi informace o maximální lhůtě pro provedení Platební služby před jejím poskytnutím ani před uzavřením Smlouvy o Platebních službách.</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17.2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poskytuje informace o úplatě za služby spojené s Platebním Účtem a roční přehled o 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18. Ukončení smlouvy o platebních službách</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18.1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Vypovězení smlouvy Kvalifikovaným klientem.</w:t>
            </w:r>
            <w:r w:rsidRPr="005F43B9">
              <w:rPr>
                <w:rFonts w:eastAsia="MS Mincho" w:cs="Arial"/>
                <w:sz w:val="14"/>
                <w:szCs w:val="18"/>
                <w:lang w:eastAsia="en-US"/>
              </w:rPr>
              <w:t xml:space="preserve"> Kvalifikovaný klient je oprávněn vypovědět Smlouvu o Platebních službách kdykoli (i v případě, že byla uzavřena na dobu určitou). Výpovědní doba činí 30 kalendářních dnů a počíná běžet okamžikem jejího doručení Bance.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6 měsíců po jejím uzavření.</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18.2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Vypovězení smlouvy jiným než Kvalifikovaným klientem.</w:t>
            </w:r>
            <w:r w:rsidRPr="005F43B9">
              <w:rPr>
                <w:rFonts w:eastAsia="MS Mincho" w:cs="Arial"/>
                <w:sz w:val="14"/>
                <w:szCs w:val="18"/>
                <w:lang w:eastAsia="en-US"/>
              </w:rPr>
              <w:t xml:space="preserve"> Klient, který není Kvalifikovaným klientem, je oprávněn vypovědět Smlouvu o Platebních službách uzavřenou na dobu neurčitou kdykoli, přičemž výpovědní doba činí 3 měsíce a počíná běžet okamžikem jejího doručení Bance. Tím nejsou dotčena ustanovení článku 12.2 VOP.</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18.3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 xml:space="preserve">Vypovězení smlouvy Bankou. </w:t>
            </w:r>
            <w:r w:rsidRPr="005F43B9">
              <w:rPr>
                <w:rFonts w:eastAsia="MS Mincho" w:cs="Arial"/>
                <w:sz w:val="14"/>
                <w:szCs w:val="18"/>
                <w:lang w:eastAsia="en-US"/>
              </w:rPr>
              <w:t>Banka je oprávněna Smlouvu o Platebních službách uzavřenou na dobu neurčitou vypovědět kdykoli, a to 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19. Dokumentární platby a záruky</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19.1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19.2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Za správnost instrukcí uvedených v příkazu zodpovídá Klient.</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19.3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Podpis Klienta uvedený na příkazu ověřuje Banka dle Podpisového vzoru Klienta k Účtu, který Klient na příkazu uvede.</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19.4</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je oprávněna oznámit (avizovat) Klientovi vystavení finanční (bankovní) záruky v jeho prospěch jinou osobou, případně změnu finanční (bankovní) záruky, a tuto Bankovní službu zpoplatnit dle Sazebníku.</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19.5</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20. Šeky</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20.1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20.2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20.3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20.4</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neodpovídá za škody vzniklé proplacením ztraceného, odcizeného, padělaného nebo pozměněného šeku nebo peněžní poukázky.</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20.5</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si vyhrazuje právo pozastavit proplacení šeku nebo peněžní poukázky do doby jejich ověření u vystavující nebo proplácející banky.</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20.6</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Smlouvu týkající se šeků a peněžních poukázek může Klient i Banka vypovědět s výpovědní dobou 30 kalendářních dnů. Výpovědní doba počíná běžet prvním dnem následujícím po doručení písemné výpovědi.</w:t>
            </w:r>
          </w:p>
        </w:tc>
      </w:tr>
      <w:tr w:rsidR="005F43B9" w:rsidRPr="005F43B9" w:rsidTr="0033437D">
        <w:tblPrEx>
          <w:tblBorders>
            <w:insideV w:val="single" w:sz="6" w:space="0" w:color="DCDADA"/>
          </w:tblBorders>
          <w:tblLook w:val="04A0" w:firstRow="1" w:lastRow="0" w:firstColumn="1" w:lastColumn="0" w:noHBand="0" w:noVBand="1"/>
        </w:tblPrEx>
        <w:trPr>
          <w:trHeight w:val="479"/>
        </w:trPr>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20.7</w:t>
            </w:r>
          </w:p>
        </w:tc>
        <w:tc>
          <w:tcPr>
            <w:tcW w:w="9009" w:type="dxa"/>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Na tuzemské soukromé i bankovní šeky a právní vztahy z nich vyplývající se vedle příslušných právních předpisů</w:t>
            </w:r>
            <w:r w:rsidRPr="005F43B9">
              <w:rPr>
                <w:rFonts w:eastAsia="MS Mincho" w:cs="Arial"/>
                <w:sz w:val="14"/>
                <w:szCs w:val="18"/>
                <w:vertAlign w:val="superscript"/>
                <w:lang w:eastAsia="en-US"/>
              </w:rPr>
              <w:footnoteReference w:id="17"/>
            </w:r>
            <w:r w:rsidRPr="005F43B9">
              <w:rPr>
                <w:rFonts w:eastAsia="MS Mincho" w:cs="Arial"/>
                <w:sz w:val="14"/>
                <w:szCs w:val="18"/>
                <w:lang w:eastAsia="en-US"/>
              </w:rPr>
              <w:t xml:space="preserve"> vztahují i Všeobecné obchodní podmínky ČNB v části, která se týká šeků. Další podmínky a informace týkající se šeků jsou uvedeny v Oznámení o provádění platebního styku.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21. Transakce a úvěry v cizí měně</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21.1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Bezhotovostní platby.</w:t>
            </w:r>
            <w:r w:rsidRPr="005F43B9">
              <w:rPr>
                <w:rFonts w:eastAsia="MS Mincho" w:cs="Arial"/>
                <w:sz w:val="14"/>
                <w:szCs w:val="18"/>
                <w:lang w:eastAsia="en-US"/>
              </w:rPr>
              <w:t xml:space="preserve"> Banka prodává Klientovi peněžní prostředky v cizí měně v bezhotovostní formě za české koruny Kurzem „deviza prodej“ a nakupuje je od Klienta za české koruny Kurzem „deviza nákup“.</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21.2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Hotovost.</w:t>
            </w:r>
            <w:r w:rsidRPr="005F43B9">
              <w:rPr>
                <w:rFonts w:eastAsia="MS Mincho" w:cs="Arial"/>
                <w:sz w:val="14"/>
                <w:szCs w:val="18"/>
                <w:lang w:eastAsia="en-US"/>
              </w:rPr>
              <w:t xml:space="preserve"> V případě nákupu hotovosti v cizí měně od Klienta za Kč Banka použije Kurz „valuta nákup“, při prodeji hotovosti v cizí měně Klientovi za Kč Banka použije Kurz „valuta prodej“.</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21.3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Přepočet mezi cizími měnami bude proveden přes české koruny postupem uvedeným v článcích 21.1 a 21.2 VOP.</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21.4</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Kurzy jsou uvedeny v kurzovním lístku Banky, který je Banka oprávněna jednostranně měnit. Změny Kurzů jsou účinné od jejich vyhlášení a uveřejnění Bankou a nejsou Klientovi předem oznamovány.</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21.5</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bCs/>
                <w:color w:val="000000"/>
                <w:sz w:val="14"/>
                <w:szCs w:val="14"/>
                <w:lang w:eastAsia="en-US"/>
              </w:rPr>
              <w:t>Měnová rizika.</w:t>
            </w:r>
            <w:r w:rsidRPr="005F43B9">
              <w:rPr>
                <w:rFonts w:eastAsia="MS Mincho" w:cs="Arial"/>
                <w:color w:val="000000"/>
                <w:sz w:val="14"/>
                <w:szCs w:val="14"/>
                <w:lang w:eastAsia="en-US"/>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22. Reklamace</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22.1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Reklamace se vyřizují podle reklamačního řádu Banky. Pokud nebude v reklamačním řádu uvedeno jinak či pokud nedojde k jiné dohodě, Klient uplatňuje své reklamace či požadavky v Klientově obchodním místě.</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23. Ombudsman</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23.1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23.2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Činnost ombudsmana se řídí Chartou ombudsmana, která je k dispozici v obchodních místech Banky nebo na jejích internetových stránkách.</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24. Ceny bankovních služeb a úhrada nákladů</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24.1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Výše ceny.</w:t>
            </w:r>
            <w:r w:rsidRPr="005F43B9">
              <w:rPr>
                <w:rFonts w:eastAsia="MS Mincho" w:cs="Arial"/>
                <w:sz w:val="14"/>
                <w:szCs w:val="18"/>
                <w:lang w:eastAsia="en-US"/>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w:t>
            </w:r>
            <w:r w:rsidRPr="005F43B9">
              <w:rPr>
                <w:rFonts w:eastAsia="MS Mincho" w:cs="Arial"/>
                <w:iCs/>
                <w:sz w:val="14"/>
                <w:szCs w:val="18"/>
                <w:lang w:eastAsia="en-US"/>
              </w:rPr>
              <w:t xml:space="preserve">O účtování individuálně určených cen, které jsou vždy výhodnější než ceny dle Sazebníku, může Banka Klientovi, který není Kvalifikovaným klientem, pouze předem zaslat informaci způsobem dle čl. 8.1 VOP. </w:t>
            </w:r>
            <w:r w:rsidRPr="005F43B9">
              <w:rPr>
                <w:rFonts w:eastAsia="MS Mincho" w:cs="Arial"/>
                <w:sz w:val="14"/>
                <w:szCs w:val="18"/>
                <w:lang w:eastAsia="en-US"/>
              </w:rPr>
              <w:t>Klient je povinen platit účtované ceny řádně a včas. Banka je oprávněna vázat poskytnutí Bankovní služby na zaplacení ceny nebo její části.</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24.2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Způsob úhrady ceny.</w:t>
            </w:r>
            <w:r w:rsidRPr="005F43B9">
              <w:rPr>
                <w:rFonts w:eastAsia="MS Mincho" w:cs="Arial"/>
                <w:sz w:val="14"/>
                <w:szCs w:val="18"/>
                <w:lang w:eastAsia="en-US"/>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 není-li v Sazebníku uvedeno jinak. Ceny se účtují v měně Bankovní služby nebo v měně, ve které je veden Účet, pokud nebude sjednáno jinak.</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24.3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Náklady.</w:t>
            </w:r>
            <w:r w:rsidRPr="005F43B9">
              <w:rPr>
                <w:rFonts w:eastAsia="MS Mincho" w:cs="Arial"/>
                <w:sz w:val="14"/>
                <w:szCs w:val="18"/>
                <w:lang w:eastAsia="en-US"/>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25. Úhrada pohledávek banky, úroky z prodlení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25.1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Započtení.</w:t>
            </w:r>
            <w:r w:rsidRPr="005F43B9">
              <w:rPr>
                <w:rFonts w:eastAsia="MS Mincho" w:cs="Arial"/>
                <w:sz w:val="14"/>
                <w:szCs w:val="18"/>
                <w:lang w:eastAsia="en-US"/>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25.2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Úroky z prodlení.</w:t>
            </w:r>
            <w:r w:rsidRPr="005F43B9">
              <w:rPr>
                <w:rFonts w:eastAsia="MS Mincho" w:cs="Arial"/>
                <w:sz w:val="14"/>
                <w:szCs w:val="18"/>
                <w:lang w:eastAsia="en-US"/>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25.3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Plnění třetí osobou.</w:t>
            </w:r>
            <w:r w:rsidRPr="005F43B9">
              <w:rPr>
                <w:rFonts w:eastAsia="MS Mincho" w:cs="Arial"/>
                <w:sz w:val="14"/>
                <w:szCs w:val="18"/>
                <w:lang w:eastAsia="en-US"/>
              </w:rPr>
              <w:t xml:space="preserve"> Banka je oprávněna i bez souhlasu Klienta přijmout, nebo i přes souhlas Klienta odmítnout, plnění nabídnuté třetí osobou za účelem splnění závazku Klienta vůči Bance, a to včetně částečného plnění.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26. Postoupení a zástava</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26.1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odkazovníka.</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26.2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Klient souhlasí s tím, že Banka je oprávněna postoupit Smlouvu na třetí osobu.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27. Pojištění vkladů</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27.1</w:t>
            </w:r>
          </w:p>
        </w:tc>
        <w:tc>
          <w:tcPr>
            <w:tcW w:w="9009" w:type="dxa"/>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Vklady Klientů v Bance jsou pojištěny v souladu s právními předpisy</w:t>
            </w:r>
            <w:r w:rsidRPr="005F43B9">
              <w:rPr>
                <w:rFonts w:eastAsia="MS Mincho" w:cs="Arial"/>
                <w:position w:val="4"/>
                <w:sz w:val="12"/>
                <w:szCs w:val="18"/>
                <w:lang w:eastAsia="en-US"/>
              </w:rPr>
              <w:footnoteReference w:id="18"/>
            </w:r>
            <w:r w:rsidRPr="005F43B9">
              <w:rPr>
                <w:rFonts w:eastAsia="MS Mincho" w:cs="Arial"/>
                <w:sz w:val="14"/>
                <w:szCs w:val="18"/>
                <w:lang w:eastAsia="en-US"/>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28. Bankovní tajemství, ochrana osobních údajů a souhlasy klienta</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28.1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Bankovní tajemství a výjimky z něj.</w:t>
            </w:r>
            <w:r w:rsidRPr="005F43B9">
              <w:rPr>
                <w:rFonts w:eastAsia="MS Mincho" w:cs="Arial"/>
                <w:sz w:val="14"/>
                <w:szCs w:val="18"/>
                <w:lang w:eastAsia="en-US"/>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w:t>
            </w:r>
            <w:r w:rsidRPr="005F43B9">
              <w:rPr>
                <w:rFonts w:eastAsia="MS Mincho"/>
                <w:sz w:val="14"/>
                <w:szCs w:val="22"/>
                <w:lang w:eastAsia="en-US"/>
              </w:rPr>
              <w:t xml:space="preserve">Klient bere z důvodu povahy produktů na vědomí, že Banka je oprávněna sdělovat </w:t>
            </w:r>
            <w:r w:rsidRPr="005F43B9">
              <w:rPr>
                <w:rFonts w:eastAsia="MS Mincho" w:cs="Arial"/>
                <w:sz w:val="14"/>
                <w:szCs w:val="18"/>
                <w:lang w:eastAsia="en-US"/>
              </w:rPr>
              <w:t xml:space="preserve">informace o zůstatku prostředků a cenných papírech stejně jako o provedených transakcích ve smyslu příslušné Smlouvy Oprávněné osobě zmocněné k nakládání s prostředky, cennými papíry nebo k provádění či uzavírání transakcí. </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28.2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Zpracování údajů na základě zákona.</w:t>
            </w:r>
            <w:r w:rsidRPr="005F43B9">
              <w:rPr>
                <w:rFonts w:eastAsia="MS Mincho" w:cs="Arial"/>
                <w:sz w:val="14"/>
                <w:szCs w:val="18"/>
                <w:lang w:eastAsia="en-US"/>
              </w:rPr>
              <w:t xml:space="preserve"> Banka je povinna pro účely Bankovních služeb zjišťovat a zpracovávat údaje o Klientech a dalších osobách, včetně osobních údajů, potřebných k tomu, aby bylo možné Bankovní službu poskytnout bez nepřiměřených právních a věcných rizik pro Banku. V případě, že Klient odmítne takové údaje Bance poskytnout, je Banka oprávněna odmítnout poskytnutí požadované Bankovní služby Klientovi. </w:t>
            </w:r>
            <w:r w:rsidRPr="005F43B9">
              <w:rPr>
                <w:rFonts w:eastAsia="MS Mincho"/>
                <w:sz w:val="14"/>
                <w:szCs w:val="22"/>
                <w:lang w:eastAsia="en-US"/>
              </w:rPr>
              <w:t>Podrobné informace o zpracování osobních údajů Klientů a souvisejících právech jsou uvedeny na internetových stránkách Banky v dokumentu Informace o zpracování osobních údajů.</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28.3</w:t>
            </w:r>
          </w:p>
        </w:tc>
        <w:tc>
          <w:tcPr>
            <w:tcW w:w="9009" w:type="dxa"/>
            <w:noWrap/>
            <w:tcMar>
              <w:left w:w="113" w:type="dxa"/>
              <w:right w:w="113" w:type="dxa"/>
            </w:tcMar>
          </w:tcPr>
          <w:p w:rsidR="005F43B9" w:rsidRPr="005F43B9" w:rsidRDefault="005F43B9" w:rsidP="005F43B9">
            <w:pPr>
              <w:tabs>
                <w:tab w:val="num" w:pos="567"/>
              </w:tabs>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 xml:space="preserve">Souhlasy se zpracováním údajů </w:t>
            </w:r>
            <w:r w:rsidRPr="005F43B9">
              <w:rPr>
                <w:rFonts w:eastAsia="MS Mincho"/>
                <w:b/>
                <w:sz w:val="14"/>
                <w:szCs w:val="22"/>
                <w:lang w:eastAsia="en-US"/>
              </w:rPr>
              <w:t>Klienta – právnické osoby</w:t>
            </w:r>
            <w:r w:rsidRPr="005F43B9">
              <w:rPr>
                <w:rFonts w:eastAsia="MS Mincho" w:cs="Arial"/>
                <w:b/>
                <w:sz w:val="14"/>
                <w:szCs w:val="18"/>
                <w:lang w:eastAsia="en-US"/>
              </w:rPr>
              <w:t>.</w:t>
            </w:r>
            <w:r w:rsidRPr="005F43B9">
              <w:rPr>
                <w:rFonts w:eastAsia="MS Mincho"/>
                <w:sz w:val="14"/>
                <w:szCs w:val="22"/>
                <w:lang w:eastAsia="en-US"/>
              </w:rPr>
              <w:t xml:space="preserve"> 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Bankou a předávány Správcům za účelem zkvalitnění péče o Klienta, provádění Marketingových činností, informování ostatních Správců o bonitě a důvěryhodnosti Klienta a analyzování těchto údajů. Klient souhlasí s tím, aby Banka zpracovávala výše uvedené údaje za účelem a v rozsahu shora uvedeném po dobu od udělení tohoto souhlasu do uplynutí čtyř let od ukončení posledního smluvního nebo jiného právního vztahu mezi ním a Bankou. Tento souhlas se zpracováním údajů, udělený v souladu s právními předpisy</w:t>
            </w:r>
            <w:r w:rsidRPr="005F43B9">
              <w:rPr>
                <w:rFonts w:eastAsia="MS Mincho" w:cs="Arial"/>
                <w:sz w:val="14"/>
                <w:szCs w:val="18"/>
                <w:vertAlign w:val="superscript"/>
                <w:lang w:eastAsia="en-US"/>
              </w:rPr>
              <w:footnoteReference w:id="19"/>
            </w:r>
            <w:r w:rsidRPr="005F43B9">
              <w:rPr>
                <w:rFonts w:eastAsia="MS Mincho" w:cs="Arial"/>
                <w:sz w:val="14"/>
                <w:szCs w:val="18"/>
                <w:lang w:eastAsia="en-US"/>
              </w:rPr>
              <w:t xml:space="preserve">, </w:t>
            </w:r>
            <w:r w:rsidRPr="005F43B9">
              <w:rPr>
                <w:rFonts w:eastAsia="MS Mincho"/>
                <w:sz w:val="14"/>
                <w:szCs w:val="22"/>
                <w:lang w:eastAsia="en-US"/>
              </w:rPr>
              <w:t>je dobrovolný a Klient je oprávněn jej kdykoli odvolat. Odvolání souhlasu musí být učiněno písemně.</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29. Odpovědnost banky</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29.1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29.2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neodpovídá Klientovi za škodu když:</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a)</w:t>
            </w:r>
            <w:r w:rsidRPr="005F43B9">
              <w:rPr>
                <w:rFonts w:eastAsia="MS Mincho" w:cs="Arial"/>
                <w:sz w:val="14"/>
                <w:szCs w:val="18"/>
                <w:lang w:eastAsia="en-US"/>
              </w:rPr>
              <w:tab/>
              <w:t>škoda byla způsobena protiprávním jednáním Klienta nebo třetí osoby,</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b)</w:t>
            </w:r>
            <w:r w:rsidRPr="005F43B9">
              <w:rPr>
                <w:rFonts w:eastAsia="MS Mincho" w:cs="Arial"/>
                <w:sz w:val="14"/>
                <w:szCs w:val="18"/>
                <w:lang w:eastAsia="en-US"/>
              </w:rPr>
              <w:tab/>
              <w:t>škoda byla způsobena porušením povinností osob jednajících jménem či za Klienta dle Smlouvy,</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c)</w:t>
            </w:r>
            <w:r w:rsidRPr="005F43B9">
              <w:rPr>
                <w:rFonts w:eastAsia="MS Mincho" w:cs="Arial"/>
                <w:sz w:val="14"/>
                <w:szCs w:val="18"/>
                <w:lang w:eastAsia="en-US"/>
              </w:rPr>
              <w:tab/>
              <w:t>škoda byla způsobena postupem Banky v souladu s příkazy a žádostmi Klienta nebo jí Klient utrpěl v důsledku svých vlastních obchodních či jiných rozhodnutí,</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d)</w:t>
            </w:r>
            <w:r w:rsidRPr="005F43B9">
              <w:rPr>
                <w:rFonts w:eastAsia="MS Mincho" w:cs="Arial"/>
                <w:sz w:val="14"/>
                <w:szCs w:val="18"/>
                <w:lang w:eastAsia="en-US"/>
              </w:rPr>
              <w:tab/>
              <w:t>škoda byla způsobena tím, že Banka jednala v souladu se Smlouvou, nebo tím, že Klient porušil Smlouvu,</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e)</w:t>
            </w:r>
            <w:r w:rsidRPr="005F43B9">
              <w:rPr>
                <w:rFonts w:eastAsia="MS Mincho" w:cs="Arial"/>
                <w:sz w:val="14"/>
                <w:szCs w:val="18"/>
                <w:lang w:eastAsia="en-US"/>
              </w:rPr>
              <w:tab/>
              <w:t>škoda byla způsobena jinak než úmyslně nebo z hrubé nedbalosti,</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f)</w:t>
            </w:r>
            <w:r w:rsidRPr="005F43B9">
              <w:rPr>
                <w:rFonts w:eastAsia="MS Mincho" w:cs="Arial"/>
                <w:sz w:val="14"/>
                <w:szCs w:val="18"/>
                <w:lang w:eastAsia="en-US"/>
              </w:rPr>
              <w:tab/>
              <w:t>porušení povinnosti Banky bylo způsobeno jednáním Klienta nebo nedostatkem součinnosti ze strany Klienta.</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g)</w:t>
            </w:r>
            <w:r w:rsidRPr="005F43B9">
              <w:rPr>
                <w:rFonts w:eastAsia="MS Mincho" w:cs="Arial"/>
                <w:sz w:val="14"/>
                <w:szCs w:val="18"/>
                <w:lang w:eastAsia="en-US"/>
              </w:rPr>
              <w:tab/>
              <w:t>porušení dané povinnosti bylo způsobeno mimořádnou nepředvídatelnou a nepřekonatelnou překážkou vzniklou nezávisle na vůli Banky nebo okolnostmi vylučujícími odpovědnost tam, kde se pro daný právní vztah použije právní úprava platná před účinností občanského zákoníku</w:t>
            </w:r>
            <w:r w:rsidRPr="005F43B9">
              <w:rPr>
                <w:rFonts w:eastAsia="MS Mincho" w:cs="Arial"/>
                <w:sz w:val="14"/>
                <w:szCs w:val="18"/>
                <w:vertAlign w:val="superscript"/>
                <w:lang w:eastAsia="en-US"/>
              </w:rPr>
              <w:footnoteReference w:id="20"/>
            </w:r>
            <w:r w:rsidRPr="005F43B9">
              <w:rPr>
                <w:rFonts w:eastAsia="MS Mincho" w:cs="Arial"/>
                <w:sz w:val="14"/>
                <w:szCs w:val="18"/>
                <w:lang w:eastAsia="en-US"/>
              </w:rPr>
              <w:t xml:space="preserve">. </w:t>
            </w:r>
          </w:p>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29.3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Odpovědnost Banky za neautorizované nebo nesprávně provedené platební transakce je uvedena v Oznámení o provádění platebního styku nebo v Produktových podmínkách k příslušnému Platebnímu prostředku.</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2"/>
                <w:szCs w:val="2"/>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30. Zajištění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tabs>
                <w:tab w:val="center" w:pos="383"/>
                <w:tab w:val="right" w:pos="766"/>
              </w:tabs>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30.1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30.2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Banka je oprávněna realizovat zajištění za podmínek stanovených příslušnou Smlouvou.</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30.3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30.4</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Bez předchozího výslovného písemného souhlasu Banky nepřechází zajišťovaný dluh na nabyvatele předmětu zajištění.</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30.5</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31. Změna smlouvy</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31.1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Právo navrhovat změny.</w:t>
            </w:r>
            <w:r w:rsidRPr="005F43B9">
              <w:rPr>
                <w:rFonts w:eastAsia="MS Mincho" w:cs="Arial"/>
                <w:sz w:val="14"/>
                <w:szCs w:val="18"/>
                <w:lang w:eastAsia="en-US"/>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6"/>
                <w:lang w:eastAsia="en-US"/>
              </w:rPr>
              <w:t>31.2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highlight w:val="lightGray"/>
                <w:lang w:eastAsia="en-US"/>
              </w:rPr>
            </w:pPr>
            <w:r w:rsidRPr="005F43B9">
              <w:rPr>
                <w:rFonts w:eastAsia="MS Mincho" w:cs="Arial"/>
                <w:b/>
                <w:sz w:val="14"/>
                <w:szCs w:val="16"/>
                <w:lang w:eastAsia="en-US"/>
              </w:rPr>
              <w:t>Informace o navrhované změně.</w:t>
            </w:r>
            <w:r w:rsidRPr="005F43B9">
              <w:rPr>
                <w:rFonts w:eastAsia="MS Mincho" w:cs="Arial"/>
                <w:sz w:val="14"/>
                <w:szCs w:val="16"/>
                <w:lang w:eastAsia="en-US"/>
              </w:rPr>
              <w:t xml:space="preserve"> </w:t>
            </w:r>
            <w:r w:rsidRPr="005F43B9">
              <w:rPr>
                <w:rFonts w:eastAsia="MS Mincho"/>
                <w:sz w:val="14"/>
                <w:szCs w:val="14"/>
                <w:lang w:eastAsia="en-US"/>
              </w:rPr>
              <w:t xml:space="preserve">Banka Klienta informuje o navrhované změně VOP nejméně 2 měsíce před navrhovaným dnem jejich účinnosti. O navrhované změně Sazebníku ve vztahu k Platebním službám informuje Banka Klienta, který není Kvalifikovaným klientem, nejméně 30 kalendářních dnů před navrhovaným dnem jeho účinnosti. O navrhované změně a navrhovaném dni účinnosti, informuje Banka způsobem dle článku 8.4 VOP či ve výpise z účtu. </w:t>
            </w:r>
            <w:r w:rsidRPr="005F43B9">
              <w:rPr>
                <w:rFonts w:eastAsia="MS Mincho" w:cs="Arial"/>
                <w:sz w:val="14"/>
                <w:szCs w:val="18"/>
                <w:lang w:eastAsia="en-US"/>
              </w:rPr>
              <w:t>Klient je povinen se s navrhovaným zněním seznámit. Banka je povinna mít navrhované znění VOP k dispozici v obchodních místech Banky a vyvěsit je na internetových stránkách Banky.</w:t>
            </w:r>
          </w:p>
        </w:tc>
      </w:tr>
      <w:tr w:rsidR="005F43B9" w:rsidRPr="005F43B9" w:rsidTr="0033437D">
        <w:tblPrEx>
          <w:tblBorders>
            <w:insideV w:val="single" w:sz="6" w:space="0" w:color="DCDADA"/>
          </w:tblBorders>
          <w:tblLook w:val="04A0" w:firstRow="1" w:lastRow="0" w:firstColumn="1" w:lastColumn="0" w:noHBand="0" w:noVBand="1"/>
        </w:tblPrEx>
        <w:trPr>
          <w:trHeight w:val="1207"/>
        </w:trPr>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31.3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Účinnost a odmítnutí změny u Platebních služeb.</w:t>
            </w:r>
            <w:r w:rsidRPr="005F43B9">
              <w:rPr>
                <w:rFonts w:eastAsia="MS Mincho" w:cs="Arial"/>
                <w:sz w:val="14"/>
                <w:szCs w:val="18"/>
                <w:lang w:eastAsia="en-US"/>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Kvalifikovaný klient je oprávněn bezúplatně vypovědět Smlouvu s okamžitou účinností. Pokud takový návrh odmítne Klient, který není Kvalifikovaným klientem, mají Klient i Banka právo vypovědět Smlouvu s účinností ke dni účinnosti změny VOP. Výpověď musí být doručena druhé smluvní straně přede dnem, kdy má navrhovaná změna nabýt účinnosti.</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31.4</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Účinnost a odmítnutí změny u jiných než Platebních služeb.</w:t>
            </w:r>
            <w:r w:rsidRPr="005F43B9">
              <w:rPr>
                <w:rFonts w:eastAsia="MS Mincho" w:cs="Arial"/>
                <w:sz w:val="14"/>
                <w:szCs w:val="18"/>
                <w:lang w:eastAsia="en-US"/>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31.5</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Forma odmítnutí a výpovědi.</w:t>
            </w:r>
            <w:r w:rsidRPr="005F43B9">
              <w:rPr>
                <w:rFonts w:eastAsia="MS Mincho" w:cs="Arial"/>
                <w:sz w:val="14"/>
                <w:szCs w:val="18"/>
                <w:lang w:eastAsia="en-US"/>
              </w:rPr>
              <w:t xml:space="preserve"> Výpověď a oznámení o odmítnutí navrhovaných změn učiněné Klientem podle článků 31.3 a 31.4 VOP musí mít písemnou formu, podpis Klienta na nich musí být úředně ověřen nebo učiněn před zaměstnancem Banky (neakceptuje-li Banka jiný způsob ověření) a musí být doručeny Bance dle článku 8.3 VOP.</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31.6</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 xml:space="preserve">Omezení práva odmítnout změnu. </w:t>
            </w:r>
            <w:r w:rsidRPr="005F43B9">
              <w:rPr>
                <w:rFonts w:eastAsia="MS Mincho" w:cs="Arial"/>
                <w:sz w:val="14"/>
                <w:szCs w:val="18"/>
                <w:lang w:eastAsia="en-US"/>
              </w:rPr>
              <w:t>V případě změny VOP má Klient právo odmítnout navrhovanou změnu a případně vypovědět Smlouvu pouze, pokud se navrhovaná změna přímo týká Bankovní služby poskytované Klientovi na základě této Smlouvy</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31.7</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Podstatné zvýšení ceny.</w:t>
            </w:r>
            <w:r w:rsidRPr="005F43B9">
              <w:rPr>
                <w:rFonts w:eastAsia="MS Mincho" w:cs="Arial"/>
                <w:sz w:val="14"/>
                <w:szCs w:val="18"/>
                <w:lang w:eastAsia="en-US"/>
              </w:rPr>
              <w:t xml:space="preserve"> Klient spotřebitel je při podstatném zvýšení ceny za poskytované Bankovní služby oprávněn toto zvýšení odmítnout. Pro odmítnutí a odstoupení Klienta od Smlouvy platí obdobně postup dle článků 31.3 až 31.6 VOP.</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31.8</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b/>
                <w:sz w:val="14"/>
                <w:szCs w:val="18"/>
                <w:lang w:eastAsia="en-US"/>
              </w:rPr>
              <w:t>Změny s okamžitou účinností.</w:t>
            </w:r>
            <w:r w:rsidRPr="005F43B9">
              <w:rPr>
                <w:rFonts w:eastAsia="MS Mincho" w:cs="Arial"/>
                <w:sz w:val="14"/>
                <w:szCs w:val="18"/>
                <w:lang w:eastAsia="en-US"/>
              </w:rPr>
              <w:t xml:space="preserve"> Odchylně od předchozích článků je Banka oprávněna provést s okamžitou účinností jednostrannou změnu:</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a)</w:t>
            </w:r>
            <w:r w:rsidRPr="005F43B9">
              <w:rPr>
                <w:rFonts w:eastAsia="MS Mincho" w:cs="Arial"/>
                <w:sz w:val="14"/>
                <w:szCs w:val="18"/>
                <w:lang w:eastAsia="en-US"/>
              </w:rPr>
              <w:tab/>
              <w:t>VOP, Produktových podmínek, Oznámení a Sazebníku, je-li tato změna výhradně ve prospěch Klienta, nebo je-li změna vyvolána doplněním nové Bankovní služby a nemá vliv na stávající poplatky,</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b)</w:t>
            </w:r>
            <w:r w:rsidRPr="005F43B9">
              <w:rPr>
                <w:rFonts w:eastAsia="MS Mincho" w:cs="Arial"/>
                <w:sz w:val="14"/>
                <w:szCs w:val="18"/>
                <w:lang w:eastAsia="en-US"/>
              </w:rPr>
              <w:tab/>
              <w:t>obchodního názvu Bankovní služby, která nemá vliv na práva a povinnosti smluvních stran vyplývající ze Smlouvy,</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c)</w:t>
            </w:r>
            <w:r w:rsidRPr="005F43B9">
              <w:rPr>
                <w:rFonts w:eastAsia="MS Mincho" w:cs="Arial"/>
                <w:sz w:val="14"/>
                <w:szCs w:val="18"/>
                <w:lang w:eastAsia="en-US"/>
              </w:rPr>
              <w:tab/>
              <w:t xml:space="preserve">údajů, které jsou čistě informačního charakteru a nejsou určeny dohodou smluvních stran (např. sídlo Banky, obchodní firma Členů finanční skupiny Banky). </w:t>
            </w:r>
          </w:p>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O změnách dle tohoto článku informuje Banka Klienta způsobem dle článku 31.2 VOP.</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32. Rozhodné právo a řešení sporů</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2"/>
                <w:szCs w:val="2"/>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32.1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Právní vztahy mezi Bankou a Klientem se řídí právním řádem České republiky. Pro účely Smluv, na které se použije právní úprava platná před účinností občanského zákoníku,</w:t>
            </w:r>
            <w:r w:rsidRPr="005F43B9">
              <w:rPr>
                <w:rFonts w:eastAsia="MS Mincho" w:cs="Arial"/>
                <w:sz w:val="14"/>
                <w:szCs w:val="18"/>
                <w:vertAlign w:val="superscript"/>
                <w:lang w:eastAsia="en-US"/>
              </w:rPr>
              <w:footnoteReference w:id="21"/>
            </w:r>
            <w:r w:rsidRPr="005F43B9">
              <w:rPr>
                <w:rFonts w:eastAsia="MS Mincho" w:cs="Arial"/>
                <w:sz w:val="14"/>
                <w:szCs w:val="18"/>
                <w:lang w:eastAsia="en-US"/>
              </w:rPr>
              <w:t xml:space="preserve"> platí, že se právní vztahy mezi Klientem a Bankou řídí obchodním zákoníkem</w:t>
            </w:r>
            <w:r w:rsidRPr="005F43B9">
              <w:rPr>
                <w:rFonts w:eastAsia="MS Mincho" w:cs="Arial"/>
                <w:sz w:val="14"/>
                <w:szCs w:val="18"/>
                <w:vertAlign w:val="superscript"/>
                <w:lang w:eastAsia="en-US"/>
              </w:rPr>
              <w:footnoteReference w:id="22"/>
            </w:r>
            <w:r w:rsidRPr="005F43B9">
              <w:rPr>
                <w:rFonts w:eastAsia="MS Mincho" w:cs="Arial"/>
                <w:sz w:val="14"/>
                <w:szCs w:val="18"/>
                <w:lang w:eastAsia="en-US"/>
              </w:rPr>
              <w:t>.</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32.2</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32.3</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rPr>
              <w:t>V případech stanovených zákonem (např. spory z platebního styku nebo ze spotřebitelských úvěrů) se může Klient obrátit na finančního arbitra za podmínek stanovených příslušným právním předpisem.</w:t>
            </w:r>
            <w:r w:rsidRPr="005F43B9">
              <w:rPr>
                <w:rFonts w:eastAsia="MS Mincho" w:cs="Arial"/>
                <w:sz w:val="14"/>
                <w:szCs w:val="18"/>
                <w:vertAlign w:val="superscript"/>
                <w:lang w:eastAsia="en-US"/>
              </w:rPr>
              <w:footnoteReference w:id="23"/>
            </w:r>
            <w:r w:rsidRPr="005F43B9">
              <w:rPr>
                <w:rFonts w:eastAsia="MS Mincho" w:cs="Arial"/>
                <w:sz w:val="14"/>
                <w:szCs w:val="18"/>
              </w:rPr>
              <w:t xml:space="preserve"> Právo Klienta obrátit se na soud tímto není dotčeno.</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32.4</w:t>
            </w:r>
          </w:p>
        </w:tc>
        <w:tc>
          <w:tcPr>
            <w:tcW w:w="9009" w:type="dxa"/>
            <w:tcBorders>
              <w:left w:val="single" w:sz="6" w:space="0" w:color="DCDADA"/>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rPr>
            </w:pPr>
            <w:r w:rsidRPr="005F43B9">
              <w:rPr>
                <w:rFonts w:eastAsia="MS Mincho" w:cs="Arial"/>
                <w:sz w:val="14"/>
                <w:szCs w:val="18"/>
              </w:rPr>
              <w:t>Pro mimosoudní řešení spotřebitelských sporů v oblasti finančních služeb je věcně příslušný finanční arbitr (www.finarbitr.cz), a to v rozsahu působnosti stanoveném v zákoně č. 229/2002 Sb., o finančním arbitrovi, ve znění pozdějších předpisů</w:t>
            </w:r>
            <w:r w:rsidRPr="005F43B9">
              <w:rPr>
                <w:rFonts w:eastAsia="MS Mincho" w:cs="Arial"/>
                <w:sz w:val="14"/>
                <w:szCs w:val="18"/>
                <w:vertAlign w:val="superscript"/>
                <w:lang w:eastAsia="en-US"/>
              </w:rPr>
              <w:footnoteReference w:id="24"/>
            </w:r>
            <w:r w:rsidRPr="005F43B9">
              <w:rPr>
                <w:rFonts w:eastAsia="MS Mincho" w:cs="Arial"/>
                <w:sz w:val="14"/>
                <w:szCs w:val="18"/>
              </w:rPr>
              <w:t xml:space="preserve">. V případech, kdy není dána působnost finančního arbitra, je pro řešení spotřebitelských sporů věcně příslušná Česká obchodní inspekce (www.coi.cz) nebo subjekt pověřený Ministerstvem průmyslu a obchodu a zveřejněný na jeho internetových stránkách (www.mpo.cz). </w:t>
            </w: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32.5</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V případě porušení právních povinností vyplývajících ze Smlouvy nebo právních předpisů ze strany Banky má Klient právo podat stížnost na postup Banky u orgánu dohledu uvedeným v čl. 1.1 VOP.</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33. Přechodná ustanovení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33.1</w:t>
            </w:r>
          </w:p>
        </w:tc>
        <w:tc>
          <w:tcPr>
            <w:tcW w:w="9009" w:type="dxa"/>
            <w:noWrap/>
            <w:tcMar>
              <w:left w:w="113" w:type="dxa"/>
              <w:right w:w="113" w:type="dxa"/>
            </w:tcMar>
          </w:tcPr>
          <w:p w:rsidR="005F43B9" w:rsidRPr="005F43B9" w:rsidRDefault="005F43B9" w:rsidP="005F43B9">
            <w:pPr>
              <w:tabs>
                <w:tab w:val="num" w:pos="426"/>
              </w:tabs>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Pro Smlouvy, na které se použije právní úprava platná před účinností občanského zákoníku,</w:t>
            </w:r>
            <w:r w:rsidRPr="005F43B9">
              <w:rPr>
                <w:rFonts w:eastAsia="MS Mincho" w:cs="Arial"/>
                <w:sz w:val="14"/>
                <w:szCs w:val="18"/>
                <w:vertAlign w:val="superscript"/>
                <w:lang w:eastAsia="en-US"/>
              </w:rPr>
              <w:footnoteReference w:id="25"/>
            </w:r>
            <w:r w:rsidRPr="005F43B9">
              <w:rPr>
                <w:rFonts w:eastAsia="MS Mincho" w:cs="Arial"/>
                <w:sz w:val="14"/>
                <w:szCs w:val="18"/>
                <w:lang w:eastAsia="en-US"/>
              </w:rPr>
              <w:t xml:space="preserve"> platí, že Kontaktní adresou Klienta je adresa uvedená v příslušné Smlouvě, ve smlouvě související s poskytovanou Bankovní službou nebo Klientem Bance jinak písemně oznámena jako adresa pro doručování. </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34. Oddělitelnost ustanovení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34.1</w:t>
            </w:r>
          </w:p>
        </w:tc>
        <w:tc>
          <w:tcPr>
            <w:tcW w:w="9009" w:type="dxa"/>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35. Vymezení pojmů a výkladová pravidla</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35.1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rPr>
            </w:pPr>
            <w:r w:rsidRPr="005F43B9">
              <w:rPr>
                <w:rFonts w:eastAsia="MS Mincho" w:cs="Arial"/>
                <w:sz w:val="14"/>
                <w:szCs w:val="18"/>
              </w:rPr>
              <w:t xml:space="preserve">Pojmy s velkým počátečním písmenem mají ve VOP následující význam: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Banka</w:t>
            </w:r>
            <w:r w:rsidRPr="005F43B9">
              <w:rPr>
                <w:rFonts w:eastAsia="MS Mincho" w:cs="Arial"/>
                <w:sz w:val="14"/>
                <w:szCs w:val="18"/>
              </w:rPr>
              <w:t>“ je Komerční banka, a.s., se sídlem Praha 1, Na Příkopě 33, čp. 969, PSČ 114 07, IČO: 45317054, zapsaná v obchodním rejstříku vedeném Městským soudem v Praze, oddíl B, vložka 1360.</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Bankovní služby</w:t>
            </w:r>
            <w:r w:rsidRPr="005F43B9">
              <w:rPr>
                <w:rFonts w:eastAsia="MS Mincho" w:cs="Arial"/>
                <w:sz w:val="14"/>
                <w:szCs w:val="18"/>
              </w:rPr>
              <w:t>“ jsou jakékoli bankovní obchody, služby a produkty poskytované Bankou na základě bankovní licence Banky, včetně investičních služeb poskytovaných Bankou jako obchodníkem s cennými papíry.</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ČBA</w:t>
            </w:r>
            <w:r w:rsidRPr="005F43B9">
              <w:rPr>
                <w:rFonts w:eastAsia="MS Mincho" w:cs="Arial"/>
                <w:sz w:val="14"/>
                <w:szCs w:val="18"/>
              </w:rPr>
              <w:t>“ je Česká bankovní asociace.</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ČNB</w:t>
            </w:r>
            <w:r w:rsidRPr="005F43B9">
              <w:rPr>
                <w:rFonts w:eastAsia="MS Mincho" w:cs="Arial"/>
                <w:sz w:val="14"/>
                <w:szCs w:val="18"/>
              </w:rPr>
              <w:t>“ je Česká národní banka</w:t>
            </w:r>
            <w:r w:rsidRPr="005F43B9">
              <w:rPr>
                <w:rFonts w:eastAsia="MS Mincho" w:cs="Arial"/>
                <w:sz w:val="14"/>
                <w:szCs w:val="18"/>
                <w:lang w:eastAsia="en-US"/>
              </w:rPr>
              <w:t>, se sídlem Na Příkopě 28, 115 03 Praha 1</w:t>
            </w:r>
            <w:r w:rsidRPr="005F43B9">
              <w:rPr>
                <w:rFonts w:eastAsia="MS Mincho" w:cs="Arial"/>
                <w:sz w:val="14"/>
                <w:szCs w:val="18"/>
              </w:rPr>
              <w:t>.</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Člen finanční skupiny Banky</w:t>
            </w:r>
            <w:r w:rsidRPr="005F43B9">
              <w:rPr>
                <w:rFonts w:eastAsia="MS Mincho" w:cs="Arial"/>
                <w:sz w:val="14"/>
                <w:szCs w:val="18"/>
              </w:rPr>
              <w:t>“ nebo „</w:t>
            </w:r>
            <w:r w:rsidRPr="005F43B9">
              <w:rPr>
                <w:rFonts w:eastAsia="MS Mincho" w:cs="Arial"/>
                <w:b/>
                <w:sz w:val="14"/>
                <w:szCs w:val="18"/>
              </w:rPr>
              <w:t>Člen FSKB</w:t>
            </w:r>
            <w:r w:rsidRPr="005F43B9">
              <w:rPr>
                <w:rFonts w:eastAsia="MS Mincho" w:cs="Arial"/>
                <w:sz w:val="14"/>
                <w:szCs w:val="18"/>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Elektronické výpisy</w:t>
            </w:r>
            <w:r w:rsidRPr="005F43B9">
              <w:rPr>
                <w:rFonts w:eastAsia="MS Mincho" w:cs="Arial"/>
                <w:sz w:val="14"/>
                <w:szCs w:val="18"/>
              </w:rPr>
              <w:t>“ jsou zprávy o zúčtování, kterými Banka informuje Klienta o provedených transakcích a o zůstatku na příslušném Účtu, a to v elektronickém formátu PDF, doručované Klientovi prostřednictvím služby internetového bankovnictví nebo jiným dohodnutým způsobem (např. e-mailem).</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Jedinečný identifikátor</w:t>
            </w:r>
            <w:r w:rsidRPr="005F43B9">
              <w:rPr>
                <w:rFonts w:eastAsia="MS Mincho" w:cs="Arial"/>
                <w:sz w:val="14"/>
                <w:szCs w:val="18"/>
              </w:rPr>
              <w:t xml:space="preserve">“ je bankovní spojení ve formátu IBAN (příp. číslo účtu) a BIC anebo v tuzemském platebním styku ve formátu čísla účtu a kódu banky.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Jednající osoba</w:t>
            </w:r>
            <w:r w:rsidRPr="005F43B9">
              <w:rPr>
                <w:rFonts w:eastAsia="MS Mincho" w:cs="Arial"/>
                <w:sz w:val="14"/>
                <w:szCs w:val="18"/>
              </w:rPr>
              <w:t xml:space="preserve">“ je statutární orgán právnické osoby, případně členové statutárního orgánu právnické osoby, kteří jsou oprávněni jednat za právnickou osobu navenek.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Klient</w:t>
            </w:r>
            <w:r w:rsidRPr="005F43B9">
              <w:rPr>
                <w:rFonts w:eastAsia="MS Mincho" w:cs="Arial"/>
                <w:sz w:val="14"/>
                <w:szCs w:val="18"/>
              </w:rPr>
              <w:t>“ je jakákoli osoba, která využívá Bankovní služby, případně žádá o poskytnutí Bankovních služeb.</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Klient spotřebitel</w:t>
            </w:r>
            <w:r w:rsidRPr="005F43B9">
              <w:rPr>
                <w:rFonts w:eastAsia="MS Mincho" w:cs="Arial"/>
                <w:sz w:val="14"/>
                <w:szCs w:val="18"/>
              </w:rPr>
              <w:t>“ je fyzická osoba, která při uzavírání a plnění Smlouvy nejedná v rámci své podnikatelské činnosti anebo v rámci samostatného výkonu svého povolání, případně osoba, která žádá o poskytnutí Bankovní služby.</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Klientovo obchodní místo</w:t>
            </w:r>
            <w:r w:rsidRPr="005F43B9">
              <w:rPr>
                <w:rFonts w:eastAsia="MS Mincho" w:cs="Arial"/>
                <w:sz w:val="14"/>
                <w:szCs w:val="18"/>
              </w:rPr>
              <w:t>“ je obchodní místo Banky, které vede Klientovi Účet nebo kde Klient uzavřel příslušnou Smlouvu.</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Kontaktní adresa</w:t>
            </w:r>
            <w:r w:rsidRPr="005F43B9">
              <w:rPr>
                <w:rFonts w:eastAsia="MS Mincho" w:cs="Arial"/>
                <w:sz w:val="14"/>
                <w:szCs w:val="18"/>
              </w:rPr>
              <w:t>“ je adresa sjednaná ve Smlouvě nebo v jiné smlouvě související s poskytovanými Bankovními službami, nebo adresa, kterou Klient sdělil Bance pro účely doručování Zásilek. Kontaktní adresou je též P. O. BOX.</w:t>
            </w:r>
          </w:p>
          <w:p w:rsidR="005F43B9" w:rsidRPr="005F43B9" w:rsidRDefault="005F43B9" w:rsidP="005F43B9">
            <w:pPr>
              <w:overflowPunct/>
              <w:autoSpaceDE/>
              <w:autoSpaceDN/>
              <w:adjustRightInd/>
              <w:spacing w:after="40"/>
              <w:textAlignment w:val="auto"/>
              <w:rPr>
                <w:rFonts w:eastAsia="MS Mincho" w:cs="Arial"/>
                <w:i/>
                <w:sz w:val="14"/>
                <w:szCs w:val="18"/>
              </w:rPr>
            </w:pPr>
            <w:r w:rsidRPr="005F43B9">
              <w:rPr>
                <w:rFonts w:eastAsia="MS Mincho" w:cs="Arial"/>
                <w:sz w:val="14"/>
                <w:szCs w:val="18"/>
              </w:rPr>
              <w:t>„</w:t>
            </w:r>
            <w:r w:rsidRPr="005F43B9">
              <w:rPr>
                <w:rFonts w:eastAsia="MS Mincho" w:cs="Arial"/>
                <w:b/>
                <w:sz w:val="14"/>
                <w:szCs w:val="18"/>
              </w:rPr>
              <w:t>Kurz</w:t>
            </w:r>
            <w:r w:rsidRPr="005F43B9">
              <w:rPr>
                <w:rFonts w:eastAsia="MS Mincho" w:cs="Arial"/>
                <w:sz w:val="14"/>
                <w:szCs w:val="18"/>
              </w:rPr>
              <w:t xml:space="preserve">“ je směnný kurz vyhlašovaný Bankou.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Kvalifikovaný klient</w:t>
            </w:r>
            <w:r w:rsidRPr="005F43B9">
              <w:rPr>
                <w:rFonts w:eastAsia="MS Mincho" w:cs="Arial"/>
                <w:sz w:val="14"/>
                <w:szCs w:val="18"/>
              </w:rPr>
              <w:t>“</w:t>
            </w:r>
            <w:r w:rsidRPr="005F43B9">
              <w:rPr>
                <w:rFonts w:eastAsia="MS Mincho" w:cs="Arial"/>
                <w:i/>
                <w:sz w:val="14"/>
                <w:szCs w:val="18"/>
              </w:rPr>
              <w:t xml:space="preserve"> </w:t>
            </w:r>
            <w:r w:rsidRPr="005F43B9">
              <w:rPr>
                <w:rFonts w:eastAsia="MS Mincho" w:cs="Arial"/>
                <w:sz w:val="14"/>
                <w:szCs w:val="18"/>
              </w:rPr>
              <w:t>je Klient spotřebitel v souvislosti s poskytováním Platebních služeb.</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Marketingová činnost</w:t>
            </w:r>
            <w:r w:rsidRPr="005F43B9">
              <w:rPr>
                <w:rFonts w:eastAsia="MS Mincho" w:cs="Arial"/>
                <w:sz w:val="14"/>
                <w:szCs w:val="18"/>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 3) předkládání cílené nabídky k jejich objednání, zprostředkování či pořízení; 4) a vyhodnocování příslušných údajů k těmto účelům, a to i prostřednictvím elektronických prostředků.</w:t>
            </w:r>
            <w:r w:rsidRPr="005F43B9" w:rsidDel="00844DB6">
              <w:rPr>
                <w:rFonts w:eastAsia="MS Mincho" w:cs="Arial"/>
                <w:sz w:val="14"/>
                <w:szCs w:val="18"/>
              </w:rPr>
              <w:t xml:space="preserve">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Obchodní den</w:t>
            </w:r>
            <w:r w:rsidRPr="005F43B9">
              <w:rPr>
                <w:rFonts w:eastAsia="MS Mincho" w:cs="Arial"/>
                <w:sz w:val="14"/>
                <w:szCs w:val="18"/>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Oprávněná osoba</w:t>
            </w:r>
            <w:r w:rsidRPr="005F43B9">
              <w:rPr>
                <w:rFonts w:eastAsia="MS Mincho" w:cs="Arial"/>
                <w:sz w:val="14"/>
                <w:szCs w:val="18"/>
              </w:rPr>
              <w:t xml:space="preserve">“ je osoba uvedená na Podpisovém vzoru Klienta.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Osoba se zvláštním vztahem k Bance</w:t>
            </w:r>
            <w:r w:rsidRPr="005F43B9">
              <w:rPr>
                <w:rFonts w:eastAsia="MS Mincho" w:cs="Arial"/>
                <w:sz w:val="14"/>
                <w:szCs w:val="18"/>
              </w:rPr>
              <w:t>“ je osoba uvedená v § 19 z. č. 21/1992 Sb., zákon o bankách, ve znění pozdějších předpisů.</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Osoba ovládaná SG</w:t>
            </w:r>
            <w:r w:rsidRPr="005F43B9">
              <w:rPr>
                <w:rFonts w:eastAsia="MS Mincho" w:cs="Arial"/>
                <w:sz w:val="14"/>
                <w:szCs w:val="18"/>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b/>
                <w:sz w:val="14"/>
                <w:szCs w:val="18"/>
              </w:rPr>
              <w:t>Oznámení</w:t>
            </w:r>
            <w:r w:rsidRPr="005F43B9">
              <w:rPr>
                <w:rFonts w:eastAsia="MS Mincho" w:cs="Arial"/>
                <w:sz w:val="14"/>
                <w:szCs w:val="18"/>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Oznámení o provádění platebního styku</w:t>
            </w:r>
            <w:r w:rsidRPr="005F43B9">
              <w:rPr>
                <w:rFonts w:eastAsia="MS Mincho" w:cs="Arial"/>
                <w:sz w:val="14"/>
                <w:szCs w:val="18"/>
              </w:rPr>
              <w:t>“ je Oznámením, v němž jsou stanoveny podmínky poskytování služeb platebního styku, zejména lhůty pro provádění platebních transakcí.</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Oznámení o úrokových sazbách</w:t>
            </w:r>
            <w:r w:rsidRPr="005F43B9">
              <w:rPr>
                <w:rFonts w:eastAsia="MS Mincho" w:cs="Arial"/>
                <w:sz w:val="14"/>
                <w:szCs w:val="18"/>
              </w:rPr>
              <w:t xml:space="preserve">“ je přehled všech úrokových sazeb vkladů a úvěrů a sazeb s nimi souvisejících. Tento přehled není Oznámením.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Platební prostředek</w:t>
            </w:r>
            <w:r w:rsidRPr="005F43B9">
              <w:rPr>
                <w:rFonts w:eastAsia="MS Mincho" w:cs="Arial"/>
                <w:sz w:val="14"/>
                <w:szCs w:val="18"/>
              </w:rPr>
              <w:t xml:space="preserve">“ je zařízení nebo soubor postupů dohodnutých mezi Bankou a Klientem, které se týkají Klienta a kterými Klient dává platební příkaz. Platebním prostředkem není zejména Příkaz doručený Bance v papírové podobě.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Platební služby</w:t>
            </w:r>
            <w:r w:rsidRPr="005F43B9">
              <w:rPr>
                <w:rFonts w:eastAsia="MS Mincho" w:cs="Arial"/>
                <w:sz w:val="14"/>
                <w:szCs w:val="18"/>
              </w:rPr>
              <w:t xml:space="preserve">“ jsou Bankovní služby, které jsou platebními službami ve smyslu zákona o platebním styku (např. úhrady z Platebních Účtů, vydávání Platebních prostředků a vklady hotovosti na Platební Účty).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Platební Účet</w:t>
            </w:r>
            <w:r w:rsidRPr="005F43B9">
              <w:rPr>
                <w:rFonts w:eastAsia="MS Mincho" w:cs="Arial"/>
                <w:sz w:val="14"/>
                <w:szCs w:val="18"/>
              </w:rPr>
              <w:t xml:space="preserve">“ je Účet, který je platebním účtem ve smyslu zákona o platebním styku, tj. účet, který slouží k provádění platebních transakcí.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Podpisový vzor</w:t>
            </w:r>
            <w:r w:rsidRPr="005F43B9">
              <w:rPr>
                <w:rFonts w:eastAsia="MS Mincho" w:cs="Arial"/>
                <w:sz w:val="14"/>
                <w:szCs w:val="18"/>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bCs/>
                <w:sz w:val="14"/>
                <w:szCs w:val="18"/>
              </w:rPr>
              <w:t>„</w:t>
            </w:r>
            <w:r w:rsidRPr="005F43B9">
              <w:rPr>
                <w:rFonts w:eastAsia="MS Mincho" w:cs="Arial"/>
                <w:b/>
                <w:bCs/>
                <w:sz w:val="14"/>
                <w:szCs w:val="18"/>
              </w:rPr>
              <w:t>Politicky exponovaná osoba</w:t>
            </w:r>
            <w:r w:rsidRPr="005F43B9">
              <w:rPr>
                <w:rFonts w:eastAsia="MS Mincho" w:cs="Arial"/>
                <w:bCs/>
                <w:sz w:val="14"/>
                <w:szCs w:val="18"/>
              </w:rPr>
              <w:t>“</w:t>
            </w:r>
            <w:r w:rsidRPr="005F43B9">
              <w:rPr>
                <w:rFonts w:eastAsia="MS Mincho" w:cs="Arial"/>
                <w:sz w:val="14"/>
                <w:szCs w:val="18"/>
              </w:rPr>
              <w:t xml:space="preserve"> je fyzická osoba, která je nebo byla ve významné veřejné funkci s celostátní nebo regionální působností nebo má k této osobě jiný vztah (osoba blízká, společník nebo skutečný majitel právnické osoby, případně jiného právního uspořádání nebo jiný blízký podnikatelský vztah k fyzické osobě zastávající významnou veřejnou funkci). </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Produktové podmínky</w:t>
            </w:r>
            <w:r w:rsidRPr="005F43B9">
              <w:rPr>
                <w:rFonts w:eastAsia="MS Mincho" w:cs="Arial"/>
                <w:sz w:val="14"/>
                <w:szCs w:val="18"/>
              </w:rPr>
              <w:t>“ jsou podmínky Banky upravující poskytování jednotlivých Bankovních služeb.</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Příkaz</w:t>
            </w:r>
            <w:r w:rsidRPr="005F43B9">
              <w:rPr>
                <w:rFonts w:eastAsia="MS Mincho" w:cs="Arial"/>
                <w:sz w:val="14"/>
                <w:szCs w:val="18"/>
              </w:rPr>
              <w:t>“ je platební příkaz, tj. pokyn Klienta, jímž Banku žádá o provedení platební transakce.</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Rozhodný den</w:t>
            </w:r>
            <w:r w:rsidRPr="005F43B9">
              <w:rPr>
                <w:rFonts w:eastAsia="MS Mincho" w:cs="Arial"/>
                <w:sz w:val="14"/>
                <w:szCs w:val="18"/>
              </w:rPr>
              <w:t>“ je den, kdy se Banka hodnověrným způsobem dozví o úmrtí Klienta nebo o jeho prohlášení za nezvěstného, tj. den, kdy jsou Klientovu obchodnímu místu Banky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Sankce</w:t>
            </w:r>
            <w:r w:rsidRPr="005F43B9">
              <w:rPr>
                <w:rFonts w:eastAsia="MS Mincho" w:cs="Arial"/>
                <w:sz w:val="14"/>
                <w:szCs w:val="18"/>
              </w:rPr>
              <w:t>“ je jakákoli ekonomická nebo finanční sankce, obchodní embargo nebo podobné opatření přijaté, uplatněné nebo vymáhané ze strany Organizace spojených národů, Spojených států amerických, Evropské unie (nebo některého z jejích existujících či budoucích členských států) nebo některého z jejich orgánů.</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Sankcionovaná osoba</w:t>
            </w:r>
            <w:r w:rsidRPr="005F43B9">
              <w:rPr>
                <w:rFonts w:eastAsia="MS Mincho" w:cs="Arial"/>
                <w:sz w:val="14"/>
                <w:szCs w:val="18"/>
              </w:rPr>
              <w:t>“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Sazebník</w:t>
            </w:r>
            <w:r w:rsidRPr="005F43B9">
              <w:rPr>
                <w:rFonts w:eastAsia="MS Mincho" w:cs="Arial"/>
                <w:sz w:val="14"/>
                <w:szCs w:val="18"/>
              </w:rPr>
              <w:t>“ je přehled všech poplatků, ostatních cen a jiných plateb za Bankovní služby a za úkony s Bankovními službami související.</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SG</w:t>
            </w:r>
            <w:r w:rsidRPr="005F43B9">
              <w:rPr>
                <w:rFonts w:eastAsia="MS Mincho" w:cs="Arial"/>
                <w:sz w:val="14"/>
                <w:szCs w:val="18"/>
              </w:rPr>
              <w:t>“ je Société Générale SA, B 552 120 222, se sídlem 29, Boulevard Haussmann, 75009 Paříž, Francie.</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Skutečný majitel</w:t>
            </w:r>
            <w:r w:rsidRPr="005F43B9">
              <w:rPr>
                <w:rFonts w:eastAsia="MS Mincho" w:cs="Arial"/>
                <w:sz w:val="14"/>
                <w:szCs w:val="18"/>
              </w:rPr>
              <w:t>“ je fyzická osoba, která má fakticky nebo právně možnost vykonávat přímo nebo nepřímo rozhodující vliv v právnické osobě, ve svěřenském fondu nebo v jiném právním uspořádání bez právní osobnosti. Skutečný majitelem je</w:t>
            </w:r>
          </w:p>
          <w:p w:rsidR="005F43B9" w:rsidRPr="005F43B9" w:rsidRDefault="005F43B9" w:rsidP="005F43B9">
            <w:pPr>
              <w:overflowPunct/>
              <w:autoSpaceDE/>
              <w:autoSpaceDN/>
              <w:adjustRightInd/>
              <w:spacing w:after="40"/>
              <w:ind w:left="250" w:hanging="250"/>
              <w:jc w:val="left"/>
              <w:textAlignment w:val="auto"/>
              <w:rPr>
                <w:rFonts w:eastAsia="MS Mincho" w:cs="Arial"/>
                <w:sz w:val="14"/>
                <w:szCs w:val="18"/>
                <w:lang w:eastAsia="en-US"/>
              </w:rPr>
            </w:pPr>
            <w:r w:rsidRPr="005F43B9">
              <w:rPr>
                <w:rFonts w:eastAsia="MS Mincho" w:cs="Arial"/>
                <w:sz w:val="14"/>
                <w:szCs w:val="18"/>
                <w:lang w:eastAsia="en-US"/>
              </w:rPr>
              <w:t>a)</w:t>
            </w:r>
            <w:r w:rsidRPr="005F43B9">
              <w:rPr>
                <w:rFonts w:eastAsia="MS Mincho" w:cs="Arial"/>
                <w:sz w:val="14"/>
                <w:szCs w:val="18"/>
                <w:lang w:eastAsia="en-US"/>
              </w:rPr>
              <w:tab/>
              <w:t xml:space="preserve">u </w:t>
            </w:r>
            <w:r w:rsidRPr="005F43B9">
              <w:rPr>
                <w:rFonts w:eastAsia="MS Mincho" w:cs="Arial"/>
                <w:b/>
                <w:sz w:val="14"/>
                <w:szCs w:val="18"/>
                <w:lang w:eastAsia="en-US"/>
              </w:rPr>
              <w:t xml:space="preserve">obchodní korporace </w:t>
            </w:r>
            <w:r w:rsidRPr="005F43B9">
              <w:rPr>
                <w:rFonts w:eastAsia="MS Mincho" w:cs="Arial"/>
                <w:sz w:val="14"/>
                <w:szCs w:val="18"/>
                <w:lang w:eastAsia="en-US"/>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b)</w:t>
            </w:r>
            <w:r w:rsidRPr="005F43B9">
              <w:rPr>
                <w:rFonts w:eastAsia="MS Mincho" w:cs="Arial"/>
                <w:sz w:val="14"/>
                <w:szCs w:val="18"/>
                <w:lang w:eastAsia="en-US"/>
              </w:rPr>
              <w:tab/>
              <w:t xml:space="preserve">u </w:t>
            </w:r>
            <w:r w:rsidRPr="005F43B9">
              <w:rPr>
                <w:rFonts w:eastAsia="MS Mincho" w:cs="Arial"/>
                <w:b/>
                <w:sz w:val="14"/>
                <w:szCs w:val="18"/>
                <w:lang w:eastAsia="en-US"/>
              </w:rPr>
              <w:t>spolku, obecně prospěšné společnosti, společenství vlastníků jednotek, církve, náboženské společnosti nebo jiné právnické osoby podle zákona upravujícího postavení církví a náboženských společností</w:t>
            </w:r>
            <w:r w:rsidRPr="005F43B9">
              <w:rPr>
                <w:rFonts w:eastAsia="MS Mincho" w:cs="Arial"/>
                <w:sz w:val="14"/>
                <w:szCs w:val="18"/>
                <w:lang w:eastAsia="en-US"/>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c)</w:t>
            </w:r>
            <w:r w:rsidRPr="005F43B9">
              <w:rPr>
                <w:rFonts w:eastAsia="MS Mincho" w:cs="Arial"/>
                <w:sz w:val="14"/>
                <w:szCs w:val="18"/>
                <w:lang w:eastAsia="en-US"/>
              </w:rPr>
              <w:tab/>
              <w:t xml:space="preserve">u </w:t>
            </w:r>
            <w:r w:rsidRPr="005F43B9">
              <w:rPr>
                <w:rFonts w:eastAsia="MS Mincho" w:cs="Arial"/>
                <w:b/>
                <w:sz w:val="14"/>
                <w:szCs w:val="18"/>
                <w:lang w:eastAsia="en-US"/>
              </w:rPr>
              <w:t>nadace, ústavu, nadačního fondu, svěřenského fondu nebo jiného právního uspořádání bez právní osobnosti</w:t>
            </w:r>
            <w:r w:rsidRPr="005F43B9">
              <w:rPr>
                <w:rFonts w:eastAsia="MS Mincho" w:cs="Arial"/>
                <w:sz w:val="14"/>
                <w:szCs w:val="18"/>
                <w:lang w:eastAsia="en-US"/>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Smlouva</w:t>
            </w:r>
            <w:r w:rsidRPr="005F43B9">
              <w:rPr>
                <w:rFonts w:eastAsia="MS Mincho" w:cs="Arial"/>
                <w:sz w:val="14"/>
                <w:szCs w:val="18"/>
              </w:rPr>
              <w:t>“ je smlouva nebo dohoda o poskytnutí Bankovní služby uzavřená mezi Klientem a Bankou.</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Smlouva o Platebních službách</w:t>
            </w:r>
            <w:r w:rsidRPr="005F43B9">
              <w:rPr>
                <w:rFonts w:eastAsia="MS Mincho" w:cs="Arial"/>
                <w:sz w:val="14"/>
                <w:szCs w:val="18"/>
              </w:rPr>
              <w:t>“ je jakákoli Smlouva, bez ohledu na její označení, jejímž předmětem je poskytování Platebních služeb (např. smlouva o běžném Účtu, smlouva o vydání a užívání platební karty).</w:t>
            </w:r>
          </w:p>
          <w:p w:rsidR="005F43B9" w:rsidRPr="005F43B9" w:rsidRDefault="005F43B9" w:rsidP="005F43B9">
            <w:pPr>
              <w:overflowPunct/>
              <w:autoSpaceDE/>
              <w:autoSpaceDN/>
              <w:adjustRightInd/>
              <w:spacing w:after="40"/>
              <w:textAlignment w:val="auto"/>
              <w:rPr>
                <w:rFonts w:eastAsia="MS Mincho" w:cs="Arial"/>
                <w:sz w:val="14"/>
                <w:szCs w:val="14"/>
              </w:rPr>
            </w:pPr>
            <w:r w:rsidRPr="005F43B9">
              <w:rPr>
                <w:rFonts w:eastAsia="MS Mincho" w:cs="Arial"/>
                <w:sz w:val="14"/>
                <w:szCs w:val="14"/>
              </w:rPr>
              <w:t>„</w:t>
            </w:r>
            <w:r w:rsidRPr="005F43B9">
              <w:rPr>
                <w:rFonts w:eastAsia="MS Mincho" w:cs="Arial"/>
                <w:b/>
                <w:sz w:val="14"/>
                <w:szCs w:val="14"/>
              </w:rPr>
              <w:t>Správce</w:t>
            </w:r>
            <w:r w:rsidRPr="005F43B9">
              <w:rPr>
                <w:rFonts w:eastAsia="MS Mincho" w:cs="Arial"/>
                <w:sz w:val="14"/>
                <w:szCs w:val="14"/>
              </w:rPr>
              <w:t xml:space="preserve">“ </w:t>
            </w:r>
            <w:r w:rsidRPr="005F43B9">
              <w:rPr>
                <w:rFonts w:eastAsia="MS Mincho" w:cs="Arial"/>
                <w:color w:val="333333"/>
                <w:sz w:val="14"/>
                <w:szCs w:val="14"/>
                <w:lang w:eastAsia="en-US"/>
              </w:rPr>
              <w:t>je SG, Banka, Členové FSKB a Osoby ovládané SG a Amundi Czech Republic, investiční společnost, a.s., IČO: 60196769</w:t>
            </w:r>
            <w:r w:rsidRPr="005F43B9">
              <w:rPr>
                <w:rFonts w:eastAsia="MS Mincho" w:cs="Arial"/>
                <w:sz w:val="14"/>
                <w:szCs w:val="14"/>
              </w:rPr>
              <w:t>.</w:t>
            </w:r>
          </w:p>
          <w:p w:rsidR="005F43B9" w:rsidRPr="005F43B9" w:rsidRDefault="005F43B9" w:rsidP="005F43B9">
            <w:pPr>
              <w:overflowPunct/>
              <w:autoSpaceDE/>
              <w:autoSpaceDN/>
              <w:adjustRightInd/>
              <w:spacing w:after="40"/>
              <w:jc w:val="left"/>
              <w:textAlignment w:val="auto"/>
              <w:rPr>
                <w:rFonts w:eastAsia="MS Mincho"/>
                <w:sz w:val="14"/>
                <w:szCs w:val="22"/>
                <w:lang w:eastAsia="en-US"/>
              </w:rPr>
            </w:pPr>
            <w:r w:rsidRPr="005F43B9">
              <w:rPr>
                <w:rFonts w:eastAsia="MS Mincho"/>
                <w:b/>
                <w:sz w:val="14"/>
                <w:szCs w:val="22"/>
                <w:lang w:eastAsia="en-US"/>
              </w:rPr>
              <w:t>Transakce</w:t>
            </w:r>
            <w:r w:rsidRPr="005F43B9">
              <w:rPr>
                <w:rFonts w:eastAsia="MS Mincho"/>
                <w:sz w:val="14"/>
                <w:szCs w:val="22"/>
                <w:lang w:eastAsia="en-US"/>
              </w:rPr>
              <w:t xml:space="preserve"> </w:t>
            </w:r>
            <w:r w:rsidRPr="005F43B9">
              <w:rPr>
                <w:rFonts w:eastAsia="MS Mincho"/>
                <w:b/>
                <w:sz w:val="14"/>
                <w:szCs w:val="22"/>
                <w:lang w:eastAsia="en-US"/>
              </w:rPr>
              <w:t>mimo</w:t>
            </w:r>
            <w:r w:rsidRPr="005F43B9">
              <w:rPr>
                <w:rFonts w:eastAsia="MS Mincho"/>
                <w:sz w:val="14"/>
                <w:szCs w:val="22"/>
                <w:lang w:eastAsia="en-US"/>
              </w:rPr>
              <w:t xml:space="preserve"> </w:t>
            </w:r>
            <w:r w:rsidRPr="005F43B9">
              <w:rPr>
                <w:rFonts w:eastAsia="MS Mincho"/>
                <w:b/>
                <w:sz w:val="14"/>
                <w:szCs w:val="22"/>
                <w:lang w:eastAsia="en-US"/>
              </w:rPr>
              <w:t>EHP</w:t>
            </w:r>
            <w:r w:rsidRPr="005F43B9">
              <w:rPr>
                <w:rFonts w:eastAsia="MS Mincho"/>
                <w:sz w:val="14"/>
                <w:szCs w:val="22"/>
                <w:lang w:eastAsia="en-US"/>
              </w:rPr>
              <w:t>“ jsou platební transakce z nebo do státu, který není členem Evropského hospodářského prostoru.</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Účet</w:t>
            </w:r>
            <w:r w:rsidRPr="005F43B9">
              <w:rPr>
                <w:rFonts w:eastAsia="MS Mincho" w:cs="Arial"/>
                <w:sz w:val="14"/>
                <w:szCs w:val="18"/>
              </w:rPr>
              <w:t>“ je běžný, spořící nebo termínovaný účet Klienta vedený Bankou.</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bCs/>
                <w:sz w:val="14"/>
                <w:szCs w:val="18"/>
              </w:rPr>
              <w:t>„</w:t>
            </w:r>
            <w:r w:rsidRPr="005F43B9">
              <w:rPr>
                <w:rFonts w:eastAsia="MS Mincho" w:cs="Arial"/>
                <w:b/>
                <w:bCs/>
                <w:sz w:val="14"/>
                <w:szCs w:val="18"/>
              </w:rPr>
              <w:t>U.S. osoba</w:t>
            </w:r>
            <w:r w:rsidRPr="005F43B9">
              <w:rPr>
                <w:rFonts w:eastAsia="MS Mincho" w:cs="Arial"/>
                <w:bCs/>
                <w:sz w:val="14"/>
                <w:szCs w:val="18"/>
              </w:rPr>
              <w:t>“</w:t>
            </w:r>
            <w:r w:rsidRPr="005F43B9">
              <w:rPr>
                <w:rFonts w:eastAsia="MS Mincho" w:cs="Arial"/>
                <w:sz w:val="14"/>
                <w:szCs w:val="18"/>
              </w:rPr>
              <w:t xml:space="preserve"> je </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a)</w:t>
            </w:r>
            <w:r w:rsidRPr="005F43B9">
              <w:rPr>
                <w:rFonts w:eastAsia="MS Mincho" w:cs="Arial"/>
                <w:sz w:val="14"/>
                <w:szCs w:val="18"/>
                <w:lang w:eastAsia="en-US"/>
              </w:rPr>
              <w:tab/>
              <w:t>fyzická osoba, která má státní občanství Spojených států amerických (dále jen jako „USA“) a/nebo je rezidentem USA. Rezident USA je definován jako osoba, která</w:t>
            </w:r>
          </w:p>
          <w:p w:rsidR="005F43B9" w:rsidRPr="005F43B9" w:rsidRDefault="005F43B9" w:rsidP="005F43B9">
            <w:pPr>
              <w:overflowPunct/>
              <w:autoSpaceDE/>
              <w:autoSpaceDN/>
              <w:adjustRightInd/>
              <w:spacing w:after="40"/>
              <w:ind w:left="454" w:hanging="227"/>
              <w:jc w:val="left"/>
              <w:textAlignment w:val="auto"/>
              <w:rPr>
                <w:rFonts w:eastAsia="MS Mincho" w:cs="Arial"/>
                <w:sz w:val="14"/>
                <w:szCs w:val="18"/>
              </w:rPr>
            </w:pPr>
            <w:r w:rsidRPr="005F43B9">
              <w:rPr>
                <w:rFonts w:ascii="Wingdings" w:eastAsia="MS Mincho" w:hAnsi="Wingdings" w:cs="Arial"/>
                <w:szCs w:val="18"/>
              </w:rPr>
              <w:t></w:t>
            </w:r>
            <w:r w:rsidRPr="005F43B9">
              <w:rPr>
                <w:rFonts w:ascii="Wingdings" w:eastAsia="MS Mincho" w:hAnsi="Wingdings" w:cs="Arial"/>
                <w:szCs w:val="18"/>
              </w:rPr>
              <w:tab/>
            </w:r>
            <w:r w:rsidRPr="005F43B9">
              <w:rPr>
                <w:rFonts w:eastAsia="MS Mincho" w:cs="Arial"/>
                <w:sz w:val="14"/>
                <w:szCs w:val="18"/>
              </w:rPr>
              <w:t>je držitelem zelené karty (bez ohledu na státní občanství kterékoli jiné země) a/nebo</w:t>
            </w:r>
          </w:p>
          <w:p w:rsidR="005F43B9" w:rsidRPr="005F43B9" w:rsidRDefault="005F43B9" w:rsidP="005F43B9">
            <w:pPr>
              <w:overflowPunct/>
              <w:autoSpaceDE/>
              <w:autoSpaceDN/>
              <w:adjustRightInd/>
              <w:spacing w:after="40"/>
              <w:ind w:left="454" w:hanging="227"/>
              <w:jc w:val="left"/>
              <w:textAlignment w:val="auto"/>
              <w:rPr>
                <w:rFonts w:eastAsia="MS Mincho" w:cs="Arial"/>
                <w:sz w:val="14"/>
                <w:szCs w:val="18"/>
              </w:rPr>
            </w:pPr>
            <w:r w:rsidRPr="005F43B9">
              <w:rPr>
                <w:rFonts w:ascii="Wingdings" w:eastAsia="MS Mincho" w:hAnsi="Wingdings" w:cs="Arial"/>
                <w:szCs w:val="18"/>
              </w:rPr>
              <w:t></w:t>
            </w:r>
            <w:r w:rsidRPr="005F43B9">
              <w:rPr>
                <w:rFonts w:ascii="Wingdings" w:eastAsia="MS Mincho" w:hAnsi="Wingdings" w:cs="Arial"/>
                <w:szCs w:val="18"/>
              </w:rPr>
              <w:tab/>
            </w:r>
            <w:r w:rsidRPr="005F43B9">
              <w:rPr>
                <w:rFonts w:eastAsia="MS Mincho" w:cs="Arial"/>
                <w:sz w:val="14"/>
                <w:szCs w:val="18"/>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b)</w:t>
            </w:r>
            <w:r w:rsidRPr="005F43B9">
              <w:rPr>
                <w:rFonts w:eastAsia="MS Mincho" w:cs="Arial"/>
                <w:sz w:val="14"/>
                <w:szCs w:val="18"/>
                <w:lang w:eastAsia="en-US"/>
              </w:rPr>
              <w:tab/>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5F43B9" w:rsidRPr="005F43B9" w:rsidRDefault="005F43B9" w:rsidP="005F43B9">
            <w:pPr>
              <w:overflowPunct/>
              <w:autoSpaceDE/>
              <w:autoSpaceDN/>
              <w:adjustRightInd/>
              <w:spacing w:after="40"/>
              <w:textAlignment w:val="auto"/>
              <w:rPr>
                <w:rFonts w:eastAsia="MS Mincho" w:cs="Arial"/>
                <w:sz w:val="14"/>
                <w:szCs w:val="18"/>
              </w:rPr>
            </w:pPr>
            <w:r w:rsidRPr="005F43B9">
              <w:rPr>
                <w:rFonts w:eastAsia="MS Mincho" w:cs="Arial"/>
                <w:sz w:val="14"/>
                <w:szCs w:val="18"/>
              </w:rPr>
              <w:t>„</w:t>
            </w:r>
            <w:r w:rsidRPr="005F43B9">
              <w:rPr>
                <w:rFonts w:eastAsia="MS Mincho" w:cs="Arial"/>
                <w:b/>
                <w:sz w:val="14"/>
                <w:szCs w:val="18"/>
              </w:rPr>
              <w:t>Zásilky</w:t>
            </w:r>
            <w:r w:rsidRPr="005F43B9">
              <w:rPr>
                <w:rFonts w:eastAsia="MS Mincho" w:cs="Arial"/>
                <w:sz w:val="14"/>
                <w:szCs w:val="18"/>
              </w:rPr>
              <w:t xml:space="preserve">“ jsou zprávy (včetně zpráv o zúčtování), písemnosti a jiná korespondence či jiné zásilky mezi Bankou a Klientem související s poskytováním Bankovních služeb. </w:t>
            </w:r>
          </w:p>
          <w:p w:rsidR="005F43B9" w:rsidRPr="005F43B9" w:rsidRDefault="005F43B9" w:rsidP="005F43B9">
            <w:pPr>
              <w:overflowPunct/>
              <w:autoSpaceDE/>
              <w:autoSpaceDN/>
              <w:adjustRightInd/>
              <w:spacing w:after="40"/>
              <w:textAlignment w:val="auto"/>
              <w:rPr>
                <w:rFonts w:eastAsia="MS Mincho" w:cs="Arial"/>
                <w:sz w:val="14"/>
                <w:szCs w:val="18"/>
                <w:lang w:eastAsia="en-US"/>
              </w:rPr>
            </w:pPr>
            <w:r w:rsidRPr="005F43B9">
              <w:rPr>
                <w:rFonts w:eastAsia="MS Mincho" w:cs="Arial"/>
                <w:sz w:val="14"/>
                <w:szCs w:val="18"/>
              </w:rPr>
              <w:t>„</w:t>
            </w:r>
            <w:r w:rsidRPr="005F43B9">
              <w:rPr>
                <w:rFonts w:eastAsia="MS Mincho" w:cs="Arial"/>
                <w:b/>
                <w:sz w:val="14"/>
                <w:szCs w:val="18"/>
              </w:rPr>
              <w:t>Zmocněnec</w:t>
            </w:r>
            <w:r w:rsidRPr="005F43B9">
              <w:rPr>
                <w:rFonts w:eastAsia="MS Mincho" w:cs="Arial"/>
                <w:sz w:val="14"/>
                <w:szCs w:val="18"/>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35.2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rPr>
            </w:pPr>
            <w:r w:rsidRPr="005F43B9">
              <w:rPr>
                <w:rFonts w:eastAsia="MS Mincho" w:cs="Arial"/>
                <w:sz w:val="14"/>
                <w:szCs w:val="18"/>
              </w:rPr>
              <w:t xml:space="preserve">Pokud z kontextu nevyplývá jinak, platí při výkladu VOP a Smlouvy následující pravidla: </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a)</w:t>
            </w:r>
            <w:r w:rsidRPr="005F43B9">
              <w:rPr>
                <w:rFonts w:eastAsia="MS Mincho" w:cs="Arial"/>
                <w:sz w:val="14"/>
                <w:szCs w:val="18"/>
                <w:lang w:eastAsia="en-US"/>
              </w:rPr>
              <w:tab/>
              <w:t>odkazy na internetové stránky Banky jsou odkazy na adresu www.kb.cz, případně na jiné internetové adresy, které Banka používá nebo bude používat v souvislosti s poskytováním Bankovních služeb;</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b)</w:t>
            </w:r>
            <w:r w:rsidRPr="005F43B9">
              <w:rPr>
                <w:rFonts w:eastAsia="MS Mincho" w:cs="Arial"/>
                <w:sz w:val="14"/>
                <w:szCs w:val="18"/>
                <w:lang w:eastAsia="en-US"/>
              </w:rPr>
              <w:tab/>
              <w:t>odkazy ve Smlouvě nebo jiných dokumentech na články VOP nebo jiných dokumentů uvedené římskými číslicemi znamenají odkazy na stejné číslo článku příslušného dokumentu uvedené arabskými číslicemi;</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c)</w:t>
            </w:r>
            <w:r w:rsidRPr="005F43B9">
              <w:rPr>
                <w:rFonts w:eastAsia="MS Mincho" w:cs="Arial"/>
                <w:sz w:val="14"/>
                <w:szCs w:val="18"/>
                <w:lang w:eastAsia="en-US"/>
              </w:rPr>
              <w:tab/>
              <w:t>Smlouvou se rozumí Smlouva včetně všech jejích nedílných součástí, zejména včetně VOP, příslušných Produktových podmínek, Oznámení a Sazebníku;</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d)</w:t>
            </w:r>
            <w:r w:rsidRPr="005F43B9">
              <w:rPr>
                <w:rFonts w:eastAsia="MS Mincho" w:cs="Arial"/>
                <w:sz w:val="14"/>
                <w:szCs w:val="18"/>
                <w:lang w:eastAsia="en-US"/>
              </w:rPr>
              <w:tab/>
              <w:t>pojmem „příkaz“ se rozumí jak Příkaz, tak případně i jiný pokyn Klienta Bance;</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e)</w:t>
            </w:r>
            <w:r w:rsidRPr="005F43B9">
              <w:rPr>
                <w:rFonts w:eastAsia="MS Mincho" w:cs="Arial"/>
                <w:sz w:val="14"/>
                <w:szCs w:val="18"/>
                <w:lang w:eastAsia="en-US"/>
              </w:rPr>
              <w:tab/>
              <w:t>platební transakcí se rozumí vklad hotovosti na Platební účet nebo výběr hotovosti z Platebního účtu nebo bezhotovostní převod peněžních prostředků z Účtu nebo na Účet;</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f)</w:t>
            </w:r>
            <w:r w:rsidRPr="005F43B9">
              <w:rPr>
                <w:rFonts w:eastAsia="MS Mincho" w:cs="Arial"/>
                <w:sz w:val="14"/>
                <w:szCs w:val="18"/>
                <w:lang w:eastAsia="en-US"/>
              </w:rPr>
              <w:tab/>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g)</w:t>
            </w:r>
            <w:r w:rsidRPr="005F43B9">
              <w:rPr>
                <w:rFonts w:eastAsia="MS Mincho" w:cs="Arial"/>
                <w:sz w:val="14"/>
                <w:szCs w:val="18"/>
                <w:lang w:eastAsia="en-US"/>
              </w:rPr>
              <w:tab/>
              <w:t>poštou se rozumí provozovatel poštovních služeb;</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lang w:eastAsia="en-US"/>
              </w:rPr>
            </w:pPr>
            <w:r w:rsidRPr="005F43B9">
              <w:rPr>
                <w:rFonts w:eastAsia="MS Mincho" w:cs="Arial"/>
                <w:sz w:val="14"/>
                <w:szCs w:val="18"/>
                <w:lang w:eastAsia="en-US"/>
              </w:rPr>
              <w:t>h)</w:t>
            </w:r>
            <w:r w:rsidRPr="005F43B9">
              <w:rPr>
                <w:rFonts w:eastAsia="MS Mincho" w:cs="Arial"/>
                <w:sz w:val="14"/>
                <w:szCs w:val="18"/>
                <w:lang w:eastAsia="en-US"/>
              </w:rPr>
              <w:tab/>
              <w:t>osobami jednajícími jménem či za Klienta se rozumí Zmocněnec, Jednající osoba a Oprávněna osoba;</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rPr>
            </w:pPr>
            <w:r w:rsidRPr="005F43B9">
              <w:rPr>
                <w:rFonts w:eastAsia="MS Mincho" w:cs="Arial"/>
                <w:sz w:val="14"/>
                <w:szCs w:val="18"/>
              </w:rPr>
              <w:t>i)</w:t>
            </w:r>
            <w:r w:rsidRPr="005F43B9">
              <w:rPr>
                <w:rFonts w:eastAsia="MS Mincho" w:cs="Arial"/>
                <w:sz w:val="14"/>
                <w:szCs w:val="18"/>
              </w:rPr>
              <w:tab/>
            </w:r>
            <w:r w:rsidRPr="005F43B9">
              <w:rPr>
                <w:rFonts w:eastAsia="MS Mincho" w:cs="Arial"/>
                <w:sz w:val="14"/>
                <w:szCs w:val="18"/>
                <w:lang w:eastAsia="en-US"/>
              </w:rPr>
              <w:t>obchodními místy Banky se rozumí organizační útvary Banky, v nichž jsou poskytovány Bankovní služby, označované zejména jako pobočky nebo obchodní divize;</w:t>
            </w:r>
          </w:p>
          <w:p w:rsidR="005F43B9" w:rsidRPr="005F43B9" w:rsidRDefault="005F43B9" w:rsidP="005F43B9">
            <w:pPr>
              <w:overflowPunct/>
              <w:autoSpaceDE/>
              <w:autoSpaceDN/>
              <w:adjustRightInd/>
              <w:spacing w:after="40"/>
              <w:ind w:left="227" w:hanging="227"/>
              <w:jc w:val="left"/>
              <w:textAlignment w:val="auto"/>
              <w:rPr>
                <w:rFonts w:eastAsia="MS Mincho" w:cs="Arial"/>
                <w:sz w:val="14"/>
                <w:szCs w:val="18"/>
              </w:rPr>
            </w:pPr>
            <w:r w:rsidRPr="005F43B9">
              <w:rPr>
                <w:rFonts w:eastAsia="MS Mincho" w:cs="Arial"/>
                <w:sz w:val="14"/>
                <w:szCs w:val="18"/>
              </w:rPr>
              <w:t>j)</w:t>
            </w:r>
            <w:r w:rsidRPr="005F43B9">
              <w:rPr>
                <w:rFonts w:eastAsia="MS Mincho" w:cs="Arial"/>
                <w:sz w:val="14"/>
                <w:szCs w:val="18"/>
              </w:rPr>
              <w:tab/>
            </w:r>
            <w:r w:rsidRPr="005F43B9">
              <w:rPr>
                <w:rFonts w:eastAsia="MS Mincho" w:cs="Arial"/>
                <w:sz w:val="14"/>
                <w:szCs w:val="18"/>
                <w:lang w:eastAsia="en-US"/>
              </w:rPr>
              <w:t>přímým bankovnictvím se rozumí internetové bankovnictví a telefonické bankovnictví.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5F43B9" w:rsidRPr="005F43B9" w:rsidRDefault="005F43B9" w:rsidP="005F43B9">
            <w:pPr>
              <w:keepNext/>
              <w:overflowPunct/>
              <w:spacing w:before="40" w:after="40"/>
              <w:textAlignment w:val="auto"/>
              <w:rPr>
                <w:rFonts w:cs="Arial"/>
                <w:b/>
                <w:bCs/>
                <w:color w:val="FFFFFF"/>
                <w:szCs w:val="18"/>
                <w:lang w:eastAsia="en-US"/>
              </w:rPr>
            </w:pPr>
            <w:r w:rsidRPr="005F43B9">
              <w:rPr>
                <w:rFonts w:cs="Arial"/>
                <w:b/>
                <w:bCs/>
                <w:color w:val="FFFFFF"/>
                <w:szCs w:val="18"/>
                <w:lang w:eastAsia="en-US"/>
              </w:rPr>
              <w:t>Článek 36. Zrušovací ustanovení</w:t>
            </w:r>
          </w:p>
        </w:tc>
      </w:tr>
      <w:tr w:rsidR="005F43B9" w:rsidRPr="005F43B9" w:rsidTr="0033437D">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5F43B9" w:rsidRPr="005F43B9" w:rsidRDefault="005F43B9" w:rsidP="005F43B9">
            <w:pPr>
              <w:keepNext/>
              <w:overflowPunct/>
              <w:autoSpaceDE/>
              <w:autoSpaceDN/>
              <w:adjustRightInd/>
              <w:spacing w:before="40" w:after="40"/>
              <w:jc w:val="right"/>
              <w:textAlignment w:val="auto"/>
              <w:rPr>
                <w:rFonts w:eastAsia="MS Mincho" w:cs="Arial"/>
                <w:sz w:val="8"/>
                <w:szCs w:val="8"/>
                <w:lang w:eastAsia="en-US"/>
              </w:rPr>
            </w:pP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36.1</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Tyto VOP nabývají účinnosti dne 14.4.2020.</w:t>
            </w:r>
          </w:p>
        </w:tc>
      </w:tr>
      <w:tr w:rsidR="005F43B9" w:rsidRPr="005F43B9" w:rsidTr="0033437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jc w:val="right"/>
              <w:textAlignment w:val="auto"/>
              <w:rPr>
                <w:rFonts w:eastAsia="MS Mincho" w:cs="Arial"/>
                <w:b/>
                <w:sz w:val="14"/>
                <w:szCs w:val="18"/>
                <w:lang w:eastAsia="en-US"/>
              </w:rPr>
            </w:pPr>
            <w:r w:rsidRPr="005F43B9">
              <w:rPr>
                <w:rFonts w:eastAsia="MS Mincho" w:cs="Arial"/>
                <w:b/>
                <w:sz w:val="14"/>
                <w:szCs w:val="18"/>
                <w:lang w:eastAsia="en-US"/>
              </w:rPr>
              <w:t>36.2</w:t>
            </w:r>
          </w:p>
        </w:tc>
        <w:tc>
          <w:tcPr>
            <w:tcW w:w="9009" w:type="dxa"/>
            <w:tcBorders>
              <w:left w:val="single" w:sz="6" w:space="0" w:color="C8C8C8"/>
            </w:tcBorders>
            <w:noWrap/>
            <w:tcMar>
              <w:left w:w="113" w:type="dxa"/>
              <w:right w:w="113" w:type="dxa"/>
            </w:tcMar>
          </w:tcPr>
          <w:p w:rsidR="005F43B9" w:rsidRPr="005F43B9" w:rsidRDefault="005F43B9" w:rsidP="005F43B9">
            <w:pPr>
              <w:overflowPunct/>
              <w:autoSpaceDE/>
              <w:autoSpaceDN/>
              <w:adjustRightInd/>
              <w:spacing w:before="40" w:after="40"/>
              <w:textAlignment w:val="auto"/>
              <w:rPr>
                <w:rFonts w:eastAsia="MS Mincho" w:cs="Arial"/>
                <w:sz w:val="14"/>
                <w:szCs w:val="18"/>
                <w:lang w:eastAsia="en-US"/>
              </w:rPr>
            </w:pPr>
            <w:r w:rsidRPr="005F43B9">
              <w:rPr>
                <w:rFonts w:eastAsia="MS Mincho" w:cs="Arial"/>
                <w:sz w:val="14"/>
                <w:szCs w:val="18"/>
                <w:lang w:eastAsia="en-US"/>
              </w:rPr>
              <w:t>Tyto VOP ruší a nahrazují VOP účinné od 4.12.2019.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tc>
      </w:tr>
      <w:tr w:rsidR="005F43B9" w:rsidRPr="005F43B9" w:rsidTr="0033437D">
        <w:tc>
          <w:tcPr>
            <w:tcW w:w="9639" w:type="dxa"/>
            <w:gridSpan w:val="2"/>
            <w:tcBorders>
              <w:top w:val="nil"/>
              <w:left w:val="nil"/>
              <w:bottom w:val="nil"/>
              <w:right w:val="nil"/>
            </w:tcBorders>
            <w:noWrap/>
            <w:tcMar>
              <w:left w:w="0" w:type="dxa"/>
              <w:right w:w="0" w:type="dxa"/>
            </w:tcMar>
          </w:tcPr>
          <w:p w:rsidR="005F43B9" w:rsidRPr="005F43B9" w:rsidRDefault="005F43B9" w:rsidP="005F43B9">
            <w:pPr>
              <w:overflowPunct/>
              <w:autoSpaceDE/>
              <w:autoSpaceDN/>
              <w:adjustRightInd/>
              <w:jc w:val="left"/>
              <w:textAlignment w:val="auto"/>
              <w:rPr>
                <w:rFonts w:eastAsia="MS Mincho"/>
                <w:sz w:val="14"/>
                <w:szCs w:val="22"/>
                <w:lang w:eastAsia="en-US"/>
              </w:rPr>
            </w:pPr>
          </w:p>
        </w:tc>
      </w:tr>
      <w:bookmarkEnd w:id="0"/>
      <w:bookmarkEnd w:id="1"/>
    </w:tbl>
    <w:p w:rsidR="00530170" w:rsidRPr="005F43B9" w:rsidRDefault="00530170" w:rsidP="005F43B9"/>
    <w:sectPr w:rsidR="00530170" w:rsidRPr="005F43B9" w:rsidSect="005F43B9">
      <w:headerReference w:type="default" r:id="rId7"/>
      <w:footerReference w:type="default" r:id="rId8"/>
      <w:headerReference w:type="first" r:id="rId9"/>
      <w:footerReference w:type="first" r:id="rId10"/>
      <w:pgSz w:w="11906" w:h="16838" w:code="9"/>
      <w:pgMar w:top="1871" w:right="1134" w:bottom="1588" w:left="1134" w:header="103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A7" w:rsidRDefault="00710AA7" w:rsidP="005F43B9">
      <w:r>
        <w:separator/>
      </w:r>
    </w:p>
  </w:endnote>
  <w:endnote w:type="continuationSeparator" w:id="0">
    <w:p w:rsidR="00710AA7" w:rsidRDefault="00710AA7" w:rsidP="005F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PrecisionID C128 04">
    <w:charset w:val="EE"/>
    <w:family w:val="auto"/>
    <w:pitch w:val="variable"/>
    <w:sig w:usb0="80002A87" w:usb1="00000040" w:usb2="00000010" w:usb3="00000000" w:csb0="0000007F" w:csb1="00000000"/>
  </w:font>
  <w:font w:name="Arial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DC7E2E" w:rsidRPr="00EB16B3" w:rsidTr="008C1233">
      <w:trPr>
        <w:trHeight w:hRule="exact" w:val="907"/>
      </w:trPr>
      <w:tc>
        <w:tcPr>
          <w:tcW w:w="4820" w:type="dxa"/>
          <w:shd w:val="clear" w:color="auto" w:fill="auto"/>
          <w:vAlign w:val="bottom"/>
        </w:tcPr>
        <w:p w:rsidR="00DC7E2E" w:rsidRDefault="005F43B9" w:rsidP="008C1233">
          <w:pPr>
            <w:pStyle w:val="kbFixedtext"/>
          </w:pPr>
          <w:bookmarkStart w:id="7" w:name="SR_D1_optJazykCZ_Z2" w:colFirst="0" w:colLast="2"/>
          <w:bookmarkStart w:id="8" w:name="cj_4" w:colFirst="0" w:colLast="1"/>
          <w:r>
            <w:t xml:space="preserve">Komerční banka, a. s., se sídlem: </w:t>
          </w:r>
        </w:p>
        <w:p w:rsidR="00DC7E2E" w:rsidRDefault="005F43B9" w:rsidP="008C1233">
          <w:pPr>
            <w:pStyle w:val="kbFixedtext"/>
          </w:pPr>
          <w:r>
            <w:t>Praha 1, Na Příkopě 33 čp. 969, PSČ 114 07, IČO: 45317054</w:t>
          </w:r>
        </w:p>
        <w:p w:rsidR="00DC7E2E" w:rsidRDefault="005F43B9" w:rsidP="008C1233">
          <w:pPr>
            <w:pStyle w:val="kbRegistration"/>
          </w:pPr>
          <w:r>
            <w:t>ZAPSANÁ V OBCHODNÍM REJSTŘÍKU VEDENÉM MĚSTSKÝm SOUDEM V PRAZE, ODDÍL B, VLOŽKA 1360</w:t>
          </w:r>
        </w:p>
      </w:tc>
      <w:tc>
        <w:tcPr>
          <w:tcW w:w="4819" w:type="dxa"/>
          <w:shd w:val="clear" w:color="auto" w:fill="auto"/>
          <w:vAlign w:val="bottom"/>
        </w:tcPr>
        <w:p w:rsidR="00DC7E2E" w:rsidRDefault="005F43B9" w:rsidP="008C1233">
          <w:pPr>
            <w:pStyle w:val="kbFixedtext"/>
            <w:jc w:val="right"/>
            <w:rPr>
              <w:sz w:val="8"/>
            </w:rPr>
          </w:pPr>
          <w:r>
            <w:rPr>
              <w:rStyle w:val="slostrnky"/>
              <w:rFonts w:eastAsia="MS Mincho"/>
            </w:rPr>
            <w:fldChar w:fldCharType="begin"/>
          </w:r>
          <w:r>
            <w:rPr>
              <w:rStyle w:val="slostrnky"/>
              <w:rFonts w:eastAsia="MS Mincho"/>
            </w:rPr>
            <w:instrText xml:space="preserve"> PAGE </w:instrText>
          </w:r>
          <w:r>
            <w:rPr>
              <w:rStyle w:val="slostrnky"/>
              <w:rFonts w:eastAsia="MS Mincho"/>
            </w:rPr>
            <w:fldChar w:fldCharType="separate"/>
          </w:r>
          <w:r w:rsidR="00474B47">
            <w:rPr>
              <w:rStyle w:val="slostrnky"/>
              <w:rFonts w:eastAsia="MS Mincho"/>
              <w:noProof/>
            </w:rPr>
            <w:t>2</w:t>
          </w:r>
          <w:r>
            <w:rPr>
              <w:rStyle w:val="slostrnky"/>
              <w:rFonts w:eastAsia="MS Mincho"/>
            </w:rPr>
            <w:fldChar w:fldCharType="end"/>
          </w:r>
          <w:r>
            <w:rPr>
              <w:rStyle w:val="slostrnky"/>
              <w:rFonts w:eastAsia="MS Mincho"/>
            </w:rPr>
            <w:t>/</w:t>
          </w:r>
          <w:r>
            <w:rPr>
              <w:rStyle w:val="slostrnky"/>
              <w:rFonts w:eastAsia="MS Mincho"/>
            </w:rPr>
            <w:fldChar w:fldCharType="begin"/>
          </w:r>
          <w:r>
            <w:rPr>
              <w:rStyle w:val="slostrnky"/>
              <w:rFonts w:eastAsia="MS Mincho"/>
            </w:rPr>
            <w:instrText xml:space="preserve"> NUMPAGES </w:instrText>
          </w:r>
          <w:r>
            <w:rPr>
              <w:rStyle w:val="slostrnky"/>
              <w:rFonts w:eastAsia="MS Mincho"/>
            </w:rPr>
            <w:fldChar w:fldCharType="separate"/>
          </w:r>
          <w:r w:rsidR="00474B47">
            <w:rPr>
              <w:rStyle w:val="slostrnky"/>
              <w:rFonts w:eastAsia="MS Mincho"/>
              <w:noProof/>
            </w:rPr>
            <w:t>1</w:t>
          </w:r>
          <w:r>
            <w:rPr>
              <w:rStyle w:val="slostrnky"/>
              <w:rFonts w:eastAsia="MS Mincho"/>
            </w:rPr>
            <w:fldChar w:fldCharType="end"/>
          </w:r>
        </w:p>
        <w:p w:rsidR="00DC7E2E" w:rsidRDefault="005F43B9" w:rsidP="008C1233">
          <w:pPr>
            <w:pStyle w:val="Registration"/>
            <w:jc w:val="right"/>
          </w:pPr>
          <w:r>
            <w:t>Datum účinnosti šablony 14. 4. 2020</w:t>
          </w:r>
        </w:p>
        <w:p w:rsidR="00DC7E2E" w:rsidRDefault="005F43B9"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474B47">
            <w:rPr>
              <w:noProof/>
            </w:rPr>
            <w:t>4.8.2020</w:t>
          </w:r>
          <w:r w:rsidRPr="00C314F7">
            <w:fldChar w:fldCharType="end"/>
          </w:r>
          <w:r w:rsidRPr="00C314F7">
            <w:t xml:space="preserve"> </w:t>
          </w:r>
          <w:r w:rsidRPr="00C314F7">
            <w:fldChar w:fldCharType="begin"/>
          </w:r>
          <w:r w:rsidRPr="00C314F7">
            <w:instrText>\TIME</w:instrText>
          </w:r>
          <w:r w:rsidRPr="00C314F7">
            <w:fldChar w:fldCharType="separate"/>
          </w:r>
          <w:r w:rsidR="00474B47">
            <w:rPr>
              <w:noProof/>
            </w:rPr>
            <w:t>9:58 dop.</w:t>
          </w:r>
          <w:r w:rsidRPr="00C314F7">
            <w:fldChar w:fldCharType="end"/>
          </w:r>
        </w:p>
      </w:tc>
    </w:tr>
    <w:bookmarkEnd w:id="7"/>
    <w:bookmarkEnd w:id="8"/>
  </w:tbl>
  <w:p w:rsidR="00DC7E2E" w:rsidRPr="004919EB" w:rsidRDefault="00710AA7">
    <w:pPr>
      <w:pStyle w:val="Zpat"/>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5811"/>
      <w:gridCol w:w="3828"/>
    </w:tblGrid>
    <w:tr w:rsidR="00DC7E2E" w:rsidRPr="00EB16B3" w:rsidTr="001A2FB1">
      <w:trPr>
        <w:trHeight w:hRule="exact" w:val="907"/>
      </w:trPr>
      <w:tc>
        <w:tcPr>
          <w:tcW w:w="5811" w:type="dxa"/>
          <w:shd w:val="clear" w:color="auto" w:fill="auto"/>
          <w:vAlign w:val="bottom"/>
        </w:tcPr>
        <w:p w:rsidR="00DC7E2E" w:rsidRDefault="005F43B9" w:rsidP="008C1233">
          <w:pPr>
            <w:pStyle w:val="kbFixedtext"/>
          </w:pPr>
          <w:bookmarkStart w:id="11" w:name="SR_D1_optJazykCZ_Z1" w:colFirst="0" w:colLast="2"/>
          <w:bookmarkStart w:id="12" w:name="cj_3" w:colFirst="0" w:colLast="1"/>
          <w:r>
            <w:t xml:space="preserve">Komerční banka, a. s., se sídlem: </w:t>
          </w:r>
        </w:p>
        <w:p w:rsidR="00DC7E2E" w:rsidRDefault="005F43B9" w:rsidP="008C1233">
          <w:pPr>
            <w:pStyle w:val="kbFixedtext"/>
          </w:pPr>
          <w:r>
            <w:t>Praha 1, Na Příkopě 33 čp. 969, PSČ 114 07, IČO: 45317054</w:t>
          </w:r>
        </w:p>
        <w:p w:rsidR="00DC7E2E" w:rsidRDefault="005F43B9" w:rsidP="008C1233">
          <w:pPr>
            <w:pStyle w:val="kbRegistration"/>
          </w:pPr>
          <w:r>
            <w:t>ZAPSANÁ V OBCHODNÍM REJSTŘÍKU VEDENÉM MĚSTSKÝm SOUDEM V PRAZE, ODDÍL B, VLOŽKA 1360</w:t>
          </w:r>
        </w:p>
      </w:tc>
      <w:tc>
        <w:tcPr>
          <w:tcW w:w="3828" w:type="dxa"/>
          <w:shd w:val="clear" w:color="auto" w:fill="auto"/>
          <w:vAlign w:val="bottom"/>
        </w:tcPr>
        <w:p w:rsidR="00DC7E2E" w:rsidRDefault="005F43B9" w:rsidP="008C1233">
          <w:pPr>
            <w:pStyle w:val="kbFixedtext"/>
            <w:jc w:val="right"/>
            <w:rPr>
              <w:sz w:val="8"/>
            </w:rPr>
          </w:pPr>
          <w:r>
            <w:rPr>
              <w:rStyle w:val="slostrnky"/>
              <w:rFonts w:eastAsia="MS Mincho"/>
            </w:rPr>
            <w:fldChar w:fldCharType="begin"/>
          </w:r>
          <w:r>
            <w:rPr>
              <w:rStyle w:val="slostrnky"/>
              <w:rFonts w:eastAsia="MS Mincho"/>
            </w:rPr>
            <w:instrText xml:space="preserve"> PAGE </w:instrText>
          </w:r>
          <w:r>
            <w:rPr>
              <w:rStyle w:val="slostrnky"/>
              <w:rFonts w:eastAsia="MS Mincho"/>
            </w:rPr>
            <w:fldChar w:fldCharType="separate"/>
          </w:r>
          <w:r w:rsidR="00474B47">
            <w:rPr>
              <w:rStyle w:val="slostrnky"/>
              <w:rFonts w:eastAsia="MS Mincho"/>
              <w:noProof/>
            </w:rPr>
            <w:t>1</w:t>
          </w:r>
          <w:r>
            <w:rPr>
              <w:rStyle w:val="slostrnky"/>
              <w:rFonts w:eastAsia="MS Mincho"/>
            </w:rPr>
            <w:fldChar w:fldCharType="end"/>
          </w:r>
          <w:r>
            <w:rPr>
              <w:rStyle w:val="slostrnky"/>
              <w:rFonts w:eastAsia="MS Mincho"/>
            </w:rPr>
            <w:t>/</w:t>
          </w:r>
          <w:r>
            <w:rPr>
              <w:rStyle w:val="slostrnky"/>
              <w:rFonts w:eastAsia="MS Mincho"/>
            </w:rPr>
            <w:fldChar w:fldCharType="begin"/>
          </w:r>
          <w:r>
            <w:rPr>
              <w:rStyle w:val="slostrnky"/>
              <w:rFonts w:eastAsia="MS Mincho"/>
            </w:rPr>
            <w:instrText xml:space="preserve"> NUMPAGES </w:instrText>
          </w:r>
          <w:r>
            <w:rPr>
              <w:rStyle w:val="slostrnky"/>
              <w:rFonts w:eastAsia="MS Mincho"/>
            </w:rPr>
            <w:fldChar w:fldCharType="separate"/>
          </w:r>
          <w:r w:rsidR="00474B47">
            <w:rPr>
              <w:rStyle w:val="slostrnky"/>
              <w:rFonts w:eastAsia="MS Mincho"/>
              <w:noProof/>
            </w:rPr>
            <w:t>2</w:t>
          </w:r>
          <w:r>
            <w:rPr>
              <w:rStyle w:val="slostrnky"/>
              <w:rFonts w:eastAsia="MS Mincho"/>
            </w:rPr>
            <w:fldChar w:fldCharType="end"/>
          </w:r>
        </w:p>
        <w:p w:rsidR="00DC7E2E" w:rsidRDefault="005F43B9" w:rsidP="008C1233">
          <w:pPr>
            <w:pStyle w:val="Registration"/>
            <w:jc w:val="right"/>
          </w:pPr>
          <w:r>
            <w:t>Datum účinnosti šablony 14. 4. 2020</w:t>
          </w:r>
        </w:p>
        <w:p w:rsidR="00DC7E2E" w:rsidRDefault="005F43B9"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474B47">
            <w:rPr>
              <w:noProof/>
            </w:rPr>
            <w:t>4.8.2020</w:t>
          </w:r>
          <w:r w:rsidRPr="00C314F7">
            <w:fldChar w:fldCharType="end"/>
          </w:r>
          <w:r w:rsidRPr="00C314F7">
            <w:t xml:space="preserve"> </w:t>
          </w:r>
          <w:r w:rsidRPr="00C314F7">
            <w:fldChar w:fldCharType="begin"/>
          </w:r>
          <w:r w:rsidRPr="00C314F7">
            <w:instrText>\TIME</w:instrText>
          </w:r>
          <w:r w:rsidRPr="00C314F7">
            <w:fldChar w:fldCharType="separate"/>
          </w:r>
          <w:r w:rsidR="00474B47">
            <w:rPr>
              <w:noProof/>
            </w:rPr>
            <w:t>9:58 dop.</w:t>
          </w:r>
          <w:r w:rsidRPr="00C314F7">
            <w:fldChar w:fldCharType="end"/>
          </w:r>
        </w:p>
      </w:tc>
    </w:tr>
    <w:bookmarkEnd w:id="11"/>
    <w:bookmarkEnd w:id="12"/>
  </w:tbl>
  <w:p w:rsidR="00DC7E2E" w:rsidRPr="004919EB" w:rsidRDefault="00710AA7" w:rsidP="00DD204B">
    <w:pPr>
      <w:pStyle w:val="Zpat"/>
      <w:rPr>
        <w:sz w:val="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A7" w:rsidRDefault="00710AA7" w:rsidP="005F43B9">
      <w:r>
        <w:separator/>
      </w:r>
    </w:p>
  </w:footnote>
  <w:footnote w:type="continuationSeparator" w:id="0">
    <w:p w:rsidR="00710AA7" w:rsidRDefault="00710AA7" w:rsidP="005F43B9">
      <w:r>
        <w:continuationSeparator/>
      </w:r>
    </w:p>
  </w:footnote>
  <w:footnote w:id="1">
    <w:p w:rsidR="005F43B9" w:rsidRPr="00325503" w:rsidRDefault="005F43B9" w:rsidP="005F43B9">
      <w:pPr>
        <w:pStyle w:val="Textpoznpodarou"/>
        <w:ind w:left="142" w:hanging="142"/>
        <w:jc w:val="both"/>
        <w:rPr>
          <w:sz w:val="14"/>
          <w:szCs w:val="14"/>
        </w:rPr>
      </w:pPr>
      <w:r w:rsidRPr="00325503">
        <w:rPr>
          <w:rStyle w:val="Znakapoznpodarou"/>
          <w:position w:val="4"/>
          <w:sz w:val="14"/>
          <w:szCs w:val="14"/>
        </w:rPr>
        <w:footnoteRef/>
      </w:r>
      <w:r w:rsidRPr="00325503">
        <w:rPr>
          <w:rStyle w:val="Znakapoznpodarou"/>
          <w:position w:val="4"/>
          <w:sz w:val="14"/>
        </w:rPr>
        <w:t xml:space="preserve"> </w:t>
      </w:r>
      <w:r w:rsidRPr="00325503">
        <w:rPr>
          <w:position w:val="4"/>
          <w:sz w:val="14"/>
          <w:szCs w:val="14"/>
        </w:rPr>
        <w:tab/>
      </w:r>
      <w:r w:rsidRPr="00325503">
        <w:rPr>
          <w:color w:val="000000"/>
          <w:sz w:val="14"/>
          <w:szCs w:val="14"/>
        </w:rPr>
        <w:t>zejména z. č.</w:t>
      </w:r>
      <w:r w:rsidRPr="00325503">
        <w:rPr>
          <w:color w:val="000000"/>
          <w:sz w:val="14"/>
          <w:szCs w:val="14"/>
          <w:lang w:val="cs-CZ"/>
        </w:rPr>
        <w:t xml:space="preserve"> 340/2015 Sb.</w:t>
      </w:r>
      <w:r w:rsidRPr="00325503">
        <w:rPr>
          <w:color w:val="000000"/>
          <w:sz w:val="14"/>
          <w:szCs w:val="14"/>
        </w:rPr>
        <w:t>, o zvláštních podmínkách účinnosti některých smluv, uveřejňování těchto smluv a o registru smluv (zákon o registru smluv)</w:t>
      </w:r>
      <w:r w:rsidRPr="00325503">
        <w:rPr>
          <w:color w:val="000000"/>
          <w:sz w:val="14"/>
          <w:szCs w:val="14"/>
          <w:lang w:val="cs-CZ"/>
        </w:rPr>
        <w:t>, ve znění pozdějších předpisů</w:t>
      </w:r>
    </w:p>
  </w:footnote>
  <w:footnote w:id="2">
    <w:p w:rsidR="005F43B9" w:rsidRPr="00325503" w:rsidRDefault="005F43B9" w:rsidP="005F43B9">
      <w:pPr>
        <w:pStyle w:val="Textpoznpodarou"/>
        <w:ind w:left="142" w:hanging="142"/>
        <w:jc w:val="both"/>
        <w:rPr>
          <w:sz w:val="14"/>
          <w:szCs w:val="14"/>
        </w:rPr>
      </w:pPr>
      <w:r w:rsidRPr="00325503">
        <w:rPr>
          <w:rStyle w:val="Znakapoznpodarou"/>
          <w:position w:val="4"/>
          <w:sz w:val="14"/>
          <w:szCs w:val="14"/>
        </w:rPr>
        <w:footnoteRef/>
      </w:r>
      <w:r w:rsidRPr="00325503">
        <w:rPr>
          <w:position w:val="4"/>
          <w:sz w:val="14"/>
          <w:szCs w:val="14"/>
        </w:rPr>
        <w:tab/>
      </w:r>
      <w:r w:rsidRPr="00325503">
        <w:rPr>
          <w:color w:val="000000"/>
          <w:sz w:val="14"/>
          <w:szCs w:val="14"/>
        </w:rPr>
        <w:t>zejména z. č. 253/2008 Sb., o některých opatřeních proti legalizaci výnosů z trestné činnosti a financování terorismu, ve znění pozdějších předpisů</w:t>
      </w:r>
    </w:p>
  </w:footnote>
  <w:footnote w:id="3">
    <w:p w:rsidR="005F43B9" w:rsidRPr="00325503" w:rsidRDefault="005F43B9" w:rsidP="005F43B9">
      <w:pPr>
        <w:pStyle w:val="Textpoznpodarou"/>
        <w:ind w:left="142" w:hanging="142"/>
        <w:jc w:val="both"/>
        <w:rPr>
          <w:sz w:val="14"/>
          <w:szCs w:val="14"/>
        </w:rPr>
      </w:pPr>
      <w:r w:rsidRPr="00325503">
        <w:rPr>
          <w:rStyle w:val="Znakapoznpodarou"/>
          <w:position w:val="4"/>
          <w:sz w:val="14"/>
          <w:szCs w:val="14"/>
        </w:rPr>
        <w:footnoteRef/>
      </w:r>
      <w:r w:rsidRPr="00325503">
        <w:rPr>
          <w:position w:val="4"/>
          <w:sz w:val="14"/>
          <w:szCs w:val="14"/>
        </w:rPr>
        <w:tab/>
      </w:r>
      <w:r w:rsidRPr="00325503">
        <w:rPr>
          <w:sz w:val="14"/>
          <w:szCs w:val="14"/>
        </w:rPr>
        <w:t xml:space="preserve">zejména </w:t>
      </w:r>
      <w:r w:rsidRPr="00325503">
        <w:rPr>
          <w:color w:val="000000"/>
          <w:sz w:val="14"/>
          <w:szCs w:val="14"/>
        </w:rPr>
        <w:t>nařízení EU č. 2016/679, o ochraně osobních údajů, ve znění pozdějších předpisů</w:t>
      </w:r>
    </w:p>
  </w:footnote>
  <w:footnote w:id="4">
    <w:p w:rsidR="005F43B9" w:rsidRPr="00325503" w:rsidRDefault="005F43B9" w:rsidP="005F43B9">
      <w:pPr>
        <w:pStyle w:val="Textpoznpodarou"/>
        <w:ind w:left="142" w:hanging="142"/>
        <w:rPr>
          <w:sz w:val="14"/>
          <w:szCs w:val="14"/>
          <w:lang w:val="cs-CZ"/>
        </w:rPr>
      </w:pPr>
      <w:r w:rsidRPr="00325503">
        <w:rPr>
          <w:rStyle w:val="Znakapoznpodarou"/>
          <w:position w:val="4"/>
          <w:sz w:val="14"/>
          <w:szCs w:val="14"/>
        </w:rPr>
        <w:footnoteRef/>
      </w:r>
      <w:r w:rsidRPr="00325503">
        <w:rPr>
          <w:sz w:val="14"/>
          <w:szCs w:val="14"/>
        </w:rPr>
        <w:tab/>
      </w:r>
      <w:r w:rsidRPr="00325503">
        <w:rPr>
          <w:rFonts w:cs="Arial"/>
          <w:sz w:val="14"/>
          <w:szCs w:val="14"/>
        </w:rPr>
        <w:t>z. č. 40/2009 Sb., trestní zákoník, ve znění pozdějších předpisů</w:t>
      </w:r>
    </w:p>
  </w:footnote>
  <w:footnote w:id="5">
    <w:p w:rsidR="005F43B9" w:rsidRPr="00B81BCF" w:rsidRDefault="005F43B9" w:rsidP="005F43B9">
      <w:pPr>
        <w:pStyle w:val="Textpoznpodarou"/>
        <w:ind w:left="142" w:hanging="142"/>
        <w:jc w:val="both"/>
        <w:rPr>
          <w:sz w:val="14"/>
          <w:szCs w:val="14"/>
          <w:lang w:val="cs-CZ"/>
        </w:rPr>
      </w:pPr>
      <w:r w:rsidRPr="00C050A5">
        <w:rPr>
          <w:rStyle w:val="Znakapoznpodarou"/>
          <w:position w:val="4"/>
          <w:sz w:val="14"/>
          <w:szCs w:val="14"/>
        </w:rPr>
        <w:footnoteRef/>
      </w:r>
      <w:r>
        <w:rPr>
          <w:position w:val="4"/>
          <w:sz w:val="14"/>
          <w:szCs w:val="14"/>
        </w:rPr>
        <w:tab/>
      </w:r>
      <w:r>
        <w:rPr>
          <w:rFonts w:cs="Arial"/>
          <w:sz w:val="14"/>
          <w:szCs w:val="18"/>
          <w:lang w:val="cs-CZ"/>
        </w:rPr>
        <w:t>zejména směrnice</w:t>
      </w:r>
      <w:r w:rsidRPr="00381BFD">
        <w:rPr>
          <w:rFonts w:cs="Arial"/>
          <w:sz w:val="14"/>
          <w:szCs w:val="18"/>
        </w:rPr>
        <w:t xml:space="preserve"> rady (EU) </w:t>
      </w:r>
      <w:r>
        <w:rPr>
          <w:rFonts w:cs="Arial"/>
          <w:sz w:val="14"/>
          <w:szCs w:val="18"/>
          <w:lang w:val="cs-CZ"/>
        </w:rPr>
        <w:t xml:space="preserve">č. </w:t>
      </w:r>
      <w:r w:rsidRPr="00381BFD">
        <w:rPr>
          <w:rFonts w:cs="Arial"/>
          <w:sz w:val="14"/>
          <w:szCs w:val="18"/>
        </w:rPr>
        <w:t>2018/822</w:t>
      </w:r>
      <w:r>
        <w:rPr>
          <w:rFonts w:cs="Arial"/>
          <w:sz w:val="14"/>
          <w:szCs w:val="18"/>
          <w:lang w:val="cs-CZ"/>
        </w:rPr>
        <w:t xml:space="preserve">, </w:t>
      </w:r>
      <w:r w:rsidRPr="00C737AB">
        <w:rPr>
          <w:rFonts w:cs="Arial"/>
          <w:sz w:val="14"/>
          <w:szCs w:val="18"/>
        </w:rPr>
        <w:t>kterou se mění směrnice 2011/16/EU, pokud jde o povinnou automatickou výměnu informací v oblasti daní ve vztahu k přeshraničním uspořádáním, která se mají oznamovat</w:t>
      </w:r>
      <w:r>
        <w:rPr>
          <w:rFonts w:cs="Arial"/>
          <w:sz w:val="14"/>
          <w:szCs w:val="18"/>
          <w:lang w:val="cs-CZ"/>
        </w:rPr>
        <w:t>,</w:t>
      </w:r>
      <w:r w:rsidRPr="00381BFD">
        <w:rPr>
          <w:rFonts w:cs="Arial"/>
          <w:sz w:val="14"/>
          <w:szCs w:val="18"/>
        </w:rPr>
        <w:t xml:space="preserve"> a </w:t>
      </w:r>
      <w:r>
        <w:rPr>
          <w:rFonts w:cs="Arial"/>
          <w:sz w:val="14"/>
          <w:szCs w:val="18"/>
          <w:lang w:val="cs-CZ"/>
        </w:rPr>
        <w:t>z.</w:t>
      </w:r>
      <w:r w:rsidRPr="00381BFD">
        <w:rPr>
          <w:rFonts w:cs="Arial"/>
          <w:sz w:val="14"/>
          <w:szCs w:val="18"/>
        </w:rPr>
        <w:t xml:space="preserve"> č. 164/2013 Sb.</w:t>
      </w:r>
      <w:r>
        <w:rPr>
          <w:rFonts w:cs="Arial"/>
          <w:sz w:val="14"/>
          <w:szCs w:val="18"/>
          <w:lang w:val="cs-CZ"/>
        </w:rPr>
        <w:t>,</w:t>
      </w:r>
      <w:r w:rsidRPr="00381BFD">
        <w:rPr>
          <w:rFonts w:cs="Arial"/>
          <w:sz w:val="14"/>
          <w:szCs w:val="18"/>
        </w:rPr>
        <w:t xml:space="preserve"> o mezinárodní spolupráci při správě daní</w:t>
      </w:r>
      <w:r>
        <w:rPr>
          <w:rFonts w:cs="Arial"/>
          <w:sz w:val="14"/>
          <w:szCs w:val="18"/>
          <w:lang w:val="cs-CZ"/>
        </w:rPr>
        <w:t>, ve znění pozdějších předpisů</w:t>
      </w:r>
    </w:p>
  </w:footnote>
  <w:footnote w:id="6">
    <w:p w:rsidR="005F43B9" w:rsidRPr="00125F3B" w:rsidRDefault="005F43B9" w:rsidP="005F43B9">
      <w:pPr>
        <w:pStyle w:val="Textpoznpodarou"/>
        <w:tabs>
          <w:tab w:val="left" w:pos="170"/>
        </w:tabs>
        <w:spacing w:after="40"/>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7">
    <w:p w:rsidR="005F43B9" w:rsidRPr="00B02685" w:rsidRDefault="005F43B9" w:rsidP="005F43B9">
      <w:pPr>
        <w:pStyle w:val="Textpoznpodarou"/>
        <w:tabs>
          <w:tab w:val="left" w:pos="170"/>
        </w:tabs>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rsidR="005F43B9" w:rsidRDefault="005F43B9" w:rsidP="005F43B9">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9">
    <w:p w:rsidR="005F43B9" w:rsidRPr="00EA6627" w:rsidRDefault="005F43B9" w:rsidP="005F43B9">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r>
      <w:r w:rsidRPr="00EA6627">
        <w:rPr>
          <w:sz w:val="14"/>
          <w:szCs w:val="14"/>
          <w:lang w:val="cs-CZ"/>
        </w:rPr>
        <w:t>z. č. 257/2016 Sb., o spotřebitelském úvěru, ve znění pozdějších předpisů</w:t>
      </w:r>
    </w:p>
  </w:footnote>
  <w:footnote w:id="10">
    <w:p w:rsidR="005F43B9" w:rsidRPr="00EA6627" w:rsidRDefault="005F43B9" w:rsidP="005F43B9">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304b z. č. 99/1963 Sb., občanský soudní řád, ve znění pozdějších předpisů</w:t>
      </w:r>
    </w:p>
  </w:footnote>
  <w:footnote w:id="11">
    <w:p w:rsidR="005F43B9" w:rsidRPr="00EA6627" w:rsidRDefault="005F43B9" w:rsidP="005F43B9">
      <w:pPr>
        <w:pStyle w:val="Textpoznpodarou"/>
        <w:ind w:left="284" w:hanging="284"/>
        <w:jc w:val="both"/>
        <w:rPr>
          <w:sz w:val="14"/>
          <w:szCs w:val="14"/>
        </w:rPr>
      </w:pPr>
      <w:r w:rsidRPr="00EA6627">
        <w:rPr>
          <w:rStyle w:val="Znakapoznpodarou"/>
          <w:position w:val="4"/>
          <w:sz w:val="14"/>
          <w:szCs w:val="14"/>
        </w:rPr>
        <w:footnoteRef/>
      </w:r>
      <w:r w:rsidRPr="00EA6627">
        <w:rPr>
          <w:position w:val="4"/>
          <w:sz w:val="14"/>
          <w:szCs w:val="14"/>
        </w:rPr>
        <w:tab/>
      </w:r>
      <w:r w:rsidRPr="00EA6627">
        <w:rPr>
          <w:sz w:val="14"/>
          <w:szCs w:val="14"/>
        </w:rPr>
        <w:t>z. č. 21/1992 Sb., o bankách, ve znění pozdějších předpisů</w:t>
      </w:r>
    </w:p>
  </w:footnote>
  <w:footnote w:id="12">
    <w:p w:rsidR="005F43B9" w:rsidRPr="00EA6627" w:rsidRDefault="005F43B9" w:rsidP="005F43B9">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xml:space="preserve">z. č. </w:t>
      </w:r>
      <w:r w:rsidRPr="006262A5">
        <w:rPr>
          <w:sz w:val="14"/>
          <w:szCs w:val="14"/>
        </w:rPr>
        <w:t>370/2017</w:t>
      </w:r>
      <w:r>
        <w:rPr>
          <w:sz w:val="14"/>
          <w:szCs w:val="14"/>
          <w:lang w:val="cs-CZ"/>
        </w:rPr>
        <w:t xml:space="preserve"> </w:t>
      </w:r>
      <w:r w:rsidRPr="00EA6627">
        <w:rPr>
          <w:sz w:val="14"/>
          <w:szCs w:val="14"/>
        </w:rPr>
        <w:t>Sb., o platebním styku, ve znění pozdějších předpisů</w:t>
      </w:r>
    </w:p>
  </w:footnote>
  <w:footnote w:id="13">
    <w:p w:rsidR="005F43B9" w:rsidRPr="00EA6627" w:rsidRDefault="005F43B9" w:rsidP="005F43B9">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t>z</w:t>
      </w:r>
      <w:r w:rsidRPr="00EA6627">
        <w:rPr>
          <w:sz w:val="14"/>
          <w:szCs w:val="14"/>
          <w:lang w:val="cs-CZ"/>
        </w:rPr>
        <w:t>. č. 186/2016 Sb., o hazardních hrách, ve znění pozdějších předpisů</w:t>
      </w:r>
    </w:p>
  </w:footnote>
  <w:footnote w:id="14">
    <w:p w:rsidR="005F43B9" w:rsidRDefault="005F43B9" w:rsidP="005F43B9">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 xml:space="preserve">z. č. </w:t>
      </w:r>
      <w:r>
        <w:rPr>
          <w:sz w:val="14"/>
          <w:szCs w:val="14"/>
          <w:lang w:val="cs-CZ"/>
        </w:rPr>
        <w:t>370</w:t>
      </w:r>
      <w:r w:rsidRPr="00BD6CF3">
        <w:rPr>
          <w:sz w:val="14"/>
          <w:szCs w:val="14"/>
        </w:rPr>
        <w:t>/20</w:t>
      </w:r>
      <w:r>
        <w:rPr>
          <w:sz w:val="14"/>
          <w:szCs w:val="14"/>
          <w:lang w:val="cs-CZ"/>
        </w:rPr>
        <w:t>17</w:t>
      </w:r>
      <w:r w:rsidRPr="00BD6CF3">
        <w:rPr>
          <w:sz w:val="14"/>
          <w:szCs w:val="14"/>
        </w:rPr>
        <w:t xml:space="preserve"> Sb., o platebním styku, ve znění pozdějších předpisů</w:t>
      </w:r>
    </w:p>
  </w:footnote>
  <w:footnote w:id="15">
    <w:p w:rsidR="005F43B9" w:rsidRDefault="005F43B9" w:rsidP="005F43B9">
      <w:pPr>
        <w:pStyle w:val="Textpoznpodarou"/>
        <w:tabs>
          <w:tab w:val="left" w:pos="227"/>
        </w:tabs>
      </w:pPr>
      <w:r w:rsidRPr="00573CDB">
        <w:rPr>
          <w:rStyle w:val="Znakapoznpodarou"/>
          <w:position w:val="4"/>
          <w:sz w:val="14"/>
          <w:szCs w:val="14"/>
        </w:rPr>
        <w:footnoteRef/>
      </w:r>
      <w:r>
        <w:rPr>
          <w:sz w:val="14"/>
          <w:szCs w:val="14"/>
        </w:rPr>
        <w:tab/>
      </w:r>
      <w:hyperlink r:id="rId1" w:history="1">
        <w:r w:rsidRPr="00AB4E07">
          <w:rPr>
            <w:rStyle w:val="Hypertextovodkaz"/>
            <w:rFonts w:cs="Arial"/>
            <w:sz w:val="14"/>
            <w:szCs w:val="18"/>
          </w:rPr>
          <w:t>https://www.cnb.cz/cs/menova-politika/mp-nastroje/</w:t>
        </w:r>
      </w:hyperlink>
    </w:p>
  </w:footnote>
  <w:footnote w:id="16">
    <w:p w:rsidR="005F43B9" w:rsidRDefault="005F43B9" w:rsidP="005F43B9">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 xml:space="preserve">z. č. </w:t>
      </w:r>
      <w:r>
        <w:rPr>
          <w:sz w:val="14"/>
          <w:szCs w:val="14"/>
          <w:lang w:val="cs-CZ"/>
        </w:rPr>
        <w:t>370</w:t>
      </w:r>
      <w:r w:rsidRPr="00BD6CF3">
        <w:rPr>
          <w:sz w:val="14"/>
          <w:szCs w:val="14"/>
        </w:rPr>
        <w:t>/20</w:t>
      </w:r>
      <w:r>
        <w:rPr>
          <w:sz w:val="14"/>
          <w:szCs w:val="14"/>
          <w:lang w:val="cs-CZ"/>
        </w:rPr>
        <w:t>17</w:t>
      </w:r>
      <w:r w:rsidRPr="00BD6CF3">
        <w:rPr>
          <w:sz w:val="14"/>
          <w:szCs w:val="14"/>
        </w:rPr>
        <w:t xml:space="preserve"> Sb., o platebním styku, ve znění pozdějších předpisů</w:t>
      </w:r>
    </w:p>
  </w:footnote>
  <w:footnote w:id="17">
    <w:p w:rsidR="005F43B9" w:rsidRPr="0022107D" w:rsidRDefault="005F43B9" w:rsidP="005F43B9">
      <w:pPr>
        <w:pStyle w:val="Textpoznpodarou"/>
        <w:spacing w:after="40"/>
        <w:ind w:left="284" w:hanging="284"/>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8">
    <w:p w:rsidR="005F43B9" w:rsidRPr="0022107D" w:rsidRDefault="005F43B9" w:rsidP="005F43B9">
      <w:pPr>
        <w:pStyle w:val="Textpoznpodarou"/>
        <w:spacing w:after="40"/>
        <w:ind w:left="284" w:hanging="284"/>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9">
    <w:p w:rsidR="005F43B9" w:rsidRPr="00C07566" w:rsidRDefault="005F43B9" w:rsidP="005F43B9">
      <w:pPr>
        <w:pStyle w:val="Textpoznpodarou"/>
        <w:ind w:left="284" w:hanging="284"/>
      </w:pPr>
      <w:r w:rsidRPr="00573CDB">
        <w:rPr>
          <w:rStyle w:val="Znakapoznpodarou"/>
          <w:position w:val="4"/>
          <w:sz w:val="14"/>
          <w:szCs w:val="14"/>
        </w:rPr>
        <w:footnoteRef/>
      </w:r>
      <w:r w:rsidRPr="00573CDB">
        <w:rPr>
          <w:position w:val="4"/>
          <w:sz w:val="14"/>
          <w:szCs w:val="14"/>
        </w:rPr>
        <w:tab/>
      </w:r>
      <w:r>
        <w:rPr>
          <w:sz w:val="14"/>
          <w:lang w:val="cs-CZ"/>
        </w:rPr>
        <w:t xml:space="preserve">zejména </w:t>
      </w:r>
      <w:r w:rsidRPr="00EB16B3">
        <w:rPr>
          <w:sz w:val="14"/>
        </w:rPr>
        <w:t>z. č. 21/1992 Sb.,</w:t>
      </w:r>
      <w:r>
        <w:rPr>
          <w:sz w:val="14"/>
          <w:lang w:val="cs-CZ"/>
        </w:rPr>
        <w:t xml:space="preserve"> o bankách, z. </w:t>
      </w:r>
      <w:r w:rsidRPr="00EB16B3">
        <w:rPr>
          <w:sz w:val="14"/>
        </w:rPr>
        <w:t xml:space="preserve">č. 89/2012 Sb., </w:t>
      </w:r>
      <w:r>
        <w:rPr>
          <w:sz w:val="14"/>
          <w:lang w:val="cs-CZ"/>
        </w:rPr>
        <w:t xml:space="preserve">občanský zákoník, z. </w:t>
      </w:r>
      <w:r w:rsidRPr="00EB16B3">
        <w:rPr>
          <w:sz w:val="14"/>
        </w:rPr>
        <w:t>č. 480/2004 Sb.</w:t>
      </w:r>
      <w:r>
        <w:rPr>
          <w:sz w:val="14"/>
          <w:lang w:val="cs-CZ"/>
        </w:rPr>
        <w:t xml:space="preserve">, </w:t>
      </w:r>
      <w:r w:rsidRPr="006F1BA4">
        <w:rPr>
          <w:sz w:val="14"/>
          <w:lang w:val="cs-CZ"/>
        </w:rPr>
        <w:t>o některých službách informační společnosti</w:t>
      </w:r>
      <w:r>
        <w:rPr>
          <w:sz w:val="14"/>
          <w:lang w:val="cs-CZ"/>
        </w:rPr>
        <w:t xml:space="preserve">, </w:t>
      </w:r>
      <w:r w:rsidRPr="0022107D">
        <w:rPr>
          <w:sz w:val="14"/>
          <w:szCs w:val="14"/>
        </w:rPr>
        <w:t>ve znění pozdějších předpisů</w:t>
      </w:r>
    </w:p>
  </w:footnote>
  <w:footnote w:id="20">
    <w:p w:rsidR="005F43B9" w:rsidRPr="006F1C2D" w:rsidRDefault="005F43B9" w:rsidP="005F43B9">
      <w:pPr>
        <w:pStyle w:val="Textpoznpodarou"/>
        <w:spacing w:after="40"/>
        <w:ind w:left="284" w:hanging="284"/>
        <w:rPr>
          <w:sz w:val="14"/>
          <w:szCs w:val="14"/>
        </w:rPr>
      </w:pPr>
      <w:r w:rsidRPr="006F1C2D">
        <w:rPr>
          <w:rStyle w:val="Znakapoznpodarou"/>
          <w:position w:val="4"/>
          <w:sz w:val="14"/>
          <w:szCs w:val="14"/>
        </w:rPr>
        <w:footnoteRef/>
      </w:r>
      <w:r w:rsidRPr="006F1C2D">
        <w:rPr>
          <w:position w:val="4"/>
          <w:sz w:val="14"/>
          <w:szCs w:val="14"/>
        </w:rPr>
        <w:tab/>
      </w:r>
      <w:r w:rsidRPr="00385733">
        <w:rPr>
          <w:sz w:val="14"/>
          <w:szCs w:val="14"/>
        </w:rPr>
        <w:t>z. č. 89/2012 Sb., občanský zákoník, ve znění pozdějších předpisů</w:t>
      </w:r>
    </w:p>
  </w:footnote>
  <w:footnote w:id="21">
    <w:p w:rsidR="005F43B9" w:rsidRPr="00720CB3" w:rsidRDefault="005F43B9" w:rsidP="005F43B9">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22">
    <w:p w:rsidR="005F43B9" w:rsidRPr="00720CB3" w:rsidRDefault="005F43B9" w:rsidP="005F43B9">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23">
    <w:p w:rsidR="005F43B9" w:rsidRPr="00720CB3" w:rsidRDefault="005F43B9" w:rsidP="005F43B9">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4">
    <w:p w:rsidR="005F43B9" w:rsidRPr="005A0069" w:rsidRDefault="005F43B9" w:rsidP="005F43B9">
      <w:pPr>
        <w:pStyle w:val="Textpoznpodarou"/>
        <w:spacing w:after="40"/>
        <w:ind w:left="284" w:hanging="284"/>
        <w:jc w:val="both"/>
        <w:rPr>
          <w:sz w:val="14"/>
          <w:szCs w:val="14"/>
        </w:rPr>
      </w:pPr>
      <w:r w:rsidRPr="00E472BC">
        <w:rPr>
          <w:rStyle w:val="Znakapoznpodarou"/>
          <w:position w:val="4"/>
          <w:sz w:val="14"/>
        </w:rPr>
        <w:footnoteRef/>
      </w:r>
      <w:r>
        <w:rPr>
          <w:sz w:val="14"/>
          <w:szCs w:val="14"/>
        </w:rPr>
        <w:tab/>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Pr>
          <w:sz w:val="14"/>
          <w:szCs w:val="14"/>
        </w:rPr>
        <w:t xml:space="preserve"> </w:t>
      </w:r>
      <w:r w:rsidRPr="005A0069">
        <w:rPr>
          <w:sz w:val="14"/>
          <w:szCs w:val="14"/>
        </w:rPr>
        <w:t>provedení směnárenského obchodu</w:t>
      </w:r>
      <w:r>
        <w:rPr>
          <w:sz w:val="14"/>
          <w:szCs w:val="14"/>
        </w:rPr>
        <w:t xml:space="preserve"> - § 1 odst. 1 </w:t>
      </w:r>
      <w:r w:rsidRPr="00720CB3">
        <w:rPr>
          <w:sz w:val="14"/>
          <w:szCs w:val="14"/>
        </w:rPr>
        <w:t>z. č. 229/2002 Sb., o finančním arbitrovi, ve znění pozdějších předpisů</w:t>
      </w:r>
      <w:r>
        <w:rPr>
          <w:sz w:val="14"/>
          <w:szCs w:val="14"/>
        </w:rPr>
        <w:t>.</w:t>
      </w:r>
    </w:p>
  </w:footnote>
  <w:footnote w:id="25">
    <w:p w:rsidR="005F43B9" w:rsidRPr="00087785" w:rsidRDefault="005F43B9" w:rsidP="005F43B9">
      <w:pPr>
        <w:pStyle w:val="Textpoznpodarou"/>
        <w:ind w:left="284" w:hanging="284"/>
        <w:jc w:val="both"/>
        <w:rPr>
          <w:sz w:val="12"/>
          <w:szCs w:val="12"/>
        </w:rPr>
      </w:pPr>
      <w:r w:rsidRPr="00E472BC">
        <w:rPr>
          <w:rStyle w:val="Znakapoznpodarou"/>
          <w:position w:val="4"/>
          <w:sz w:val="14"/>
        </w:rPr>
        <w:footnoteRef/>
      </w:r>
      <w:r>
        <w:rPr>
          <w:sz w:val="14"/>
          <w:szCs w:val="14"/>
        </w:rPr>
        <w:tab/>
      </w:r>
      <w:r w:rsidRPr="00720CB3">
        <w:rPr>
          <w:sz w:val="14"/>
          <w:szCs w:val="14"/>
        </w:rPr>
        <w:t>z. č. 89/2012 Sb., občanský zákoník,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2E" w:rsidRPr="00E00829" w:rsidRDefault="00710AA7">
    <w:pPr>
      <w:rPr>
        <w:sz w:val="6"/>
        <w:szCs w:val="6"/>
      </w:rPr>
    </w:pPr>
  </w:p>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DC7E2E" w:rsidRPr="00EB16B3" w:rsidTr="00EB16B3">
      <w:trPr>
        <w:trHeight w:val="425"/>
      </w:trPr>
      <w:tc>
        <w:tcPr>
          <w:tcW w:w="9639" w:type="dxa"/>
          <w:shd w:val="clear" w:color="auto" w:fill="auto"/>
        </w:tcPr>
        <w:p w:rsidR="00DC7E2E" w:rsidRPr="006D393D" w:rsidRDefault="005F43B9" w:rsidP="001A2FB1">
          <w:pPr>
            <w:pStyle w:val="Zhlav"/>
            <w:rPr>
              <w:b/>
              <w:caps/>
              <w:sz w:val="28"/>
              <w:szCs w:val="22"/>
              <w:lang w:val="cs-CZ" w:eastAsia="en-US"/>
            </w:rPr>
          </w:pPr>
          <w:bookmarkStart w:id="5" w:name="S_D1_optJazykCZ_H2"/>
          <w:bookmarkStart w:id="6" w:name="cj_2"/>
          <w:r w:rsidRPr="006D393D">
            <w:rPr>
              <w:b/>
              <w:caps/>
              <w:sz w:val="28"/>
              <w:szCs w:val="22"/>
              <w:lang w:val="cs-CZ" w:eastAsia="en-US"/>
            </w:rPr>
            <w:t xml:space="preserve">VŠEOBECNÉ OBCHODNÍ PODMÍNKY </w:t>
          </w:r>
          <w:bookmarkEnd w:id="5"/>
          <w:bookmarkEnd w:id="6"/>
        </w:p>
      </w:tc>
    </w:tr>
  </w:tbl>
  <w:p w:rsidR="00DC7E2E" w:rsidRDefault="00710AA7" w:rsidP="00476D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DC7E2E" w:rsidRPr="00EB16B3" w:rsidTr="009E3891">
      <w:trPr>
        <w:trHeight w:hRule="exact" w:val="283"/>
      </w:trPr>
      <w:tc>
        <w:tcPr>
          <w:tcW w:w="2084" w:type="dxa"/>
          <w:vMerge w:val="restart"/>
          <w:vAlign w:val="center"/>
        </w:tcPr>
        <w:p w:rsidR="00DC7E2E" w:rsidRPr="006D393D" w:rsidRDefault="005F43B9" w:rsidP="0063799E">
          <w:pPr>
            <w:pStyle w:val="Zhlav"/>
            <w:rPr>
              <w:szCs w:val="22"/>
              <w:lang w:val="cs-CZ" w:eastAsia="en-US"/>
            </w:rPr>
          </w:pPr>
          <w:r w:rsidRPr="006D393D">
            <w:rPr>
              <w:noProof/>
              <w:szCs w:val="22"/>
              <w:lang w:val="cs-CZ" w:eastAsia="cs-CZ"/>
            </w:rPr>
            <w:drawing>
              <wp:inline distT="0" distB="0" distL="0" distR="0">
                <wp:extent cx="1314450" cy="466725"/>
                <wp:effectExtent l="0" t="0" r="0" b="9525"/>
                <wp:docPr id="1" name="Obrázek 1"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786" w:type="dxa"/>
          <w:vAlign w:val="center"/>
        </w:tcPr>
        <w:p w:rsidR="00DC7E2E" w:rsidRPr="006D393D" w:rsidRDefault="00710AA7" w:rsidP="008C1233">
          <w:pPr>
            <w:pStyle w:val="Nadpis1"/>
            <w:ind w:left="425"/>
            <w:rPr>
              <w:b w:val="0"/>
              <w:caps/>
              <w:sz w:val="8"/>
              <w:lang w:eastAsia="en-US"/>
            </w:rPr>
          </w:pPr>
        </w:p>
      </w:tc>
      <w:tc>
        <w:tcPr>
          <w:tcW w:w="786" w:type="dxa"/>
          <w:vMerge w:val="restart"/>
          <w:vAlign w:val="center"/>
        </w:tcPr>
        <w:p w:rsidR="00DC7E2E" w:rsidRPr="006D393D" w:rsidRDefault="00710AA7" w:rsidP="008C1233">
          <w:pPr>
            <w:pStyle w:val="Nadpis1"/>
            <w:ind w:left="425"/>
            <w:rPr>
              <w:lang w:eastAsia="en-US"/>
            </w:rPr>
          </w:pPr>
        </w:p>
      </w:tc>
      <w:tc>
        <w:tcPr>
          <w:tcW w:w="5983" w:type="dxa"/>
          <w:vMerge w:val="restart"/>
          <w:vAlign w:val="center"/>
        </w:tcPr>
        <w:p w:rsidR="00DC7E2E" w:rsidRPr="00EB16B3" w:rsidRDefault="005F43B9" w:rsidP="001A2FB1">
          <w:pPr>
            <w:rPr>
              <w:b/>
              <w:caps/>
              <w:szCs w:val="18"/>
            </w:rPr>
          </w:pPr>
          <w:bookmarkStart w:id="9" w:name="S_D1_optJazykCZ_H1"/>
          <w:bookmarkStart w:id="10" w:name="cj"/>
          <w:r w:rsidRPr="00EB16B3">
            <w:rPr>
              <w:b/>
              <w:caps/>
              <w:sz w:val="28"/>
            </w:rPr>
            <w:t>VŠEOBECNÉ OBCHODNÍ PODMÍNKY</w:t>
          </w:r>
          <w:r>
            <w:rPr>
              <w:b/>
              <w:caps/>
              <w:sz w:val="28"/>
            </w:rPr>
            <w:t xml:space="preserve"> </w:t>
          </w:r>
          <w:bookmarkEnd w:id="9"/>
          <w:bookmarkEnd w:id="10"/>
        </w:p>
      </w:tc>
    </w:tr>
    <w:tr w:rsidR="00DC7E2E" w:rsidRPr="00EB16B3" w:rsidTr="009E3891">
      <w:trPr>
        <w:trHeight w:hRule="exact" w:val="363"/>
      </w:trPr>
      <w:tc>
        <w:tcPr>
          <w:tcW w:w="2084" w:type="dxa"/>
          <w:vMerge/>
          <w:vAlign w:val="center"/>
        </w:tcPr>
        <w:p w:rsidR="00DC7E2E" w:rsidRPr="006D393D" w:rsidRDefault="00710AA7" w:rsidP="008C1233">
          <w:pPr>
            <w:pStyle w:val="Zhlav"/>
            <w:rPr>
              <w:szCs w:val="22"/>
              <w:lang w:val="cs-CZ" w:eastAsia="en-US"/>
            </w:rPr>
          </w:pPr>
        </w:p>
      </w:tc>
      <w:tc>
        <w:tcPr>
          <w:tcW w:w="786" w:type="dxa"/>
          <w:tcBorders>
            <w:right w:val="single" w:sz="18" w:space="0" w:color="000000"/>
          </w:tcBorders>
          <w:vAlign w:val="center"/>
        </w:tcPr>
        <w:p w:rsidR="00DC7E2E" w:rsidRPr="006D393D" w:rsidRDefault="00710AA7" w:rsidP="008C1233">
          <w:pPr>
            <w:pStyle w:val="Nadpis1"/>
            <w:ind w:left="425"/>
            <w:rPr>
              <w:b w:val="0"/>
              <w:caps/>
              <w:sz w:val="8"/>
              <w:lang w:eastAsia="en-US"/>
            </w:rPr>
          </w:pPr>
        </w:p>
      </w:tc>
      <w:tc>
        <w:tcPr>
          <w:tcW w:w="786" w:type="dxa"/>
          <w:vMerge/>
          <w:tcBorders>
            <w:left w:val="single" w:sz="18" w:space="0" w:color="000000"/>
          </w:tcBorders>
        </w:tcPr>
        <w:p w:rsidR="00DC7E2E" w:rsidRPr="006D393D" w:rsidRDefault="00710AA7" w:rsidP="005F43B9">
          <w:pPr>
            <w:pStyle w:val="Nadpis1"/>
            <w:keepNext/>
            <w:numPr>
              <w:ilvl w:val="0"/>
              <w:numId w:val="3"/>
            </w:numPr>
            <w:tabs>
              <w:tab w:val="num" w:pos="425"/>
            </w:tabs>
            <w:spacing w:before="0" w:after="0"/>
            <w:ind w:left="425" w:hanging="425"/>
            <w:jc w:val="left"/>
            <w:rPr>
              <w:lang w:eastAsia="en-US"/>
            </w:rPr>
          </w:pPr>
        </w:p>
      </w:tc>
      <w:tc>
        <w:tcPr>
          <w:tcW w:w="5983" w:type="dxa"/>
          <w:vMerge/>
          <w:vAlign w:val="center"/>
        </w:tcPr>
        <w:p w:rsidR="00DC7E2E" w:rsidRPr="006D393D" w:rsidRDefault="00710AA7" w:rsidP="005F43B9">
          <w:pPr>
            <w:pStyle w:val="Nadpis1"/>
            <w:keepNext/>
            <w:numPr>
              <w:ilvl w:val="0"/>
              <w:numId w:val="3"/>
            </w:numPr>
            <w:tabs>
              <w:tab w:val="num" w:pos="425"/>
            </w:tabs>
            <w:spacing w:before="0" w:after="0"/>
            <w:ind w:left="425" w:hanging="425"/>
            <w:jc w:val="left"/>
            <w:rPr>
              <w:lang w:eastAsia="en-US"/>
            </w:rPr>
          </w:pPr>
        </w:p>
      </w:tc>
    </w:tr>
    <w:tr w:rsidR="00DC7E2E" w:rsidRPr="00EB16B3" w:rsidTr="009E3891">
      <w:trPr>
        <w:trHeight w:hRule="exact" w:val="283"/>
      </w:trPr>
      <w:tc>
        <w:tcPr>
          <w:tcW w:w="2084" w:type="dxa"/>
          <w:vMerge/>
          <w:vAlign w:val="center"/>
        </w:tcPr>
        <w:p w:rsidR="00DC7E2E" w:rsidRPr="006D393D" w:rsidRDefault="00710AA7" w:rsidP="008C1233">
          <w:pPr>
            <w:pStyle w:val="Zhlav"/>
            <w:rPr>
              <w:szCs w:val="22"/>
              <w:lang w:val="cs-CZ" w:eastAsia="en-US"/>
            </w:rPr>
          </w:pPr>
        </w:p>
      </w:tc>
      <w:tc>
        <w:tcPr>
          <w:tcW w:w="786" w:type="dxa"/>
          <w:vAlign w:val="center"/>
        </w:tcPr>
        <w:p w:rsidR="00DC7E2E" w:rsidRPr="006D393D" w:rsidRDefault="00710AA7" w:rsidP="008C1233">
          <w:pPr>
            <w:pStyle w:val="Nadpis1"/>
            <w:ind w:left="425"/>
            <w:rPr>
              <w:b w:val="0"/>
              <w:caps/>
              <w:sz w:val="8"/>
              <w:lang w:eastAsia="en-US"/>
            </w:rPr>
          </w:pPr>
        </w:p>
      </w:tc>
      <w:tc>
        <w:tcPr>
          <w:tcW w:w="786" w:type="dxa"/>
          <w:vMerge/>
        </w:tcPr>
        <w:p w:rsidR="00DC7E2E" w:rsidRPr="006D393D" w:rsidRDefault="00710AA7" w:rsidP="005F43B9">
          <w:pPr>
            <w:pStyle w:val="Nadpis1"/>
            <w:keepNext/>
            <w:numPr>
              <w:ilvl w:val="0"/>
              <w:numId w:val="3"/>
            </w:numPr>
            <w:tabs>
              <w:tab w:val="num" w:pos="425"/>
            </w:tabs>
            <w:spacing w:before="0" w:after="0"/>
            <w:ind w:left="425" w:hanging="425"/>
            <w:jc w:val="left"/>
            <w:rPr>
              <w:sz w:val="8"/>
              <w:lang w:eastAsia="en-US"/>
            </w:rPr>
          </w:pPr>
        </w:p>
      </w:tc>
      <w:tc>
        <w:tcPr>
          <w:tcW w:w="5983" w:type="dxa"/>
          <w:vMerge/>
          <w:vAlign w:val="center"/>
        </w:tcPr>
        <w:p w:rsidR="00DC7E2E" w:rsidRPr="006D393D" w:rsidRDefault="00710AA7" w:rsidP="005F43B9">
          <w:pPr>
            <w:pStyle w:val="Nadpis1"/>
            <w:keepNext/>
            <w:numPr>
              <w:ilvl w:val="0"/>
              <w:numId w:val="3"/>
            </w:numPr>
            <w:tabs>
              <w:tab w:val="num" w:pos="425"/>
            </w:tabs>
            <w:spacing w:before="0" w:after="0"/>
            <w:ind w:left="425" w:hanging="425"/>
            <w:jc w:val="left"/>
            <w:rPr>
              <w:lang w:eastAsia="en-US"/>
            </w:rPr>
          </w:pPr>
        </w:p>
      </w:tc>
    </w:tr>
    <w:tr w:rsidR="00DC7E2E" w:rsidRPr="00EB16B3"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DC7E2E" w:rsidRPr="00EB16B3" w:rsidRDefault="00710AA7" w:rsidP="00EB16B3">
          <w:pPr>
            <w:jc w:val="right"/>
            <w:rPr>
              <w:sz w:val="10"/>
            </w:rPr>
          </w:pPr>
        </w:p>
      </w:tc>
    </w:tr>
  </w:tbl>
  <w:p w:rsidR="00DC7E2E" w:rsidRPr="00476D95" w:rsidRDefault="00710AA7" w:rsidP="009E3891">
    <w:pPr>
      <w:pStyle w:val="Zhlav"/>
      <w:spacing w:line="14"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3"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4F20EDE"/>
    <w:multiLevelType w:val="hybridMultilevel"/>
    <w:tmpl w:val="5A1EABA0"/>
    <w:lvl w:ilvl="0" w:tplc="1F66F6E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3" w15:restartNumberingAfterBreak="0">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5" w15:restartNumberingAfterBreak="0">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6" w15:restartNumberingAfterBreak="0">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20" w15:restartNumberingAfterBreak="0">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2" w15:restartNumberingAfterBreak="0">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4" w15:restartNumberingAfterBreak="0">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C838F4"/>
    <w:multiLevelType w:val="hybridMultilevel"/>
    <w:tmpl w:val="B1185732"/>
    <w:lvl w:ilvl="0" w:tplc="B49C63B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CA487F"/>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9" w15:restartNumberingAfterBreak="0">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31"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32" w15:restartNumberingAfterBreak="0">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3" w15:restartNumberingAfterBreak="0">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DFB81C3"/>
    <w:multiLevelType w:val="hybridMultilevel"/>
    <w:tmpl w:val="F2461AE6"/>
    <w:lvl w:ilvl="0" w:tplc="5CD3CEB3">
      <w:start w:val="1"/>
      <w:numFmt w:val="bullet"/>
      <w:lvlText w:val="§"/>
      <w:lvlJc w:val="left"/>
      <w:pPr>
        <w:ind w:left="720" w:hanging="360"/>
      </w:pPr>
      <w:rPr>
        <w:rFonts w:ascii="Wingdings" w:hAnsi="Wingdings"/>
      </w:rPr>
    </w:lvl>
    <w:lvl w:ilvl="1" w:tplc="071F311C">
      <w:start w:val="1"/>
      <w:numFmt w:val="bullet"/>
      <w:lvlText w:val="o"/>
      <w:lvlJc w:val="left"/>
      <w:pPr>
        <w:ind w:left="1440" w:hanging="360"/>
      </w:pPr>
      <w:rPr>
        <w:rFonts w:ascii="Symbol" w:hAnsi="Symbol"/>
      </w:rPr>
    </w:lvl>
    <w:lvl w:ilvl="2" w:tplc="70D09647">
      <w:start w:val="1"/>
      <w:numFmt w:val="bullet"/>
      <w:lvlText w:val="·"/>
      <w:lvlJc w:val="left"/>
      <w:pPr>
        <w:ind w:left="2160" w:hanging="360"/>
      </w:pPr>
      <w:rPr>
        <w:rFonts w:ascii="Symbol" w:hAnsi="Symbol"/>
      </w:rPr>
    </w:lvl>
    <w:lvl w:ilvl="3" w:tplc="774EA602">
      <w:start w:val="1"/>
      <w:numFmt w:val="bullet"/>
      <w:lvlText w:val="o"/>
      <w:lvlJc w:val="left"/>
      <w:pPr>
        <w:ind w:left="2880" w:hanging="360"/>
      </w:pPr>
      <w:rPr>
        <w:rFonts w:ascii="Symbol" w:hAnsi="Symbol"/>
      </w:rPr>
    </w:lvl>
    <w:lvl w:ilvl="4" w:tplc="4EF0D5D2">
      <w:start w:val="1"/>
      <w:numFmt w:val="bullet"/>
      <w:lvlText w:val="·"/>
      <w:lvlJc w:val="left"/>
      <w:pPr>
        <w:ind w:left="3600" w:hanging="360"/>
      </w:pPr>
      <w:rPr>
        <w:rFonts w:ascii="Symbol" w:hAnsi="Symbol"/>
      </w:rPr>
    </w:lvl>
    <w:lvl w:ilvl="5" w:tplc="07070EF9">
      <w:start w:val="1"/>
      <w:numFmt w:val="bullet"/>
      <w:lvlText w:val="o"/>
      <w:lvlJc w:val="left"/>
      <w:pPr>
        <w:ind w:left="4320" w:hanging="360"/>
      </w:pPr>
      <w:rPr>
        <w:rFonts w:ascii="Symbol" w:hAnsi="Symbol"/>
      </w:rPr>
    </w:lvl>
    <w:lvl w:ilvl="6" w:tplc="798D6035">
      <w:start w:val="1"/>
      <w:numFmt w:val="bullet"/>
      <w:lvlText w:val="·"/>
      <w:lvlJc w:val="left"/>
      <w:pPr>
        <w:ind w:left="5040" w:hanging="360"/>
      </w:pPr>
      <w:rPr>
        <w:rFonts w:ascii="Symbol" w:hAnsi="Symbol"/>
      </w:rPr>
    </w:lvl>
    <w:lvl w:ilvl="7" w:tplc="02E7169D">
      <w:start w:val="1"/>
      <w:numFmt w:val="bullet"/>
      <w:lvlText w:val="o"/>
      <w:lvlJc w:val="left"/>
      <w:pPr>
        <w:ind w:left="5760" w:hanging="360"/>
      </w:pPr>
      <w:rPr>
        <w:rFonts w:ascii="Symbol" w:hAnsi="Symbol"/>
      </w:rPr>
    </w:lvl>
    <w:lvl w:ilvl="8" w:tplc="02588E1F">
      <w:start w:val="1"/>
      <w:numFmt w:val="bullet"/>
      <w:lvlText w:val="·"/>
      <w:lvlJc w:val="left"/>
      <w:pPr>
        <w:ind w:left="6480" w:hanging="360"/>
      </w:pPr>
      <w:rPr>
        <w:rFonts w:ascii="Symbol" w:hAnsi="Symbol"/>
      </w:rPr>
    </w:lvl>
  </w:abstractNum>
  <w:abstractNum w:abstractNumId="37" w15:restartNumberingAfterBreak="0">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9" w15:restartNumberingAfterBreak="0">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1" w15:restartNumberingAfterBreak="0">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6"/>
  </w:num>
  <w:num w:numId="3">
    <w:abstractNumId w:val="30"/>
  </w:num>
  <w:num w:numId="4">
    <w:abstractNumId w:val="39"/>
  </w:num>
  <w:num w:numId="5">
    <w:abstractNumId w:val="24"/>
  </w:num>
  <w:num w:numId="6">
    <w:abstractNumId w:val="35"/>
  </w:num>
  <w:num w:numId="7">
    <w:abstractNumId w:val="8"/>
  </w:num>
  <w:num w:numId="8">
    <w:abstractNumId w:val="20"/>
  </w:num>
  <w:num w:numId="9">
    <w:abstractNumId w:val="29"/>
  </w:num>
  <w:num w:numId="10">
    <w:abstractNumId w:val="23"/>
  </w:num>
  <w:num w:numId="11">
    <w:abstractNumId w:val="32"/>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38"/>
  </w:num>
  <w:num w:numId="15">
    <w:abstractNumId w:val="40"/>
  </w:num>
  <w:num w:numId="16">
    <w:abstractNumId w:val="41"/>
  </w:num>
  <w:num w:numId="17">
    <w:abstractNumId w:val="33"/>
  </w:num>
  <w:num w:numId="18">
    <w:abstractNumId w:val="22"/>
  </w:num>
  <w:num w:numId="19">
    <w:abstractNumId w:val="17"/>
  </w:num>
  <w:num w:numId="20">
    <w:abstractNumId w:val="4"/>
  </w:num>
  <w:num w:numId="21">
    <w:abstractNumId w:val="9"/>
  </w:num>
  <w:num w:numId="22">
    <w:abstractNumId w:val="15"/>
  </w:num>
  <w:num w:numId="23">
    <w:abstractNumId w:val="14"/>
  </w:num>
  <w:num w:numId="24">
    <w:abstractNumId w:val="11"/>
  </w:num>
  <w:num w:numId="25">
    <w:abstractNumId w:val="37"/>
  </w:num>
  <w:num w:numId="26">
    <w:abstractNumId w:val="10"/>
  </w:num>
  <w:num w:numId="27">
    <w:abstractNumId w:val="27"/>
  </w:num>
  <w:num w:numId="28">
    <w:abstractNumId w:val="21"/>
  </w:num>
  <w:num w:numId="29">
    <w:abstractNumId w:val="2"/>
  </w:num>
  <w:num w:numId="30">
    <w:abstractNumId w:val="19"/>
  </w:num>
  <w:num w:numId="31">
    <w:abstractNumId w:val="1"/>
  </w:num>
  <w:num w:numId="32">
    <w:abstractNumId w:val="31"/>
  </w:num>
  <w:num w:numId="33">
    <w:abstractNumId w:val="13"/>
  </w:num>
  <w:num w:numId="34">
    <w:abstractNumId w:val="28"/>
  </w:num>
  <w:num w:numId="35">
    <w:abstractNumId w:val="5"/>
  </w:num>
  <w:num w:numId="36">
    <w:abstractNumId w:val="34"/>
  </w:num>
  <w:num w:numId="37">
    <w:abstractNumId w:val="16"/>
  </w:num>
  <w:num w:numId="38">
    <w:abstractNumId w:val="7"/>
  </w:num>
  <w:num w:numId="39">
    <w:abstractNumId w:val="12"/>
  </w:num>
  <w:num w:numId="40">
    <w:abstractNumId w:val="26"/>
  </w:num>
  <w:num w:numId="41">
    <w:abstractNumId w:val="25"/>
  </w:num>
  <w:num w:numId="42">
    <w:abstractNumId w:val="3"/>
  </w:num>
  <w:num w:numId="43">
    <w:abstractNumId w:val="3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B9"/>
    <w:rsid w:val="000158A2"/>
    <w:rsid w:val="00024C3C"/>
    <w:rsid w:val="00034DF9"/>
    <w:rsid w:val="0007752A"/>
    <w:rsid w:val="00086E7C"/>
    <w:rsid w:val="000B1F45"/>
    <w:rsid w:val="000C30C6"/>
    <w:rsid w:val="000D262E"/>
    <w:rsid w:val="000E130B"/>
    <w:rsid w:val="00103938"/>
    <w:rsid w:val="0011080C"/>
    <w:rsid w:val="00123026"/>
    <w:rsid w:val="00135785"/>
    <w:rsid w:val="001418BD"/>
    <w:rsid w:val="00151A3A"/>
    <w:rsid w:val="00166745"/>
    <w:rsid w:val="00172995"/>
    <w:rsid w:val="0019135A"/>
    <w:rsid w:val="0019572D"/>
    <w:rsid w:val="001C12DF"/>
    <w:rsid w:val="001C23B5"/>
    <w:rsid w:val="001C6F56"/>
    <w:rsid w:val="0020108F"/>
    <w:rsid w:val="00202E48"/>
    <w:rsid w:val="002068D7"/>
    <w:rsid w:val="00224D2D"/>
    <w:rsid w:val="00227FE2"/>
    <w:rsid w:val="00233A89"/>
    <w:rsid w:val="00240E2C"/>
    <w:rsid w:val="00273C5B"/>
    <w:rsid w:val="00294F03"/>
    <w:rsid w:val="00295754"/>
    <w:rsid w:val="002A6E0F"/>
    <w:rsid w:val="002B7F35"/>
    <w:rsid w:val="002E2449"/>
    <w:rsid w:val="00305152"/>
    <w:rsid w:val="00323E96"/>
    <w:rsid w:val="003266CC"/>
    <w:rsid w:val="00327E49"/>
    <w:rsid w:val="00332148"/>
    <w:rsid w:val="00333CD5"/>
    <w:rsid w:val="003767FA"/>
    <w:rsid w:val="00376C19"/>
    <w:rsid w:val="0038488E"/>
    <w:rsid w:val="0039200F"/>
    <w:rsid w:val="003936E1"/>
    <w:rsid w:val="003B265D"/>
    <w:rsid w:val="003C7B38"/>
    <w:rsid w:val="003D1E5F"/>
    <w:rsid w:val="0041454D"/>
    <w:rsid w:val="004278BB"/>
    <w:rsid w:val="00431934"/>
    <w:rsid w:val="0043555B"/>
    <w:rsid w:val="00442C8E"/>
    <w:rsid w:val="004453DD"/>
    <w:rsid w:val="00445B97"/>
    <w:rsid w:val="00450EDF"/>
    <w:rsid w:val="004635A6"/>
    <w:rsid w:val="00465A53"/>
    <w:rsid w:val="00474B47"/>
    <w:rsid w:val="00475FF9"/>
    <w:rsid w:val="0048602C"/>
    <w:rsid w:val="004B541E"/>
    <w:rsid w:val="004C5D83"/>
    <w:rsid w:val="004D541D"/>
    <w:rsid w:val="00517C52"/>
    <w:rsid w:val="0052760C"/>
    <w:rsid w:val="00530170"/>
    <w:rsid w:val="0053035B"/>
    <w:rsid w:val="005351E1"/>
    <w:rsid w:val="005361A0"/>
    <w:rsid w:val="00540716"/>
    <w:rsid w:val="00541C4E"/>
    <w:rsid w:val="00543447"/>
    <w:rsid w:val="00547ADF"/>
    <w:rsid w:val="00573357"/>
    <w:rsid w:val="00573729"/>
    <w:rsid w:val="005741A8"/>
    <w:rsid w:val="00576171"/>
    <w:rsid w:val="00582156"/>
    <w:rsid w:val="005D397C"/>
    <w:rsid w:val="005E40B1"/>
    <w:rsid w:val="005F43B9"/>
    <w:rsid w:val="0060588F"/>
    <w:rsid w:val="00605A95"/>
    <w:rsid w:val="006323BB"/>
    <w:rsid w:val="00655F33"/>
    <w:rsid w:val="006618A3"/>
    <w:rsid w:val="00661A8D"/>
    <w:rsid w:val="00673A8C"/>
    <w:rsid w:val="00693F40"/>
    <w:rsid w:val="006A5E78"/>
    <w:rsid w:val="006A7EB3"/>
    <w:rsid w:val="006B0F75"/>
    <w:rsid w:val="006B3368"/>
    <w:rsid w:val="006D1C5F"/>
    <w:rsid w:val="006E4D82"/>
    <w:rsid w:val="006F54A1"/>
    <w:rsid w:val="006F7BEB"/>
    <w:rsid w:val="00710AA7"/>
    <w:rsid w:val="00737284"/>
    <w:rsid w:val="00744580"/>
    <w:rsid w:val="00750E50"/>
    <w:rsid w:val="007550A0"/>
    <w:rsid w:val="00782128"/>
    <w:rsid w:val="007C1988"/>
    <w:rsid w:val="007C73C7"/>
    <w:rsid w:val="007D7AB5"/>
    <w:rsid w:val="007E185D"/>
    <w:rsid w:val="007E2A1D"/>
    <w:rsid w:val="007F2CB3"/>
    <w:rsid w:val="007F634C"/>
    <w:rsid w:val="0087317A"/>
    <w:rsid w:val="00877DBE"/>
    <w:rsid w:val="00887FDD"/>
    <w:rsid w:val="00891BBD"/>
    <w:rsid w:val="00894BFB"/>
    <w:rsid w:val="008A6D74"/>
    <w:rsid w:val="008B6E31"/>
    <w:rsid w:val="008D53E9"/>
    <w:rsid w:val="00900E88"/>
    <w:rsid w:val="00917449"/>
    <w:rsid w:val="0093161A"/>
    <w:rsid w:val="00951722"/>
    <w:rsid w:val="0095423B"/>
    <w:rsid w:val="00954C05"/>
    <w:rsid w:val="00990758"/>
    <w:rsid w:val="009A11D0"/>
    <w:rsid w:val="009B564F"/>
    <w:rsid w:val="009C57A4"/>
    <w:rsid w:val="009C61D0"/>
    <w:rsid w:val="00A07070"/>
    <w:rsid w:val="00A22D6F"/>
    <w:rsid w:val="00A23D66"/>
    <w:rsid w:val="00A25F39"/>
    <w:rsid w:val="00A31535"/>
    <w:rsid w:val="00A4677E"/>
    <w:rsid w:val="00A5049C"/>
    <w:rsid w:val="00A530CA"/>
    <w:rsid w:val="00A547CD"/>
    <w:rsid w:val="00A7084D"/>
    <w:rsid w:val="00AB3B1B"/>
    <w:rsid w:val="00AC0DF0"/>
    <w:rsid w:val="00AD2164"/>
    <w:rsid w:val="00AE194A"/>
    <w:rsid w:val="00B30D96"/>
    <w:rsid w:val="00B33511"/>
    <w:rsid w:val="00B44D56"/>
    <w:rsid w:val="00B638CF"/>
    <w:rsid w:val="00B754A7"/>
    <w:rsid w:val="00B82E76"/>
    <w:rsid w:val="00B93058"/>
    <w:rsid w:val="00B9383B"/>
    <w:rsid w:val="00B96358"/>
    <w:rsid w:val="00BA54F2"/>
    <w:rsid w:val="00BB1A57"/>
    <w:rsid w:val="00BB382E"/>
    <w:rsid w:val="00BC0323"/>
    <w:rsid w:val="00BF474A"/>
    <w:rsid w:val="00C04192"/>
    <w:rsid w:val="00C42F41"/>
    <w:rsid w:val="00C511FA"/>
    <w:rsid w:val="00C51726"/>
    <w:rsid w:val="00C54EA7"/>
    <w:rsid w:val="00C70DB9"/>
    <w:rsid w:val="00C7293C"/>
    <w:rsid w:val="00C82E6F"/>
    <w:rsid w:val="00CD31A8"/>
    <w:rsid w:val="00CE4368"/>
    <w:rsid w:val="00CF33D1"/>
    <w:rsid w:val="00D0788C"/>
    <w:rsid w:val="00D277BB"/>
    <w:rsid w:val="00D4605A"/>
    <w:rsid w:val="00D55564"/>
    <w:rsid w:val="00D70959"/>
    <w:rsid w:val="00D72221"/>
    <w:rsid w:val="00D97592"/>
    <w:rsid w:val="00D97715"/>
    <w:rsid w:val="00DA6349"/>
    <w:rsid w:val="00DC4A5F"/>
    <w:rsid w:val="00DD02C0"/>
    <w:rsid w:val="00DD441B"/>
    <w:rsid w:val="00DE05BC"/>
    <w:rsid w:val="00DF6D73"/>
    <w:rsid w:val="00E20007"/>
    <w:rsid w:val="00E21D2C"/>
    <w:rsid w:val="00E42258"/>
    <w:rsid w:val="00E80E59"/>
    <w:rsid w:val="00E92D8C"/>
    <w:rsid w:val="00ED3F77"/>
    <w:rsid w:val="00EE2404"/>
    <w:rsid w:val="00EF43FE"/>
    <w:rsid w:val="00EF4F11"/>
    <w:rsid w:val="00EF5190"/>
    <w:rsid w:val="00F22AA1"/>
    <w:rsid w:val="00F32708"/>
    <w:rsid w:val="00F33F46"/>
    <w:rsid w:val="00F60589"/>
    <w:rsid w:val="00F70BB8"/>
    <w:rsid w:val="00F81785"/>
    <w:rsid w:val="00F91D39"/>
    <w:rsid w:val="00F94967"/>
    <w:rsid w:val="00F96A55"/>
    <w:rsid w:val="00FA32C2"/>
    <w:rsid w:val="00FA6BDD"/>
    <w:rsid w:val="00FB349C"/>
    <w:rsid w:val="00FC0227"/>
    <w:rsid w:val="00FC0DB0"/>
    <w:rsid w:val="00FC18CA"/>
    <w:rsid w:val="00FC2704"/>
    <w:rsid w:val="00FC5B09"/>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3FACFE-DCDD-440B-8CF3-4A0784CD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0170"/>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link w:val="Nadpis1Char"/>
    <w:uiPriority w:val="99"/>
    <w:qFormat/>
    <w:rsid w:val="00530170"/>
    <w:pPr>
      <w:spacing w:before="120" w:after="120"/>
      <w:outlineLvl w:val="0"/>
    </w:pPr>
    <w:rPr>
      <w:b/>
      <w:sz w:val="28"/>
    </w:rPr>
  </w:style>
  <w:style w:type="paragraph" w:styleId="Nadpis2">
    <w:name w:val="heading 2"/>
    <w:basedOn w:val="Normln"/>
    <w:next w:val="Normln"/>
    <w:link w:val="Nadpis2Char"/>
    <w:uiPriority w:val="99"/>
    <w:qFormat/>
    <w:rsid w:val="00151A3A"/>
    <w:pPr>
      <w:spacing w:after="120"/>
      <w:outlineLvl w:val="1"/>
    </w:pPr>
    <w:rPr>
      <w:b/>
      <w:sz w:val="24"/>
    </w:rPr>
  </w:style>
  <w:style w:type="paragraph" w:styleId="Nadpis3">
    <w:name w:val="heading 3"/>
    <w:basedOn w:val="Normln"/>
    <w:next w:val="Normln"/>
    <w:link w:val="Nadpis3Char"/>
    <w:uiPriority w:val="99"/>
    <w:qFormat/>
    <w:rsid w:val="00530170"/>
    <w:pPr>
      <w:outlineLvl w:val="2"/>
    </w:pPr>
    <w:rPr>
      <w:b/>
    </w:rPr>
  </w:style>
  <w:style w:type="paragraph" w:styleId="Nadpis4">
    <w:name w:val="heading 4"/>
    <w:basedOn w:val="Normln"/>
    <w:next w:val="Normln"/>
    <w:link w:val="Nadpis4Char"/>
    <w:uiPriority w:val="99"/>
    <w:unhideWhenUsed/>
    <w:qFormat/>
    <w:rsid w:val="005F43B9"/>
    <w:pPr>
      <w:keepNext/>
      <w:keepLines/>
      <w:overflowPunct/>
      <w:autoSpaceDE/>
      <w:autoSpaceDN/>
      <w:adjustRightInd/>
      <w:spacing w:before="200"/>
      <w:jc w:val="left"/>
      <w:textAlignment w:val="auto"/>
      <w:outlineLvl w:val="3"/>
    </w:pPr>
    <w:rPr>
      <w:b/>
      <w:bCs/>
      <w:i/>
      <w:iCs/>
      <w:color w:val="4F81BD"/>
      <w:sz w:val="20"/>
      <w:lang w:val="x-none" w:eastAsia="x-none"/>
    </w:rPr>
  </w:style>
  <w:style w:type="paragraph" w:styleId="Nadpis5">
    <w:name w:val="heading 5"/>
    <w:basedOn w:val="Normln"/>
    <w:next w:val="Normln"/>
    <w:link w:val="Nadpis5Char"/>
    <w:uiPriority w:val="9"/>
    <w:unhideWhenUsed/>
    <w:qFormat/>
    <w:rsid w:val="005F43B9"/>
    <w:pPr>
      <w:overflowPunct/>
      <w:autoSpaceDE/>
      <w:autoSpaceDN/>
      <w:adjustRightInd/>
      <w:spacing w:before="240" w:after="60"/>
      <w:textAlignment w:val="auto"/>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unhideWhenUsed/>
    <w:qFormat/>
    <w:rsid w:val="005F43B9"/>
    <w:pPr>
      <w:overflowPunct/>
      <w:autoSpaceDE/>
      <w:autoSpaceDN/>
      <w:adjustRightInd/>
      <w:spacing w:before="240" w:after="60"/>
      <w:jc w:val="left"/>
      <w:textAlignment w:val="auto"/>
      <w:outlineLvl w:val="5"/>
    </w:pPr>
    <w:rPr>
      <w:rFonts w:ascii="Calibri" w:hAnsi="Calibri"/>
      <w:b/>
      <w:bCs/>
      <w:sz w:val="22"/>
      <w:szCs w:val="22"/>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character" w:customStyle="1" w:styleId="Nadpis4Char">
    <w:name w:val="Nadpis 4 Char"/>
    <w:basedOn w:val="Standardnpsmoodstavce"/>
    <w:link w:val="Nadpis4"/>
    <w:uiPriority w:val="99"/>
    <w:rsid w:val="005F43B9"/>
    <w:rPr>
      <w:rFonts w:ascii="Arial" w:hAnsi="Arial"/>
      <w:b/>
      <w:bCs/>
      <w:i/>
      <w:iCs/>
      <w:color w:val="4F81BD"/>
      <w:lang w:val="x-none" w:eastAsia="x-none"/>
    </w:rPr>
  </w:style>
  <w:style w:type="character" w:customStyle="1" w:styleId="Nadpis5Char">
    <w:name w:val="Nadpis 5 Char"/>
    <w:basedOn w:val="Standardnpsmoodstavce"/>
    <w:link w:val="Nadpis5"/>
    <w:uiPriority w:val="9"/>
    <w:rsid w:val="005F43B9"/>
    <w:rPr>
      <w:rFonts w:ascii="Calibri" w:hAnsi="Calibri"/>
      <w:b/>
      <w:bCs/>
      <w:i/>
      <w:iCs/>
      <w:sz w:val="26"/>
      <w:szCs w:val="26"/>
      <w:lang w:val="x-none" w:eastAsia="x-none"/>
    </w:rPr>
  </w:style>
  <w:style w:type="character" w:customStyle="1" w:styleId="Nadpis6Char">
    <w:name w:val="Nadpis 6 Char"/>
    <w:basedOn w:val="Standardnpsmoodstavce"/>
    <w:link w:val="Nadpis6"/>
    <w:uiPriority w:val="9"/>
    <w:rsid w:val="005F43B9"/>
    <w:rPr>
      <w:rFonts w:ascii="Calibri" w:hAnsi="Calibri"/>
      <w:b/>
      <w:bCs/>
      <w:sz w:val="22"/>
      <w:szCs w:val="22"/>
      <w:lang w:val="x-none" w:eastAsia="en-US"/>
    </w:rPr>
  </w:style>
  <w:style w:type="numbering" w:customStyle="1" w:styleId="Bezseznamu1">
    <w:name w:val="Bez seznamu1"/>
    <w:next w:val="Bezseznamu"/>
    <w:uiPriority w:val="99"/>
    <w:semiHidden/>
    <w:unhideWhenUsed/>
    <w:rsid w:val="005F43B9"/>
  </w:style>
  <w:style w:type="paragraph" w:styleId="Bezmezer">
    <w:name w:val="No Spacing"/>
    <w:uiPriority w:val="99"/>
    <w:qFormat/>
    <w:rsid w:val="005F43B9"/>
    <w:pPr>
      <w:ind w:left="227" w:hanging="227"/>
    </w:pPr>
    <w:rPr>
      <w:rFonts w:ascii="Arial" w:eastAsia="MS Mincho" w:hAnsi="Arial"/>
      <w:sz w:val="22"/>
      <w:szCs w:val="22"/>
      <w:lang w:eastAsia="en-US"/>
    </w:rPr>
  </w:style>
  <w:style w:type="character" w:customStyle="1" w:styleId="Nadpis1Char">
    <w:name w:val="Nadpis 1 Char"/>
    <w:link w:val="Nadpis1"/>
    <w:uiPriority w:val="99"/>
    <w:rsid w:val="005F43B9"/>
    <w:rPr>
      <w:rFonts w:ascii="Arial" w:hAnsi="Arial"/>
      <w:b/>
      <w:sz w:val="28"/>
    </w:rPr>
  </w:style>
  <w:style w:type="character" w:customStyle="1" w:styleId="Nadpis2Char">
    <w:name w:val="Nadpis 2 Char"/>
    <w:link w:val="Nadpis2"/>
    <w:uiPriority w:val="99"/>
    <w:rsid w:val="005F43B9"/>
    <w:rPr>
      <w:rFonts w:ascii="Arial" w:hAnsi="Arial"/>
      <w:b/>
      <w:sz w:val="24"/>
    </w:rPr>
  </w:style>
  <w:style w:type="character" w:customStyle="1" w:styleId="Nadpis3Char">
    <w:name w:val="Nadpis 3 Char"/>
    <w:link w:val="Nadpis3"/>
    <w:uiPriority w:val="99"/>
    <w:rsid w:val="005F43B9"/>
    <w:rPr>
      <w:rFonts w:ascii="Arial" w:hAnsi="Arial"/>
      <w:b/>
      <w:sz w:val="18"/>
    </w:rPr>
  </w:style>
  <w:style w:type="paragraph" w:styleId="Zhlav">
    <w:name w:val="header"/>
    <w:basedOn w:val="Normln"/>
    <w:link w:val="ZhlavChar"/>
    <w:uiPriority w:val="99"/>
    <w:unhideWhenUsed/>
    <w:rsid w:val="005F43B9"/>
    <w:pPr>
      <w:tabs>
        <w:tab w:val="center" w:pos="4536"/>
        <w:tab w:val="right" w:pos="9072"/>
      </w:tabs>
      <w:overflowPunct/>
      <w:autoSpaceDE/>
      <w:autoSpaceDN/>
      <w:adjustRightInd/>
      <w:jc w:val="left"/>
      <w:textAlignment w:val="auto"/>
    </w:pPr>
    <w:rPr>
      <w:rFonts w:eastAsia="MS Mincho"/>
      <w:lang w:val="x-none" w:eastAsia="x-none"/>
    </w:rPr>
  </w:style>
  <w:style w:type="character" w:customStyle="1" w:styleId="ZhlavChar">
    <w:name w:val="Záhlaví Char"/>
    <w:basedOn w:val="Standardnpsmoodstavce"/>
    <w:link w:val="Zhlav"/>
    <w:uiPriority w:val="99"/>
    <w:rsid w:val="005F43B9"/>
    <w:rPr>
      <w:rFonts w:ascii="Arial" w:eastAsia="MS Mincho" w:hAnsi="Arial"/>
      <w:sz w:val="18"/>
      <w:lang w:val="x-none" w:eastAsia="x-none"/>
    </w:rPr>
  </w:style>
  <w:style w:type="paragraph" w:styleId="Zpat">
    <w:name w:val="footer"/>
    <w:basedOn w:val="Normln"/>
    <w:link w:val="ZpatChar"/>
    <w:uiPriority w:val="99"/>
    <w:unhideWhenUsed/>
    <w:rsid w:val="005F43B9"/>
    <w:pPr>
      <w:tabs>
        <w:tab w:val="center" w:pos="4536"/>
        <w:tab w:val="right" w:pos="9072"/>
      </w:tabs>
      <w:overflowPunct/>
      <w:autoSpaceDE/>
      <w:autoSpaceDN/>
      <w:adjustRightInd/>
      <w:jc w:val="left"/>
      <w:textAlignment w:val="auto"/>
    </w:pPr>
    <w:rPr>
      <w:rFonts w:eastAsia="MS Mincho"/>
      <w:lang w:val="x-none" w:eastAsia="x-none"/>
    </w:rPr>
  </w:style>
  <w:style w:type="character" w:customStyle="1" w:styleId="ZpatChar">
    <w:name w:val="Zápatí Char"/>
    <w:basedOn w:val="Standardnpsmoodstavce"/>
    <w:link w:val="Zpat"/>
    <w:uiPriority w:val="99"/>
    <w:rsid w:val="005F43B9"/>
    <w:rPr>
      <w:rFonts w:ascii="Arial" w:eastAsia="MS Mincho" w:hAnsi="Arial"/>
      <w:sz w:val="18"/>
      <w:lang w:val="x-none" w:eastAsia="x-none"/>
    </w:rPr>
  </w:style>
  <w:style w:type="table" w:styleId="Mkatabulky">
    <w:name w:val="Table Grid"/>
    <w:basedOn w:val="Normlntabulka"/>
    <w:uiPriority w:val="59"/>
    <w:rsid w:val="005F43B9"/>
    <w:rPr>
      <w:rFonts w:ascii="Arial" w:eastAsia="MS Mincho"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5F43B9"/>
    <w:pPr>
      <w:overflowPunct/>
      <w:autoSpaceDE/>
      <w:autoSpaceDN/>
      <w:adjustRightInd/>
      <w:ind w:left="720"/>
      <w:contextualSpacing/>
      <w:jc w:val="left"/>
      <w:textAlignment w:val="auto"/>
    </w:pPr>
    <w:rPr>
      <w:rFonts w:eastAsia="MS Mincho"/>
      <w:szCs w:val="22"/>
      <w:lang w:eastAsia="en-US"/>
    </w:rPr>
  </w:style>
  <w:style w:type="character" w:styleId="Hypertextovodkaz">
    <w:name w:val="Hyperlink"/>
    <w:unhideWhenUsed/>
    <w:rsid w:val="005F43B9"/>
    <w:rPr>
      <w:color w:val="0000FF"/>
      <w:u w:val="single"/>
    </w:rPr>
  </w:style>
  <w:style w:type="character" w:styleId="slostrnky">
    <w:name w:val="page number"/>
    <w:rsid w:val="005F43B9"/>
    <w:rPr>
      <w:rFonts w:ascii="Arial" w:hAnsi="Arial"/>
      <w:sz w:val="16"/>
    </w:rPr>
  </w:style>
  <w:style w:type="paragraph" w:customStyle="1" w:styleId="kbFixedtext">
    <w:name w:val="kb_Fixed_text"/>
    <w:basedOn w:val="Normln"/>
    <w:rsid w:val="005F43B9"/>
    <w:pPr>
      <w:spacing w:before="40"/>
      <w:ind w:left="227" w:hanging="227"/>
      <w:jc w:val="left"/>
    </w:pPr>
    <w:rPr>
      <w:sz w:val="16"/>
    </w:rPr>
  </w:style>
  <w:style w:type="paragraph" w:customStyle="1" w:styleId="kbRegistration">
    <w:name w:val="kb_Registration"/>
    <w:basedOn w:val="Normln"/>
    <w:rsid w:val="005F43B9"/>
    <w:pPr>
      <w:spacing w:before="40"/>
      <w:ind w:left="227" w:hanging="227"/>
      <w:jc w:val="left"/>
    </w:pPr>
    <w:rPr>
      <w:caps/>
      <w:sz w:val="8"/>
    </w:rPr>
  </w:style>
  <w:style w:type="paragraph" w:customStyle="1" w:styleId="Registration">
    <w:name w:val="Registration"/>
    <w:basedOn w:val="Normln"/>
    <w:rsid w:val="005F43B9"/>
    <w:pPr>
      <w:spacing w:before="40"/>
      <w:ind w:left="227" w:hanging="227"/>
      <w:jc w:val="left"/>
    </w:pPr>
    <w:rPr>
      <w:caps/>
      <w:sz w:val="8"/>
    </w:rPr>
  </w:style>
  <w:style w:type="character" w:styleId="Odkaznakoment">
    <w:name w:val="annotation reference"/>
    <w:semiHidden/>
    <w:unhideWhenUsed/>
    <w:rsid w:val="005F43B9"/>
    <w:rPr>
      <w:sz w:val="16"/>
      <w:szCs w:val="16"/>
    </w:rPr>
  </w:style>
  <w:style w:type="paragraph" w:styleId="Textkomente">
    <w:name w:val="annotation text"/>
    <w:basedOn w:val="Normln"/>
    <w:link w:val="TextkomenteChar"/>
    <w:uiPriority w:val="99"/>
    <w:unhideWhenUsed/>
    <w:rsid w:val="005F43B9"/>
    <w:pPr>
      <w:overflowPunct/>
      <w:autoSpaceDE/>
      <w:autoSpaceDN/>
      <w:adjustRightInd/>
      <w:jc w:val="left"/>
      <w:textAlignment w:val="auto"/>
    </w:pPr>
    <w:rPr>
      <w:rFonts w:eastAsia="MS Mincho"/>
      <w:sz w:val="20"/>
      <w:lang w:val="x-none" w:eastAsia="x-none"/>
    </w:rPr>
  </w:style>
  <w:style w:type="character" w:customStyle="1" w:styleId="TextkomenteChar">
    <w:name w:val="Text komentáře Char"/>
    <w:basedOn w:val="Standardnpsmoodstavce"/>
    <w:link w:val="Textkomente"/>
    <w:uiPriority w:val="99"/>
    <w:rsid w:val="005F43B9"/>
    <w:rPr>
      <w:rFonts w:ascii="Arial" w:eastAsia="MS Mincho" w:hAnsi="Arial"/>
      <w:lang w:val="x-none" w:eastAsia="x-none"/>
    </w:rPr>
  </w:style>
  <w:style w:type="paragraph" w:styleId="Pedmtkomente">
    <w:name w:val="annotation subject"/>
    <w:basedOn w:val="Textkomente"/>
    <w:next w:val="Textkomente"/>
    <w:link w:val="PedmtkomenteChar"/>
    <w:uiPriority w:val="99"/>
    <w:semiHidden/>
    <w:unhideWhenUsed/>
    <w:rsid w:val="005F43B9"/>
    <w:rPr>
      <w:b/>
      <w:bCs/>
    </w:rPr>
  </w:style>
  <w:style w:type="character" w:customStyle="1" w:styleId="PedmtkomenteChar">
    <w:name w:val="Předmět komentáře Char"/>
    <w:basedOn w:val="TextkomenteChar"/>
    <w:link w:val="Pedmtkomente"/>
    <w:uiPriority w:val="99"/>
    <w:semiHidden/>
    <w:rsid w:val="005F43B9"/>
    <w:rPr>
      <w:rFonts w:ascii="Arial" w:eastAsia="MS Mincho" w:hAnsi="Arial"/>
      <w:b/>
      <w:bCs/>
      <w:lang w:val="x-none" w:eastAsia="x-none"/>
    </w:rPr>
  </w:style>
  <w:style w:type="paragraph" w:styleId="Textbubliny">
    <w:name w:val="Balloon Text"/>
    <w:basedOn w:val="Normln"/>
    <w:link w:val="TextbublinyChar"/>
    <w:uiPriority w:val="99"/>
    <w:semiHidden/>
    <w:unhideWhenUsed/>
    <w:rsid w:val="005F43B9"/>
    <w:pPr>
      <w:overflowPunct/>
      <w:autoSpaceDE/>
      <w:autoSpaceDN/>
      <w:adjustRightInd/>
      <w:jc w:val="left"/>
      <w:textAlignment w:val="auto"/>
    </w:pPr>
    <w:rPr>
      <w:rFonts w:ascii="Tahoma" w:eastAsia="MS Mincho" w:hAnsi="Tahoma"/>
      <w:sz w:val="16"/>
      <w:szCs w:val="16"/>
      <w:lang w:val="x-none" w:eastAsia="x-none"/>
    </w:rPr>
  </w:style>
  <w:style w:type="character" w:customStyle="1" w:styleId="TextbublinyChar">
    <w:name w:val="Text bubliny Char"/>
    <w:basedOn w:val="Standardnpsmoodstavce"/>
    <w:link w:val="Textbubliny"/>
    <w:uiPriority w:val="99"/>
    <w:semiHidden/>
    <w:rsid w:val="005F43B9"/>
    <w:rPr>
      <w:rFonts w:ascii="Tahoma" w:eastAsia="MS Mincho" w:hAnsi="Tahoma"/>
      <w:sz w:val="16"/>
      <w:szCs w:val="16"/>
      <w:lang w:val="x-none" w:eastAsia="x-none"/>
    </w:rPr>
  </w:style>
  <w:style w:type="paragraph" w:styleId="Revize">
    <w:name w:val="Revision"/>
    <w:hidden/>
    <w:uiPriority w:val="99"/>
    <w:semiHidden/>
    <w:rsid w:val="005F43B9"/>
    <w:rPr>
      <w:rFonts w:ascii="Arial" w:eastAsia="MS Mincho" w:hAnsi="Arial"/>
      <w:sz w:val="18"/>
      <w:szCs w:val="22"/>
      <w:lang w:eastAsia="en-US"/>
    </w:rPr>
  </w:style>
  <w:style w:type="paragraph" w:styleId="Textpoznpodarou">
    <w:name w:val="footnote text"/>
    <w:basedOn w:val="Normln"/>
    <w:link w:val="TextpoznpodarouChar"/>
    <w:uiPriority w:val="99"/>
    <w:unhideWhenUsed/>
    <w:rsid w:val="005F43B9"/>
    <w:pPr>
      <w:overflowPunct/>
      <w:autoSpaceDE/>
      <w:autoSpaceDN/>
      <w:adjustRightInd/>
      <w:jc w:val="left"/>
      <w:textAlignment w:val="auto"/>
    </w:pPr>
    <w:rPr>
      <w:rFonts w:eastAsia="MS Mincho"/>
      <w:sz w:val="20"/>
      <w:lang w:val="x-none" w:eastAsia="x-none"/>
    </w:rPr>
  </w:style>
  <w:style w:type="character" w:customStyle="1" w:styleId="TextpoznpodarouChar">
    <w:name w:val="Text pozn. pod čarou Char"/>
    <w:basedOn w:val="Standardnpsmoodstavce"/>
    <w:link w:val="Textpoznpodarou"/>
    <w:uiPriority w:val="99"/>
    <w:rsid w:val="005F43B9"/>
    <w:rPr>
      <w:rFonts w:ascii="Arial" w:eastAsia="MS Mincho" w:hAnsi="Arial"/>
      <w:lang w:val="x-none" w:eastAsia="x-none"/>
    </w:rPr>
  </w:style>
  <w:style w:type="character" w:styleId="Znakapoznpodarou">
    <w:name w:val="footnote reference"/>
    <w:rsid w:val="005F43B9"/>
    <w:rPr>
      <w:position w:val="6"/>
      <w:sz w:val="16"/>
    </w:rPr>
  </w:style>
  <w:style w:type="table" w:customStyle="1" w:styleId="Mkatabulky1">
    <w:name w:val="Mřížka tabulky1"/>
    <w:basedOn w:val="Normlntabulka"/>
    <w:next w:val="Mkatabulky"/>
    <w:uiPriority w:val="59"/>
    <w:rsid w:val="005F43B9"/>
    <w:rPr>
      <w:rFonts w:ascii="PrecisionID C128 04" w:eastAsia="MS Mincho"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5F43B9"/>
    <w:pPr>
      <w:spacing w:before="40" w:after="40"/>
    </w:pPr>
    <w:rPr>
      <w:rFonts w:ascii="Arial" w:eastAsia="MS Mincho"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eznamu11">
    <w:name w:val="Bez seznamu11"/>
    <w:next w:val="Bezseznamu"/>
    <w:uiPriority w:val="99"/>
    <w:semiHidden/>
    <w:unhideWhenUsed/>
    <w:rsid w:val="005F43B9"/>
  </w:style>
  <w:style w:type="table" w:customStyle="1" w:styleId="Mkatabulky3">
    <w:name w:val="Mřížka tabulky3"/>
    <w:basedOn w:val="Normlntabulka"/>
    <w:next w:val="Mkatabulky"/>
    <w:uiPriority w:val="59"/>
    <w:rsid w:val="005F43B9"/>
    <w:pPr>
      <w:spacing w:after="40"/>
      <w:jc w:val="both"/>
    </w:pPr>
    <w:rPr>
      <w:rFonts w:ascii="Arial" w:eastAsia="MS Mincho"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F43B9"/>
    <w:pPr>
      <w:autoSpaceDE w:val="0"/>
      <w:autoSpaceDN w:val="0"/>
      <w:adjustRightInd w:val="0"/>
    </w:pPr>
    <w:rPr>
      <w:rFonts w:ascii="Arial" w:eastAsia="MS Mincho" w:hAnsi="Arial" w:cs="Arial"/>
      <w:color w:val="000000"/>
      <w:sz w:val="24"/>
      <w:szCs w:val="24"/>
      <w:lang w:val="en-GB" w:eastAsia="en-GB"/>
    </w:rPr>
  </w:style>
  <w:style w:type="character" w:customStyle="1" w:styleId="Heading1Char">
    <w:name w:val="Heading 1 Char"/>
    <w:rsid w:val="005F43B9"/>
    <w:rPr>
      <w:rFonts w:ascii="Arial" w:hAnsi="Arial" w:cs="Arial"/>
      <w:b/>
      <w:bCs/>
      <w:caps/>
      <w:sz w:val="28"/>
      <w:szCs w:val="28"/>
    </w:rPr>
  </w:style>
  <w:style w:type="character" w:customStyle="1" w:styleId="Heading2Char">
    <w:name w:val="Heading 2 Char"/>
    <w:rsid w:val="005F43B9"/>
    <w:rPr>
      <w:rFonts w:ascii="Arial" w:hAnsi="Arial" w:cs="Arial"/>
      <w:b/>
      <w:bCs/>
      <w:color w:val="4F81BD"/>
      <w:sz w:val="26"/>
      <w:szCs w:val="26"/>
    </w:rPr>
  </w:style>
  <w:style w:type="character" w:customStyle="1" w:styleId="Heading3Char">
    <w:name w:val="Heading 3 Char"/>
    <w:rsid w:val="005F43B9"/>
    <w:rPr>
      <w:rFonts w:ascii="Arial" w:hAnsi="Arial" w:cs="Arial"/>
      <w:b/>
      <w:bCs/>
      <w:color w:val="4F81BD"/>
    </w:rPr>
  </w:style>
  <w:style w:type="character" w:customStyle="1" w:styleId="Heading4Char">
    <w:name w:val="Heading 4 Char"/>
    <w:rsid w:val="005F43B9"/>
    <w:rPr>
      <w:rFonts w:ascii="Arial" w:hAnsi="Arial" w:cs="Arial"/>
      <w:b/>
      <w:bCs/>
      <w:i/>
      <w:iCs/>
      <w:color w:val="4F81BD"/>
    </w:rPr>
  </w:style>
  <w:style w:type="paragraph" w:customStyle="1" w:styleId="Bezmezer1">
    <w:name w:val="Bez mezer1"/>
    <w:rsid w:val="005F43B9"/>
    <w:pPr>
      <w:spacing w:after="40"/>
      <w:ind w:left="227" w:hanging="227"/>
      <w:jc w:val="both"/>
    </w:pPr>
    <w:rPr>
      <w:rFonts w:ascii="Arial" w:eastAsia="MS Mincho" w:hAnsi="Arial" w:cs="Arial"/>
      <w:sz w:val="22"/>
      <w:szCs w:val="22"/>
      <w:lang w:eastAsia="en-US"/>
    </w:rPr>
  </w:style>
  <w:style w:type="character" w:customStyle="1" w:styleId="HeaderChar">
    <w:name w:val="Header Char"/>
    <w:rsid w:val="005F43B9"/>
    <w:rPr>
      <w:rFonts w:ascii="Arial" w:hAnsi="Arial" w:cs="Arial"/>
      <w:sz w:val="18"/>
      <w:szCs w:val="18"/>
    </w:rPr>
  </w:style>
  <w:style w:type="character" w:customStyle="1" w:styleId="FooterChar">
    <w:name w:val="Footer Char"/>
    <w:rsid w:val="005F43B9"/>
    <w:rPr>
      <w:rFonts w:ascii="Arial" w:hAnsi="Arial" w:cs="Arial"/>
      <w:sz w:val="18"/>
      <w:szCs w:val="18"/>
    </w:rPr>
  </w:style>
  <w:style w:type="paragraph" w:customStyle="1" w:styleId="Odstavecseseznamem1">
    <w:name w:val="Odstavec se seznamem1"/>
    <w:basedOn w:val="Normln"/>
    <w:rsid w:val="005F43B9"/>
    <w:pPr>
      <w:overflowPunct/>
      <w:autoSpaceDE/>
      <w:autoSpaceDN/>
      <w:adjustRightInd/>
      <w:spacing w:after="40"/>
      <w:ind w:left="720"/>
      <w:textAlignment w:val="auto"/>
    </w:pPr>
    <w:rPr>
      <w:rFonts w:eastAsia="MS Mincho" w:cs="Arial"/>
      <w:szCs w:val="18"/>
      <w:lang w:eastAsia="en-US"/>
    </w:rPr>
  </w:style>
  <w:style w:type="character" w:customStyle="1" w:styleId="CommentTextChar">
    <w:name w:val="Comment Text Char"/>
    <w:rsid w:val="005F43B9"/>
    <w:rPr>
      <w:rFonts w:ascii="Arial" w:hAnsi="Arial" w:cs="Arial"/>
      <w:sz w:val="20"/>
      <w:szCs w:val="20"/>
    </w:rPr>
  </w:style>
  <w:style w:type="paragraph" w:customStyle="1" w:styleId="Pedmtkomente1">
    <w:name w:val="Předmět komentáře1"/>
    <w:basedOn w:val="Textkomente"/>
    <w:next w:val="Textkomente"/>
    <w:rsid w:val="005F43B9"/>
    <w:pPr>
      <w:spacing w:after="40"/>
      <w:jc w:val="both"/>
    </w:pPr>
    <w:rPr>
      <w:b/>
      <w:bCs/>
    </w:rPr>
  </w:style>
  <w:style w:type="character" w:customStyle="1" w:styleId="CommentSubjectChar">
    <w:name w:val="Comment Subject Char"/>
    <w:rsid w:val="005F43B9"/>
    <w:rPr>
      <w:rFonts w:ascii="Arial" w:hAnsi="Arial" w:cs="Arial"/>
      <w:b/>
      <w:bCs/>
      <w:sz w:val="20"/>
      <w:szCs w:val="20"/>
    </w:rPr>
  </w:style>
  <w:style w:type="paragraph" w:customStyle="1" w:styleId="Textbubliny1">
    <w:name w:val="Text bubliny1"/>
    <w:basedOn w:val="Normln"/>
    <w:rsid w:val="005F43B9"/>
    <w:pPr>
      <w:overflowPunct/>
      <w:autoSpaceDE/>
      <w:autoSpaceDN/>
      <w:adjustRightInd/>
      <w:spacing w:after="40"/>
      <w:textAlignment w:val="auto"/>
    </w:pPr>
    <w:rPr>
      <w:rFonts w:ascii="Tahoma" w:eastAsia="MS Mincho" w:hAnsi="Tahoma" w:cs="Tahoma"/>
      <w:sz w:val="16"/>
      <w:szCs w:val="16"/>
      <w:lang w:eastAsia="en-US"/>
    </w:rPr>
  </w:style>
  <w:style w:type="character" w:customStyle="1" w:styleId="BalloonTextChar">
    <w:name w:val="Balloon Text Char"/>
    <w:rsid w:val="005F43B9"/>
    <w:rPr>
      <w:rFonts w:ascii="Tahoma" w:hAnsi="Tahoma" w:cs="Tahoma"/>
      <w:sz w:val="16"/>
      <w:szCs w:val="16"/>
    </w:rPr>
  </w:style>
  <w:style w:type="paragraph" w:customStyle="1" w:styleId="Revize1">
    <w:name w:val="Revize1"/>
    <w:hidden/>
    <w:rsid w:val="005F43B9"/>
    <w:pPr>
      <w:spacing w:after="40"/>
      <w:jc w:val="both"/>
    </w:pPr>
    <w:rPr>
      <w:rFonts w:ascii="Arial" w:eastAsia="MS Mincho" w:hAnsi="Arial" w:cs="Arial"/>
      <w:sz w:val="18"/>
      <w:szCs w:val="18"/>
      <w:lang w:eastAsia="en-US"/>
    </w:rPr>
  </w:style>
  <w:style w:type="character" w:customStyle="1" w:styleId="FootnoteTextChar">
    <w:name w:val="Footnote Text Char"/>
    <w:rsid w:val="005F43B9"/>
    <w:rPr>
      <w:rFonts w:ascii="Arial" w:hAnsi="Arial" w:cs="Arial"/>
      <w:sz w:val="20"/>
      <w:szCs w:val="20"/>
    </w:rPr>
  </w:style>
  <w:style w:type="character" w:customStyle="1" w:styleId="st">
    <w:name w:val="st"/>
    <w:rsid w:val="005F43B9"/>
  </w:style>
  <w:style w:type="character" w:styleId="Zdraznn">
    <w:name w:val="Emphasis"/>
    <w:aliases w:val="Zvýraznění"/>
    <w:qFormat/>
    <w:rsid w:val="005F43B9"/>
    <w:rPr>
      <w:b/>
      <w:bCs/>
      <w:i w:val="0"/>
      <w:iCs w:val="0"/>
    </w:rPr>
  </w:style>
  <w:style w:type="paragraph" w:styleId="Zkladntext">
    <w:name w:val="Body Text"/>
    <w:basedOn w:val="Normln"/>
    <w:link w:val="ZkladntextChar"/>
    <w:semiHidden/>
    <w:rsid w:val="005F43B9"/>
    <w:pPr>
      <w:overflowPunct/>
      <w:autoSpaceDE/>
      <w:autoSpaceDN/>
      <w:adjustRightInd/>
      <w:spacing w:before="40" w:after="40"/>
      <w:textAlignment w:val="auto"/>
    </w:pPr>
    <w:rPr>
      <w:rFonts w:eastAsia="MS Mincho"/>
      <w:szCs w:val="18"/>
      <w:lang w:val="en-GB" w:eastAsia="x-none"/>
    </w:rPr>
  </w:style>
  <w:style w:type="character" w:customStyle="1" w:styleId="ZkladntextChar">
    <w:name w:val="Základní text Char"/>
    <w:basedOn w:val="Standardnpsmoodstavce"/>
    <w:link w:val="Zkladntext"/>
    <w:semiHidden/>
    <w:rsid w:val="005F43B9"/>
    <w:rPr>
      <w:rFonts w:ascii="Arial" w:eastAsia="MS Mincho" w:hAnsi="Arial"/>
      <w:sz w:val="18"/>
      <w:szCs w:val="18"/>
      <w:lang w:val="en-GB" w:eastAsia="x-none"/>
    </w:rPr>
  </w:style>
  <w:style w:type="paragraph" w:styleId="Zkladntext2">
    <w:name w:val="Body Text 2"/>
    <w:basedOn w:val="Normln"/>
    <w:link w:val="Zkladntext2Char"/>
    <w:uiPriority w:val="99"/>
    <w:semiHidden/>
    <w:unhideWhenUsed/>
    <w:rsid w:val="005F43B9"/>
    <w:pPr>
      <w:overflowPunct/>
      <w:autoSpaceDE/>
      <w:autoSpaceDN/>
      <w:adjustRightInd/>
      <w:spacing w:after="120" w:line="480" w:lineRule="auto"/>
      <w:jc w:val="left"/>
      <w:textAlignment w:val="auto"/>
    </w:pPr>
    <w:rPr>
      <w:rFonts w:eastAsia="MS Mincho"/>
      <w:szCs w:val="22"/>
      <w:lang w:val="x-none" w:eastAsia="en-US"/>
    </w:rPr>
  </w:style>
  <w:style w:type="character" w:customStyle="1" w:styleId="Zkladntext2Char">
    <w:name w:val="Základní text 2 Char"/>
    <w:basedOn w:val="Standardnpsmoodstavce"/>
    <w:link w:val="Zkladntext2"/>
    <w:uiPriority w:val="99"/>
    <w:semiHidden/>
    <w:rsid w:val="005F43B9"/>
    <w:rPr>
      <w:rFonts w:ascii="Arial" w:eastAsia="MS Mincho" w:hAnsi="Arial"/>
      <w:sz w:val="18"/>
      <w:szCs w:val="22"/>
      <w:lang w:val="x-none" w:eastAsia="en-US"/>
    </w:rPr>
  </w:style>
  <w:style w:type="paragraph" w:customStyle="1" w:styleId="Bezmezer2">
    <w:name w:val="Bez mezer2"/>
    <w:rsid w:val="005F43B9"/>
    <w:pPr>
      <w:ind w:left="227" w:hanging="227"/>
    </w:pPr>
    <w:rPr>
      <w:rFonts w:ascii="Arial" w:eastAsia="MS Mincho" w:hAnsi="Arial" w:cs="Arial"/>
      <w:sz w:val="22"/>
      <w:szCs w:val="22"/>
      <w:lang w:eastAsia="en-US"/>
    </w:rPr>
  </w:style>
  <w:style w:type="paragraph" w:customStyle="1" w:styleId="Odstavecseseznamem2">
    <w:name w:val="Odstavec se seznamem2"/>
    <w:basedOn w:val="Normln"/>
    <w:rsid w:val="005F43B9"/>
    <w:pPr>
      <w:overflowPunct/>
      <w:autoSpaceDE/>
      <w:autoSpaceDN/>
      <w:adjustRightInd/>
      <w:ind w:left="720"/>
      <w:jc w:val="left"/>
      <w:textAlignment w:val="auto"/>
    </w:pPr>
    <w:rPr>
      <w:rFonts w:eastAsia="MS Mincho" w:cs="Arial"/>
      <w:szCs w:val="18"/>
      <w:lang w:eastAsia="en-US"/>
    </w:rPr>
  </w:style>
  <w:style w:type="paragraph" w:customStyle="1" w:styleId="Pedmtkomente2">
    <w:name w:val="Předmět komentáře2"/>
    <w:basedOn w:val="Textkomente"/>
    <w:next w:val="Textkomente"/>
    <w:rsid w:val="005F43B9"/>
    <w:rPr>
      <w:rFonts w:cs="Arial"/>
      <w:b/>
      <w:bCs/>
    </w:rPr>
  </w:style>
  <w:style w:type="paragraph" w:customStyle="1" w:styleId="Textbubliny2">
    <w:name w:val="Text bubliny2"/>
    <w:basedOn w:val="Normln"/>
    <w:rsid w:val="005F43B9"/>
    <w:pPr>
      <w:overflowPunct/>
      <w:autoSpaceDE/>
      <w:autoSpaceDN/>
      <w:adjustRightInd/>
      <w:jc w:val="left"/>
      <w:textAlignment w:val="auto"/>
    </w:pPr>
    <w:rPr>
      <w:rFonts w:ascii="Tahoma" w:eastAsia="MS Mincho" w:hAnsi="Tahoma" w:cs="Tahoma"/>
      <w:sz w:val="16"/>
      <w:szCs w:val="16"/>
      <w:lang w:eastAsia="en-US"/>
    </w:rPr>
  </w:style>
  <w:style w:type="paragraph" w:customStyle="1" w:styleId="Revize2">
    <w:name w:val="Revize2"/>
    <w:hidden/>
    <w:rsid w:val="005F43B9"/>
    <w:rPr>
      <w:rFonts w:ascii="Arial" w:eastAsia="MS Mincho"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nb.cz/cs/menova-politika/mp-nastro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11016</Words>
  <Characters>64999</Characters>
  <Application>Microsoft Office Word</Application>
  <DocSecurity>0</DocSecurity>
  <Lines>541</Lines>
  <Paragraphs>151</Paragraphs>
  <ScaleCrop>false</ScaleCrop>
  <Company>Komerční banka, a.s.</Company>
  <LinksUpToDate>false</LinksUpToDate>
  <CharactersWithSpaces>75864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Ferusova Renata</dc:creator>
  <cp:keywords/>
  <dc:description/>
  <cp:lastModifiedBy>Erika Dohnalova</cp:lastModifiedBy>
  <cp:revision>2</cp:revision>
  <dcterms:created xsi:type="dcterms:W3CDTF">2020-08-04T07:58:00Z</dcterms:created>
  <dcterms:modified xsi:type="dcterms:W3CDTF">2020-08-04T07:58:00Z</dcterms:modified>
</cp:coreProperties>
</file>