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F3" w:rsidRPr="00EB1AF3" w:rsidRDefault="00EB1AF3" w:rsidP="00EB1AF3">
      <w:pPr>
        <w:overflowPunct/>
        <w:autoSpaceDE/>
        <w:autoSpaceDN/>
        <w:adjustRightInd/>
        <w:textAlignment w:val="auto"/>
        <w:rPr>
          <w:rFonts w:eastAsia="MS Mincho" w:cs="Arial"/>
          <w:sz w:val="2"/>
          <w:szCs w:val="2"/>
          <w:lang w:eastAsia="en-US"/>
        </w:rPr>
      </w:pPr>
      <w:bookmarkStart w:id="0" w:name="_GoBack"/>
      <w:bookmarkEnd w:id="0"/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EB1AF3" w:rsidRPr="00EB1AF3" w:rsidTr="0033437D">
        <w:tc>
          <w:tcPr>
            <w:tcW w:w="9639" w:type="dxa"/>
            <w:noWrap/>
            <w:tcMar>
              <w:left w:w="0" w:type="dxa"/>
              <w:right w:w="0" w:type="dxa"/>
            </w:tcMar>
          </w:tcPr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  <w:bookmarkStart w:id="1" w:name="ceska"/>
            <w:r w:rsidRPr="00EB1AF3">
              <w:rPr>
                <w:rFonts w:eastAsia="ArialMT" w:cs="Arial"/>
                <w:szCs w:val="18"/>
                <w:lang w:eastAsia="en-US"/>
              </w:rPr>
              <w:t>Pohledávky Komerční banky, a.s. (dále jen „</w:t>
            </w:r>
            <w:r w:rsidRPr="00EB1AF3">
              <w:rPr>
                <w:rFonts w:eastAsia="ArialMT" w:cs="Arial"/>
                <w:b/>
                <w:szCs w:val="18"/>
                <w:lang w:eastAsia="en-US"/>
              </w:rPr>
              <w:t>Banka</w:t>
            </w:r>
            <w:r w:rsidRPr="00EB1AF3">
              <w:rPr>
                <w:rFonts w:eastAsia="ArialMT" w:cs="Arial"/>
                <w:szCs w:val="18"/>
                <w:lang w:eastAsia="en-US"/>
              </w:rPr>
              <w:t>“) za klientem se hradí v pořadí podle následujících pravidel</w:t>
            </w:r>
            <w:r w:rsidRPr="00EB1AF3">
              <w:rPr>
                <w:rFonts w:eastAsia="ArialMT" w:cs="Arial"/>
                <w:color w:val="000000"/>
                <w:szCs w:val="18"/>
                <w:lang w:eastAsia="en-US"/>
              </w:rPr>
              <w:t xml:space="preserve">, </w:t>
            </w:r>
            <w:r w:rsidRPr="00EB1AF3">
              <w:rPr>
                <w:rFonts w:eastAsia="MS Mincho" w:cs="Arial"/>
                <w:color w:val="000000"/>
                <w:szCs w:val="18"/>
                <w:lang w:eastAsia="en-US"/>
              </w:rPr>
              <w:t>pokud se Banka s klientem nedohodne jinak</w:t>
            </w:r>
            <w:r w:rsidRPr="00EB1AF3">
              <w:rPr>
                <w:rFonts w:eastAsia="ArialMT" w:cs="Arial"/>
                <w:szCs w:val="18"/>
                <w:lang w:eastAsia="en-US"/>
              </w:rPr>
              <w:t>.</w:t>
            </w: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  <w:r w:rsidRPr="00EB1AF3">
              <w:rPr>
                <w:rFonts w:eastAsia="ArialMT" w:cs="Arial"/>
                <w:szCs w:val="18"/>
                <w:lang w:eastAsia="en-US"/>
              </w:rPr>
              <w:t xml:space="preserve">Pohledávky vzniklé v rámci jednoho právního vztahu se hradí v následujícím pořadí: </w:t>
            </w: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ind w:left="284" w:hanging="284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EB1AF3">
              <w:rPr>
                <w:rFonts w:eastAsia="MS Mincho"/>
                <w:szCs w:val="18"/>
                <w:lang w:eastAsia="en-US"/>
              </w:rPr>
              <w:t>1.</w:t>
            </w:r>
            <w:r w:rsidRPr="00EB1AF3">
              <w:rPr>
                <w:rFonts w:eastAsia="MS Mincho"/>
                <w:szCs w:val="18"/>
                <w:lang w:eastAsia="en-US"/>
              </w:rPr>
              <w:tab/>
            </w:r>
            <w:r w:rsidRPr="00EB1AF3">
              <w:rPr>
                <w:rFonts w:eastAsia="MS Mincho"/>
                <w:szCs w:val="22"/>
                <w:lang w:eastAsia="en-US"/>
              </w:rPr>
              <w:t>úroky</w:t>
            </w:r>
            <w:r w:rsidRPr="00EB1AF3">
              <w:rPr>
                <w:rFonts w:eastAsia="MS Mincho" w:cs="Arial"/>
                <w:szCs w:val="18"/>
                <w:lang w:eastAsia="en-US"/>
              </w:rPr>
              <w:t>;</w:t>
            </w: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ind w:left="284" w:hanging="284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>
              <w:rPr>
                <w:rFonts w:eastAsia="MS Mincho"/>
                <w:szCs w:val="18"/>
                <w:lang w:eastAsia="en-US"/>
              </w:rPr>
              <w:t>2.</w:t>
            </w:r>
            <w:r w:rsidRPr="00EB1AF3">
              <w:rPr>
                <w:rFonts w:eastAsia="MS Mincho"/>
                <w:szCs w:val="18"/>
                <w:lang w:eastAsia="en-US"/>
              </w:rPr>
              <w:tab/>
            </w:r>
            <w:r w:rsidRPr="00EB1AF3">
              <w:rPr>
                <w:rFonts w:eastAsia="MS Mincho"/>
                <w:szCs w:val="22"/>
                <w:lang w:eastAsia="en-US"/>
              </w:rPr>
              <w:t>jistina dluhu</w:t>
            </w:r>
            <w:r w:rsidRPr="00EB1AF3">
              <w:rPr>
                <w:rFonts w:eastAsia="MS Mincho" w:cs="Arial"/>
                <w:szCs w:val="18"/>
                <w:lang w:eastAsia="en-US"/>
              </w:rPr>
              <w:t>;</w:t>
            </w: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ind w:left="284" w:hanging="284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>
              <w:rPr>
                <w:rFonts w:eastAsia="MS Mincho"/>
                <w:szCs w:val="18"/>
                <w:lang w:eastAsia="en-US"/>
              </w:rPr>
              <w:t>3.</w:t>
            </w:r>
            <w:r w:rsidRPr="00EB1AF3">
              <w:rPr>
                <w:rFonts w:eastAsia="MS Mincho"/>
                <w:szCs w:val="18"/>
                <w:lang w:eastAsia="en-US"/>
              </w:rPr>
              <w:tab/>
            </w:r>
            <w:r w:rsidRPr="00EB1AF3">
              <w:rPr>
                <w:rFonts w:eastAsia="MS Mincho"/>
                <w:szCs w:val="22"/>
                <w:lang w:eastAsia="en-US"/>
              </w:rPr>
              <w:t>úroky z prodlení;</w:t>
            </w: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ind w:left="284" w:hanging="284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>
              <w:rPr>
                <w:rFonts w:eastAsia="MS Mincho"/>
                <w:szCs w:val="18"/>
                <w:lang w:eastAsia="en-US"/>
              </w:rPr>
              <w:t>4.</w:t>
            </w:r>
            <w:r w:rsidRPr="00EB1AF3">
              <w:rPr>
                <w:rFonts w:eastAsia="MS Mincho"/>
                <w:szCs w:val="18"/>
                <w:lang w:eastAsia="en-US"/>
              </w:rPr>
              <w:tab/>
            </w:r>
            <w:r w:rsidRPr="00EB1AF3">
              <w:rPr>
                <w:rFonts w:eastAsia="MS Mincho"/>
                <w:szCs w:val="22"/>
                <w:lang w:eastAsia="en-US"/>
              </w:rPr>
              <w:t>poplatky, ceny a smluvní pokuty v pořadí určeném Bankou</w:t>
            </w:r>
            <w:r w:rsidRPr="00EB1AF3">
              <w:rPr>
                <w:rFonts w:eastAsia="MS Mincho" w:cs="Arial"/>
                <w:szCs w:val="18"/>
                <w:lang w:eastAsia="en-US"/>
              </w:rPr>
              <w:t>;</w:t>
            </w: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ind w:left="284" w:hanging="284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>
              <w:rPr>
                <w:rFonts w:eastAsia="MS Mincho"/>
                <w:szCs w:val="18"/>
                <w:lang w:eastAsia="en-US"/>
              </w:rPr>
              <w:t>5.</w:t>
            </w:r>
            <w:r w:rsidRPr="00EB1AF3">
              <w:rPr>
                <w:rFonts w:eastAsia="MS Mincho"/>
                <w:szCs w:val="18"/>
                <w:lang w:eastAsia="en-US"/>
              </w:rPr>
              <w:tab/>
            </w:r>
            <w:r w:rsidRPr="00EB1AF3">
              <w:rPr>
                <w:rFonts w:eastAsia="MS Mincho"/>
                <w:szCs w:val="22"/>
                <w:lang w:eastAsia="en-US"/>
              </w:rPr>
              <w:t>další úhrady.</w:t>
            </w: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u w:val="single"/>
                <w:lang w:eastAsia="en-US"/>
              </w:rPr>
            </w:pPr>
            <w:r w:rsidRPr="00EB1AF3">
              <w:rPr>
                <w:rFonts w:eastAsia="ArialMT" w:cs="Arial"/>
                <w:szCs w:val="18"/>
                <w:u w:val="single"/>
                <w:lang w:eastAsia="en-US"/>
              </w:rPr>
              <w:t>Další pravidla pro pohledávky z úvěrů:</w:t>
            </w: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  <w:r w:rsidRPr="00EB1AF3">
              <w:rPr>
                <w:rFonts w:eastAsia="ArialMT" w:cs="Arial"/>
                <w:szCs w:val="18"/>
                <w:lang w:eastAsia="en-US"/>
              </w:rPr>
              <w:t xml:space="preserve">Hradí se nejprve úrok a jistina dluhu dle pořadí jejich splatnosti a až poté zbylá část dluhu. </w:t>
            </w: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  <w:r w:rsidRPr="00EB1AF3">
              <w:rPr>
                <w:rFonts w:eastAsia="ArialMT" w:cs="Arial"/>
                <w:szCs w:val="18"/>
                <w:u w:val="single"/>
                <w:lang w:eastAsia="en-US"/>
              </w:rPr>
              <w:t>Další pravidla pro více právních vztahů:</w:t>
            </w: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  <w:r w:rsidRPr="00EB1AF3">
              <w:rPr>
                <w:rFonts w:eastAsia="ArialMT" w:cs="Arial"/>
                <w:szCs w:val="18"/>
                <w:lang w:eastAsia="en-US"/>
              </w:rPr>
              <w:t>V případě pohledávek z více právních vztahů použije Banka přijaté plnění nejprve na splacení úroků a jistiny ze všech právních vztahů. Po jejich splacení použije Banka přijatá plnění na splacení všech úroků z prodlení a až poté na splacení všech cen a poplatků, případně smluvních pokut, případně dalších úhrad.</w:t>
            </w: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  <w:r w:rsidRPr="00EB1AF3">
              <w:rPr>
                <w:rFonts w:eastAsia="ArialMT" w:cs="Arial"/>
                <w:szCs w:val="18"/>
                <w:lang w:eastAsia="en-US"/>
              </w:rPr>
              <w:t>Bez ohledu na výše uvedené je Banka oprávněna použít přijaté plnění nejprve na splacení úroků z prodlení.</w:t>
            </w: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  <w:r w:rsidRPr="00EB1AF3">
              <w:rPr>
                <w:rFonts w:eastAsia="ArialMT" w:cs="Arial"/>
                <w:szCs w:val="18"/>
                <w:lang w:eastAsia="en-US"/>
              </w:rPr>
              <w:t>Těmito pravidly nejsou dotčena zvláštní pravidla pro pořadí úhrad pohledávek stanovená právními předpisy.</w:t>
            </w: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  <w:r w:rsidRPr="00EB1AF3">
              <w:rPr>
                <w:rFonts w:eastAsia="ArialMT" w:cs="Arial"/>
                <w:szCs w:val="18"/>
                <w:lang w:eastAsia="en-US"/>
              </w:rPr>
              <w:t>Právo spotřebitele určit, který právní vztah má být přednostně uhrazen, tím není dotčeno.</w:t>
            </w: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</w:p>
          <w:p w:rsidR="00EB1AF3" w:rsidRPr="00EB1AF3" w:rsidRDefault="00EB1AF3" w:rsidP="00EB1AF3">
            <w:pPr>
              <w:overflowPunct/>
              <w:autoSpaceDE/>
              <w:autoSpaceDN/>
              <w:adjustRightInd/>
              <w:textAlignment w:val="auto"/>
              <w:rPr>
                <w:rFonts w:eastAsia="MS Mincho" w:cs="Arial"/>
                <w:szCs w:val="18"/>
                <w:lang w:eastAsia="en-US"/>
              </w:rPr>
            </w:pPr>
            <w:r w:rsidRPr="00EB1AF3">
              <w:rPr>
                <w:rFonts w:eastAsia="MS Mincho" w:cs="Arial"/>
                <w:szCs w:val="18"/>
                <w:lang w:eastAsia="en-US"/>
              </w:rPr>
              <w:t xml:space="preserve">Tato Pravidla nabývají účinnosti dne </w:t>
            </w:r>
            <w:proofErr w:type="gramStart"/>
            <w:r w:rsidRPr="00EB1AF3">
              <w:rPr>
                <w:rFonts w:eastAsia="MS Mincho" w:cs="Arial"/>
                <w:szCs w:val="18"/>
                <w:lang w:eastAsia="en-US"/>
              </w:rPr>
              <w:t>17.4. 2018</w:t>
            </w:r>
            <w:proofErr w:type="gramEnd"/>
            <w:r w:rsidRPr="00EB1AF3">
              <w:rPr>
                <w:rFonts w:eastAsia="MS Mincho" w:cs="Arial"/>
                <w:szCs w:val="18"/>
                <w:lang w:eastAsia="en-US"/>
              </w:rPr>
              <w:t xml:space="preserve"> a nahrazují Pravidla v dosavadním znění.</w:t>
            </w:r>
          </w:p>
        </w:tc>
      </w:tr>
      <w:bookmarkEnd w:id="1"/>
    </w:tbl>
    <w:p w:rsidR="00530170" w:rsidRPr="00EB1AF3" w:rsidRDefault="00530170" w:rsidP="00EB1AF3"/>
    <w:sectPr w:rsidR="00530170" w:rsidRPr="00EB1AF3" w:rsidSect="00DB1A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71" w:right="1134" w:bottom="1588" w:left="1134" w:header="102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AD" w:rsidRDefault="00C16BAD">
      <w:r>
        <w:separator/>
      </w:r>
    </w:p>
  </w:endnote>
  <w:endnote w:type="continuationSeparator" w:id="0">
    <w:p w:rsidR="00C16BAD" w:rsidRDefault="00C1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5E30E4" w:rsidRPr="00C240F0" w:rsidTr="001604F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:rsidR="005E30E4" w:rsidRDefault="00EB1AF3" w:rsidP="001604F9">
          <w:pPr>
            <w:pStyle w:val="kbFixedtext"/>
            <w:spacing w:before="100"/>
          </w:pPr>
          <w:r>
            <w:t xml:space="preserve">Komerční banka, a. s., se sídlem: </w:t>
          </w:r>
        </w:p>
        <w:p w:rsidR="005E30E4" w:rsidRDefault="00EB1AF3" w:rsidP="001604F9">
          <w:pPr>
            <w:pStyle w:val="kbFixedtext"/>
          </w:pPr>
          <w:r>
            <w:t>Praha 1, Na Příkopě 33 čp. 969, PSČ 114 07, IČO: 45317054</w:t>
          </w:r>
        </w:p>
        <w:p w:rsidR="005E30E4" w:rsidRDefault="00EB1AF3" w:rsidP="001604F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:rsidR="005E30E4" w:rsidRDefault="00EB1AF3" w:rsidP="001604F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B554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651EA6" w:rsidRPr="00DA7946" w:rsidRDefault="00EB1AF3" w:rsidP="00651EA6">
          <w:pPr>
            <w:pStyle w:val="Registration"/>
            <w:jc w:val="right"/>
          </w:pPr>
          <w:r w:rsidRPr="00DA7946">
            <w:t>Datum účinnosti šablony 1</w:t>
          </w:r>
          <w:r>
            <w:t>7</w:t>
          </w:r>
          <w:r w:rsidRPr="00DA7946">
            <w:t xml:space="preserve">. </w:t>
          </w:r>
          <w:r>
            <w:t>4. 2018</w:t>
          </w:r>
        </w:p>
        <w:p w:rsidR="005E30E4" w:rsidRDefault="00EB1AF3" w:rsidP="00651EA6">
          <w:pPr>
            <w:pStyle w:val="Registration"/>
            <w:jc w:val="right"/>
          </w:pPr>
          <w:r w:rsidRPr="00DA7946">
            <w:t xml:space="preserve">VER </w:t>
          </w:r>
          <w:r>
            <w:t xml:space="preserve">e </w:t>
          </w:r>
          <w:r w:rsidRPr="00DA7946">
            <w:t>PRAVIDLA.</w:t>
          </w:r>
          <w:proofErr w:type="gramStart"/>
          <w:r w:rsidRPr="00DA7946">
            <w:t>DOT</w:t>
          </w:r>
          <w:r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EB5548">
            <w:rPr>
              <w:noProof/>
            </w:rPr>
            <w:t>4.8.2020</w:t>
          </w:r>
          <w:proofErr w:type="gramEnd"/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EB5548">
            <w:rPr>
              <w:noProof/>
            </w:rPr>
            <w:t>9:56 dop.</w:t>
          </w:r>
          <w:r w:rsidRPr="00DA7946">
            <w:fldChar w:fldCharType="end"/>
          </w:r>
        </w:p>
      </w:tc>
    </w:tr>
  </w:tbl>
  <w:p w:rsidR="005E30E4" w:rsidRPr="00651EA6" w:rsidRDefault="00C16BAD" w:rsidP="00651EA6">
    <w:pPr>
      <w:pStyle w:val="Zpa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70F0" w:rsidRPr="00C240F0" w:rsidTr="0088135F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:rsidR="002370F0" w:rsidRDefault="00EB1AF3" w:rsidP="0088135F">
          <w:pPr>
            <w:pStyle w:val="kbFixedtext"/>
            <w:spacing w:before="100"/>
          </w:pPr>
          <w:bookmarkStart w:id="3" w:name="cj_2"/>
          <w:r>
            <w:t xml:space="preserve">Komerční banka, a. s., se sídlem: </w:t>
          </w:r>
        </w:p>
        <w:p w:rsidR="002370F0" w:rsidRDefault="00EB1AF3" w:rsidP="0088135F">
          <w:pPr>
            <w:pStyle w:val="kbFixedtext"/>
          </w:pPr>
          <w:r>
            <w:t>Praha 1, Na Příkopě 33 čp. 969, PSČ 114 07, IČO: 45317054</w:t>
          </w:r>
        </w:p>
        <w:p w:rsidR="002370F0" w:rsidRDefault="00EB1AF3" w:rsidP="0088135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:rsidR="002370F0" w:rsidRDefault="00EB1AF3" w:rsidP="0068327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EB554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B554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2370F0" w:rsidRPr="00DA7946" w:rsidRDefault="00EB1AF3" w:rsidP="00683273">
          <w:pPr>
            <w:pStyle w:val="Registration"/>
            <w:jc w:val="right"/>
          </w:pPr>
          <w:r w:rsidRPr="00DA7946">
            <w:t>Datum účinnosti šablony 1</w:t>
          </w:r>
          <w:r>
            <w:t>7</w:t>
          </w:r>
          <w:r w:rsidRPr="00DA7946">
            <w:t xml:space="preserve">. </w:t>
          </w:r>
          <w:r>
            <w:t>4. 2018</w:t>
          </w:r>
        </w:p>
        <w:p w:rsidR="002370F0" w:rsidRDefault="00EB1AF3" w:rsidP="00651EA6">
          <w:pPr>
            <w:pStyle w:val="Registration"/>
            <w:jc w:val="right"/>
          </w:pPr>
          <w:r w:rsidRPr="00DA7946">
            <w:t xml:space="preserve">VER </w:t>
          </w:r>
          <w:r>
            <w:t xml:space="preserve">e </w:t>
          </w:r>
          <w:r w:rsidRPr="00DA7946">
            <w:t>PRAVIDLA.</w:t>
          </w:r>
          <w:proofErr w:type="gramStart"/>
          <w:r w:rsidRPr="00DA7946">
            <w:t>DOT</w:t>
          </w:r>
          <w:r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EB5548">
            <w:rPr>
              <w:noProof/>
            </w:rPr>
            <w:t>4.8.2020</w:t>
          </w:r>
          <w:proofErr w:type="gramEnd"/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EB5548">
            <w:rPr>
              <w:noProof/>
            </w:rPr>
            <w:t>9:56 dop.</w:t>
          </w:r>
          <w:r w:rsidRPr="00DA7946">
            <w:fldChar w:fldCharType="end"/>
          </w:r>
        </w:p>
      </w:tc>
    </w:tr>
  </w:tbl>
  <w:p w:rsidR="0088135F" w:rsidRPr="00651EA6" w:rsidRDefault="00C16BAD">
    <w:pPr>
      <w:pStyle w:val="Zpat"/>
      <w:rPr>
        <w:sz w:val="4"/>
        <w:szCs w:val="4"/>
      </w:rPr>
    </w:pPr>
  </w:p>
  <w:bookmarkEnd w:id="3"/>
  <w:p w:rsidR="00F31A66" w:rsidRPr="00651EA6" w:rsidRDefault="00C16BAD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AD" w:rsidRDefault="00C16BAD">
      <w:r>
        <w:separator/>
      </w:r>
    </w:p>
  </w:footnote>
  <w:footnote w:type="continuationSeparator" w:id="0">
    <w:p w:rsidR="00C16BAD" w:rsidRDefault="00C16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5F" w:rsidRPr="00DB1ABE" w:rsidRDefault="00C16BAD">
    <w:pPr>
      <w:rPr>
        <w:sz w:val="10"/>
        <w:szCs w:val="10"/>
      </w:rPr>
    </w:pPr>
  </w:p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88135F" w:rsidRPr="00651EA6">
      <w:trPr>
        <w:trHeight w:val="425"/>
      </w:trPr>
      <w:tc>
        <w:tcPr>
          <w:tcW w:w="9639" w:type="dxa"/>
          <w:tcBorders>
            <w:bottom w:val="single" w:sz="6" w:space="0" w:color="DADADA"/>
          </w:tcBorders>
        </w:tcPr>
        <w:p w:rsidR="0088135F" w:rsidRPr="00651EA6" w:rsidRDefault="00EB1AF3" w:rsidP="00651EA6">
          <w:pPr>
            <w:pStyle w:val="Zhlav"/>
            <w:rPr>
              <w:rFonts w:cs="Arial"/>
              <w:b/>
              <w:bCs/>
              <w:caps/>
              <w:sz w:val="28"/>
              <w:szCs w:val="28"/>
              <w:lang w:val="cs-CZ" w:eastAsia="en-US"/>
            </w:rPr>
          </w:pPr>
          <w:r w:rsidRPr="00651EA6">
            <w:rPr>
              <w:rFonts w:eastAsia="Times New Roman" w:cs="Arial"/>
              <w:b/>
              <w:caps/>
              <w:sz w:val="28"/>
              <w:szCs w:val="28"/>
              <w:lang w:val="cs-CZ" w:eastAsia="en-US"/>
            </w:rPr>
            <w:t>Pravidla časového pořadí úhrad pohledávek</w:t>
          </w:r>
        </w:p>
      </w:tc>
    </w:tr>
  </w:tbl>
  <w:p w:rsidR="0088135F" w:rsidRDefault="00C16BAD" w:rsidP="00087C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84"/>
      <w:gridCol w:w="786"/>
      <w:gridCol w:w="786"/>
      <w:gridCol w:w="5983"/>
    </w:tblGrid>
    <w:tr w:rsidR="0088135F" w:rsidRPr="00C240F0">
      <w:trPr>
        <w:trHeight w:hRule="exact" w:val="284"/>
      </w:trPr>
      <w:tc>
        <w:tcPr>
          <w:tcW w:w="1956" w:type="dxa"/>
          <w:vMerge w:val="restart"/>
          <w:vAlign w:val="center"/>
        </w:tcPr>
        <w:p w:rsidR="0088135F" w:rsidRPr="00117649" w:rsidRDefault="00EB1AF3" w:rsidP="00FB09AD">
          <w:pPr>
            <w:pStyle w:val="Zhlav"/>
            <w:rPr>
              <w:rFonts w:cs="Arial"/>
              <w:lang w:val="cs-CZ" w:eastAsia="en-US"/>
            </w:rPr>
          </w:pPr>
          <w:bookmarkStart w:id="2" w:name="cj"/>
          <w:r w:rsidRPr="00117649">
            <w:rPr>
              <w:rFonts w:cs="Arial"/>
              <w:noProof/>
              <w:lang w:val="cs-CZ" w:eastAsia="cs-CZ"/>
            </w:rPr>
            <w:drawing>
              <wp:inline distT="0" distB="0" distL="0" distR="0">
                <wp:extent cx="1314450" cy="476250"/>
                <wp:effectExtent l="0" t="0" r="0" b="0"/>
                <wp:docPr id="1" name="Obrázek 1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vAlign w:val="center"/>
        </w:tcPr>
        <w:p w:rsidR="0088135F" w:rsidRPr="00117649" w:rsidRDefault="00C16BAD" w:rsidP="00C240F0">
          <w:pPr>
            <w:pStyle w:val="Nadpis1"/>
            <w:jc w:val="left"/>
            <w:rPr>
              <w:rFonts w:cs="Arial"/>
              <w:b w:val="0"/>
              <w:bCs/>
              <w:caps/>
              <w:sz w:val="8"/>
              <w:szCs w:val="8"/>
              <w:lang w:eastAsia="en-US"/>
            </w:rPr>
          </w:pPr>
        </w:p>
      </w:tc>
      <w:tc>
        <w:tcPr>
          <w:tcW w:w="737" w:type="dxa"/>
          <w:vMerge w:val="restart"/>
          <w:vAlign w:val="center"/>
        </w:tcPr>
        <w:p w:rsidR="0088135F" w:rsidRPr="00117649" w:rsidRDefault="00C16BAD" w:rsidP="00C240F0">
          <w:pPr>
            <w:pStyle w:val="Nadpis1"/>
            <w:jc w:val="left"/>
            <w:rPr>
              <w:rFonts w:cs="Arial"/>
              <w:lang w:eastAsia="en-US"/>
            </w:rPr>
          </w:pPr>
        </w:p>
      </w:tc>
      <w:tc>
        <w:tcPr>
          <w:tcW w:w="5613" w:type="dxa"/>
          <w:vMerge w:val="restart"/>
          <w:vAlign w:val="center"/>
        </w:tcPr>
        <w:p w:rsidR="0088135F" w:rsidRPr="00117649" w:rsidRDefault="00EB1AF3" w:rsidP="0088135F">
          <w:pPr>
            <w:pStyle w:val="Nadpis1"/>
            <w:jc w:val="left"/>
            <w:rPr>
              <w:rFonts w:cs="Arial"/>
              <w:lang w:eastAsia="en-US"/>
            </w:rPr>
          </w:pPr>
          <w:r w:rsidRPr="00117649">
            <w:rPr>
              <w:rFonts w:cs="Arial"/>
              <w:lang w:eastAsia="en-US"/>
            </w:rPr>
            <w:t>Pravidla časového pořadí úhrad pohledávek</w:t>
          </w:r>
        </w:p>
      </w:tc>
    </w:tr>
    <w:tr w:rsidR="0088135F" w:rsidRPr="00C240F0">
      <w:trPr>
        <w:trHeight w:hRule="exact" w:val="369"/>
      </w:trPr>
      <w:tc>
        <w:tcPr>
          <w:tcW w:w="1956" w:type="dxa"/>
          <w:vMerge/>
          <w:vAlign w:val="center"/>
        </w:tcPr>
        <w:p w:rsidR="0088135F" w:rsidRPr="00117649" w:rsidRDefault="00C16BAD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vAlign w:val="center"/>
        </w:tcPr>
        <w:p w:rsidR="0088135F" w:rsidRPr="00117649" w:rsidRDefault="00C16BAD" w:rsidP="00C240F0">
          <w:pPr>
            <w:pStyle w:val="Nadpis1"/>
            <w:jc w:val="center"/>
            <w:rPr>
              <w:rFonts w:cs="Arial"/>
              <w:b w:val="0"/>
              <w:bCs/>
              <w:caps/>
              <w:sz w:val="8"/>
              <w:szCs w:val="8"/>
              <w:lang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:rsidR="0088135F" w:rsidRPr="00117649" w:rsidRDefault="00C16BAD" w:rsidP="00C240F0">
          <w:pPr>
            <w:pStyle w:val="Nadpis1"/>
            <w:jc w:val="left"/>
            <w:rPr>
              <w:rFonts w:cs="Arial"/>
              <w:lang w:eastAsia="en-US"/>
            </w:rPr>
          </w:pPr>
        </w:p>
      </w:tc>
      <w:tc>
        <w:tcPr>
          <w:tcW w:w="5613" w:type="dxa"/>
          <w:vMerge/>
          <w:vAlign w:val="center"/>
        </w:tcPr>
        <w:p w:rsidR="0088135F" w:rsidRPr="00117649" w:rsidRDefault="00C16BAD" w:rsidP="00C240F0">
          <w:pPr>
            <w:pStyle w:val="Nadpis1"/>
            <w:jc w:val="left"/>
            <w:rPr>
              <w:rFonts w:cs="Arial"/>
              <w:lang w:eastAsia="en-US"/>
            </w:rPr>
          </w:pPr>
        </w:p>
      </w:tc>
    </w:tr>
    <w:tr w:rsidR="0088135F" w:rsidRPr="00C240F0">
      <w:trPr>
        <w:trHeight w:hRule="exact" w:val="284"/>
      </w:trPr>
      <w:tc>
        <w:tcPr>
          <w:tcW w:w="1956" w:type="dxa"/>
          <w:vMerge/>
          <w:vAlign w:val="center"/>
        </w:tcPr>
        <w:p w:rsidR="0088135F" w:rsidRPr="00117649" w:rsidRDefault="00C16BAD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vAlign w:val="center"/>
        </w:tcPr>
        <w:p w:rsidR="0088135F" w:rsidRPr="00117649" w:rsidRDefault="00C16BAD" w:rsidP="00C240F0">
          <w:pPr>
            <w:pStyle w:val="Nadpis1"/>
            <w:jc w:val="center"/>
            <w:rPr>
              <w:rFonts w:cs="Arial"/>
              <w:b w:val="0"/>
              <w:bCs/>
              <w:caps/>
              <w:sz w:val="8"/>
              <w:szCs w:val="8"/>
              <w:lang w:eastAsia="en-US"/>
            </w:rPr>
          </w:pPr>
        </w:p>
      </w:tc>
      <w:tc>
        <w:tcPr>
          <w:tcW w:w="737" w:type="dxa"/>
          <w:vMerge/>
        </w:tcPr>
        <w:p w:rsidR="0088135F" w:rsidRPr="00117649" w:rsidRDefault="00C16BAD" w:rsidP="00C240F0">
          <w:pPr>
            <w:pStyle w:val="Nadpis1"/>
            <w:jc w:val="left"/>
            <w:rPr>
              <w:rFonts w:cs="Arial"/>
              <w:sz w:val="8"/>
              <w:szCs w:val="8"/>
              <w:lang w:eastAsia="en-US"/>
            </w:rPr>
          </w:pPr>
        </w:p>
      </w:tc>
      <w:tc>
        <w:tcPr>
          <w:tcW w:w="5613" w:type="dxa"/>
          <w:vMerge/>
          <w:vAlign w:val="center"/>
        </w:tcPr>
        <w:p w:rsidR="0088135F" w:rsidRPr="00117649" w:rsidRDefault="00C16BAD" w:rsidP="00C240F0">
          <w:pPr>
            <w:pStyle w:val="Nadpis1"/>
            <w:jc w:val="left"/>
            <w:rPr>
              <w:rFonts w:cs="Arial"/>
              <w:lang w:eastAsia="en-US"/>
            </w:rPr>
          </w:pPr>
        </w:p>
      </w:tc>
    </w:tr>
  </w:tbl>
  <w:p w:rsidR="0088135F" w:rsidRDefault="00C16BAD" w:rsidP="00441554">
    <w:pPr>
      <w:pStyle w:val="Zhlav"/>
      <w:tabs>
        <w:tab w:val="clear" w:pos="4536"/>
        <w:tab w:val="clear" w:pos="9072"/>
        <w:tab w:val="left" w:pos="3872"/>
      </w:tabs>
    </w:pPr>
  </w:p>
  <w:bookmarkEnd w:id="2"/>
  <w:p w:rsidR="0088135F" w:rsidRDefault="00C16BAD" w:rsidP="00F31A66">
    <w:pPr>
      <w:pStyle w:val="Zhlav"/>
    </w:pPr>
  </w:p>
  <w:p w:rsidR="009F20DA" w:rsidRDefault="00C16BAD" w:rsidP="00F31A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93B4D49"/>
    <w:multiLevelType w:val="hybridMultilevel"/>
    <w:tmpl w:val="388CDC1C"/>
    <w:lvl w:ilvl="0" w:tplc="965019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F3"/>
    <w:rsid w:val="000158A2"/>
    <w:rsid w:val="00024C3C"/>
    <w:rsid w:val="00034DF9"/>
    <w:rsid w:val="0007752A"/>
    <w:rsid w:val="00086E7C"/>
    <w:rsid w:val="000B1F45"/>
    <w:rsid w:val="000C30C6"/>
    <w:rsid w:val="000D262E"/>
    <w:rsid w:val="000E130B"/>
    <w:rsid w:val="00103938"/>
    <w:rsid w:val="0011080C"/>
    <w:rsid w:val="00123026"/>
    <w:rsid w:val="00135785"/>
    <w:rsid w:val="001418BD"/>
    <w:rsid w:val="00151A3A"/>
    <w:rsid w:val="00166745"/>
    <w:rsid w:val="00172995"/>
    <w:rsid w:val="0019135A"/>
    <w:rsid w:val="0019572D"/>
    <w:rsid w:val="001C12DF"/>
    <w:rsid w:val="001C23B5"/>
    <w:rsid w:val="001C6F56"/>
    <w:rsid w:val="0020108F"/>
    <w:rsid w:val="00202E48"/>
    <w:rsid w:val="002068D7"/>
    <w:rsid w:val="00224D2D"/>
    <w:rsid w:val="00227FE2"/>
    <w:rsid w:val="00233A89"/>
    <w:rsid w:val="00240E2C"/>
    <w:rsid w:val="00273C5B"/>
    <w:rsid w:val="00294F03"/>
    <w:rsid w:val="00295754"/>
    <w:rsid w:val="002A6E0F"/>
    <w:rsid w:val="002B7F35"/>
    <w:rsid w:val="002E2449"/>
    <w:rsid w:val="00305152"/>
    <w:rsid w:val="00323E96"/>
    <w:rsid w:val="003266CC"/>
    <w:rsid w:val="00327E49"/>
    <w:rsid w:val="00332148"/>
    <w:rsid w:val="00333CD5"/>
    <w:rsid w:val="003767FA"/>
    <w:rsid w:val="00376C19"/>
    <w:rsid w:val="0038488E"/>
    <w:rsid w:val="0039200F"/>
    <w:rsid w:val="003936E1"/>
    <w:rsid w:val="003B265D"/>
    <w:rsid w:val="003C7B38"/>
    <w:rsid w:val="003D1E5F"/>
    <w:rsid w:val="0041454D"/>
    <w:rsid w:val="004278BB"/>
    <w:rsid w:val="00431934"/>
    <w:rsid w:val="0043555B"/>
    <w:rsid w:val="00442C8E"/>
    <w:rsid w:val="004453DD"/>
    <w:rsid w:val="00445B97"/>
    <w:rsid w:val="00450EDF"/>
    <w:rsid w:val="004635A6"/>
    <w:rsid w:val="00465A53"/>
    <w:rsid w:val="00475FF9"/>
    <w:rsid w:val="0048602C"/>
    <w:rsid w:val="004B541E"/>
    <w:rsid w:val="004C5D83"/>
    <w:rsid w:val="004D541D"/>
    <w:rsid w:val="00517C52"/>
    <w:rsid w:val="0052760C"/>
    <w:rsid w:val="00530170"/>
    <w:rsid w:val="0053035B"/>
    <w:rsid w:val="005351E1"/>
    <w:rsid w:val="005361A0"/>
    <w:rsid w:val="00540716"/>
    <w:rsid w:val="00541C4E"/>
    <w:rsid w:val="00543447"/>
    <w:rsid w:val="00547ADF"/>
    <w:rsid w:val="00573357"/>
    <w:rsid w:val="00573729"/>
    <w:rsid w:val="005741A8"/>
    <w:rsid w:val="00576171"/>
    <w:rsid w:val="00582156"/>
    <w:rsid w:val="005D397C"/>
    <w:rsid w:val="005E40B1"/>
    <w:rsid w:val="0060588F"/>
    <w:rsid w:val="00605A95"/>
    <w:rsid w:val="006323BB"/>
    <w:rsid w:val="00655F33"/>
    <w:rsid w:val="006618A3"/>
    <w:rsid w:val="00661A8D"/>
    <w:rsid w:val="00673A8C"/>
    <w:rsid w:val="00693F40"/>
    <w:rsid w:val="006A5E78"/>
    <w:rsid w:val="006A7EB3"/>
    <w:rsid w:val="006B0F75"/>
    <w:rsid w:val="006B3368"/>
    <w:rsid w:val="006D1C5F"/>
    <w:rsid w:val="006E4D82"/>
    <w:rsid w:val="006F54A1"/>
    <w:rsid w:val="006F7BEB"/>
    <w:rsid w:val="00737284"/>
    <w:rsid w:val="00744580"/>
    <w:rsid w:val="00750E50"/>
    <w:rsid w:val="007550A0"/>
    <w:rsid w:val="00782128"/>
    <w:rsid w:val="007C1988"/>
    <w:rsid w:val="007C73C7"/>
    <w:rsid w:val="007D7AB5"/>
    <w:rsid w:val="007E185D"/>
    <w:rsid w:val="007E2A1D"/>
    <w:rsid w:val="007F2CB3"/>
    <w:rsid w:val="007F634C"/>
    <w:rsid w:val="0087317A"/>
    <w:rsid w:val="00877DBE"/>
    <w:rsid w:val="00887FDD"/>
    <w:rsid w:val="00891BBD"/>
    <w:rsid w:val="00894BFB"/>
    <w:rsid w:val="008A6D74"/>
    <w:rsid w:val="008B6E31"/>
    <w:rsid w:val="008D53E9"/>
    <w:rsid w:val="00900E88"/>
    <w:rsid w:val="00917449"/>
    <w:rsid w:val="0093161A"/>
    <w:rsid w:val="00951722"/>
    <w:rsid w:val="0095423B"/>
    <w:rsid w:val="00954C05"/>
    <w:rsid w:val="00990758"/>
    <w:rsid w:val="009A11D0"/>
    <w:rsid w:val="009B564F"/>
    <w:rsid w:val="009C57A4"/>
    <w:rsid w:val="009C61D0"/>
    <w:rsid w:val="00A07070"/>
    <w:rsid w:val="00A22D6F"/>
    <w:rsid w:val="00A23D66"/>
    <w:rsid w:val="00A25F39"/>
    <w:rsid w:val="00A31535"/>
    <w:rsid w:val="00A4677E"/>
    <w:rsid w:val="00A5049C"/>
    <w:rsid w:val="00A530CA"/>
    <w:rsid w:val="00A547CD"/>
    <w:rsid w:val="00A7084D"/>
    <w:rsid w:val="00AB3B1B"/>
    <w:rsid w:val="00AC0DF0"/>
    <w:rsid w:val="00AD2164"/>
    <w:rsid w:val="00AE194A"/>
    <w:rsid w:val="00B30D96"/>
    <w:rsid w:val="00B33511"/>
    <w:rsid w:val="00B44D56"/>
    <w:rsid w:val="00B638CF"/>
    <w:rsid w:val="00B754A7"/>
    <w:rsid w:val="00B82E76"/>
    <w:rsid w:val="00B93058"/>
    <w:rsid w:val="00B9383B"/>
    <w:rsid w:val="00B96358"/>
    <w:rsid w:val="00BA54F2"/>
    <w:rsid w:val="00BB1A57"/>
    <w:rsid w:val="00BB382E"/>
    <w:rsid w:val="00BC0323"/>
    <w:rsid w:val="00BF474A"/>
    <w:rsid w:val="00C04192"/>
    <w:rsid w:val="00C16BAD"/>
    <w:rsid w:val="00C42F41"/>
    <w:rsid w:val="00C511FA"/>
    <w:rsid w:val="00C51726"/>
    <w:rsid w:val="00C54EA7"/>
    <w:rsid w:val="00C70DB9"/>
    <w:rsid w:val="00C7293C"/>
    <w:rsid w:val="00C82E6F"/>
    <w:rsid w:val="00CD31A8"/>
    <w:rsid w:val="00CE4368"/>
    <w:rsid w:val="00CF33D1"/>
    <w:rsid w:val="00D0788C"/>
    <w:rsid w:val="00D277BB"/>
    <w:rsid w:val="00D4605A"/>
    <w:rsid w:val="00D55564"/>
    <w:rsid w:val="00D70959"/>
    <w:rsid w:val="00D72221"/>
    <w:rsid w:val="00D97592"/>
    <w:rsid w:val="00D97715"/>
    <w:rsid w:val="00DA6349"/>
    <w:rsid w:val="00DC4A5F"/>
    <w:rsid w:val="00DD02C0"/>
    <w:rsid w:val="00DD441B"/>
    <w:rsid w:val="00DE05BC"/>
    <w:rsid w:val="00DF6D73"/>
    <w:rsid w:val="00E20007"/>
    <w:rsid w:val="00E21D2C"/>
    <w:rsid w:val="00E42258"/>
    <w:rsid w:val="00E80E59"/>
    <w:rsid w:val="00E92D8C"/>
    <w:rsid w:val="00EB1AF3"/>
    <w:rsid w:val="00EB5548"/>
    <w:rsid w:val="00ED3F77"/>
    <w:rsid w:val="00EE2404"/>
    <w:rsid w:val="00EF43FE"/>
    <w:rsid w:val="00EF4F11"/>
    <w:rsid w:val="00EF5190"/>
    <w:rsid w:val="00F22AA1"/>
    <w:rsid w:val="00F32708"/>
    <w:rsid w:val="00F33F46"/>
    <w:rsid w:val="00F60589"/>
    <w:rsid w:val="00F70BB8"/>
    <w:rsid w:val="00F81785"/>
    <w:rsid w:val="00F91D39"/>
    <w:rsid w:val="00F94967"/>
    <w:rsid w:val="00F96A55"/>
    <w:rsid w:val="00FA32C2"/>
    <w:rsid w:val="00FA6BDD"/>
    <w:rsid w:val="00FB349C"/>
    <w:rsid w:val="00FC0227"/>
    <w:rsid w:val="00FC0DB0"/>
    <w:rsid w:val="00FC18CA"/>
    <w:rsid w:val="00FC2704"/>
    <w:rsid w:val="00FC5B09"/>
    <w:rsid w:val="00FD78B2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F8FAA-74AE-43BB-A7F2-F9558004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17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hlav">
    <w:name w:val="header"/>
    <w:basedOn w:val="Normln"/>
    <w:link w:val="ZhlavChar"/>
    <w:uiPriority w:val="99"/>
    <w:rsid w:val="00EB1AF3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eastAsia="MS Mincho"/>
      <w:szCs w:val="18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B1AF3"/>
    <w:rPr>
      <w:rFonts w:ascii="Arial" w:eastAsia="MS Mincho" w:hAnsi="Arial"/>
      <w:sz w:val="18"/>
      <w:szCs w:val="18"/>
      <w:lang w:val="x-none" w:eastAsia="x-none"/>
    </w:rPr>
  </w:style>
  <w:style w:type="paragraph" w:styleId="Zpat">
    <w:name w:val="footer"/>
    <w:basedOn w:val="Normln"/>
    <w:link w:val="ZpatChar"/>
    <w:uiPriority w:val="99"/>
    <w:rsid w:val="00EB1AF3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eastAsia="MS Mincho"/>
      <w:szCs w:val="18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B1AF3"/>
    <w:rPr>
      <w:rFonts w:ascii="Arial" w:eastAsia="MS Mincho" w:hAnsi="Arial"/>
      <w:sz w:val="18"/>
      <w:szCs w:val="18"/>
      <w:lang w:val="x-none" w:eastAsia="x-none"/>
    </w:rPr>
  </w:style>
  <w:style w:type="character" w:styleId="slostrnky">
    <w:name w:val="page number"/>
    <w:rsid w:val="00EB1AF3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EB1AF3"/>
    <w:pPr>
      <w:spacing w:before="40"/>
      <w:ind w:left="227" w:hanging="227"/>
      <w:jc w:val="left"/>
    </w:pPr>
    <w:rPr>
      <w:rFonts w:eastAsia="MS Mincho" w:cs="Arial"/>
      <w:sz w:val="16"/>
      <w:szCs w:val="16"/>
    </w:rPr>
  </w:style>
  <w:style w:type="paragraph" w:customStyle="1" w:styleId="kbRegistration">
    <w:name w:val="kb_Registration"/>
    <w:basedOn w:val="Normln"/>
    <w:rsid w:val="00EB1AF3"/>
    <w:pPr>
      <w:spacing w:before="40"/>
      <w:ind w:left="227" w:hanging="227"/>
      <w:jc w:val="left"/>
    </w:pPr>
    <w:rPr>
      <w:rFonts w:eastAsia="MS Mincho" w:cs="Arial"/>
      <w:caps/>
      <w:sz w:val="8"/>
      <w:szCs w:val="8"/>
    </w:rPr>
  </w:style>
  <w:style w:type="paragraph" w:customStyle="1" w:styleId="Registration">
    <w:name w:val="Registration"/>
    <w:basedOn w:val="Normln"/>
    <w:rsid w:val="00EB1AF3"/>
    <w:pPr>
      <w:spacing w:before="40"/>
      <w:ind w:left="227" w:hanging="227"/>
      <w:jc w:val="left"/>
    </w:pPr>
    <w:rPr>
      <w:rFonts w:eastAsia="MS Mincho" w:cs="Arial"/>
      <w:cap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1073</Characters>
  <Application>Microsoft Office Word</Application>
  <DocSecurity>0</DocSecurity>
  <Lines>8</Lines>
  <Paragraphs>2</Paragraphs>
  <ScaleCrop>false</ScaleCrop>
  <Company>Komerční banka, a.s.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Ferusova Renata</dc:creator>
  <cp:keywords/>
  <dc:description/>
  <cp:lastModifiedBy>Erika Dohnalova</cp:lastModifiedBy>
  <cp:revision>2</cp:revision>
  <dcterms:created xsi:type="dcterms:W3CDTF">2020-08-04T07:56:00Z</dcterms:created>
  <dcterms:modified xsi:type="dcterms:W3CDTF">2020-08-04T07:56:00Z</dcterms:modified>
</cp:coreProperties>
</file>