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E4" w:rsidRPr="00FF1395" w:rsidRDefault="000D37E4" w:rsidP="00872F65">
      <w:pPr>
        <w:spacing w:after="0" w:line="312" w:lineRule="auto"/>
        <w:jc w:val="center"/>
        <w:rPr>
          <w:rFonts w:ascii="Arial" w:hAnsi="Arial" w:cs="Arial"/>
          <w:sz w:val="18"/>
          <w:szCs w:val="18"/>
        </w:rPr>
      </w:pPr>
      <w:r w:rsidRPr="00FF1395">
        <w:rPr>
          <w:rFonts w:ascii="Arial" w:hAnsi="Arial" w:cs="Arial"/>
          <w:sz w:val="18"/>
          <w:szCs w:val="18"/>
        </w:rPr>
        <w:t xml:space="preserve">Dále uvedeného dne, měsíce a roku byla uzavřena tato </w:t>
      </w:r>
    </w:p>
    <w:p w:rsidR="000D37E4" w:rsidRPr="00FF1395" w:rsidRDefault="000D37E4" w:rsidP="00872F65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FF1395">
        <w:rPr>
          <w:rFonts w:ascii="Arial" w:hAnsi="Arial" w:cs="Arial"/>
          <w:b/>
          <w:sz w:val="24"/>
          <w:szCs w:val="24"/>
        </w:rPr>
        <w:t xml:space="preserve">Smlouva o </w:t>
      </w:r>
      <w:r>
        <w:rPr>
          <w:rFonts w:ascii="Arial" w:hAnsi="Arial" w:cs="Arial"/>
          <w:b/>
          <w:sz w:val="24"/>
          <w:szCs w:val="24"/>
        </w:rPr>
        <w:t>dodávce software</w:t>
      </w:r>
    </w:p>
    <w:p w:rsidR="000D37E4" w:rsidRPr="00FF1395" w:rsidRDefault="000D37E4" w:rsidP="00872F65">
      <w:pPr>
        <w:spacing w:after="0" w:line="312" w:lineRule="auto"/>
        <w:jc w:val="center"/>
        <w:rPr>
          <w:rFonts w:ascii="Arial" w:hAnsi="Arial" w:cs="Arial"/>
          <w:sz w:val="18"/>
          <w:szCs w:val="18"/>
        </w:rPr>
      </w:pPr>
      <w:r w:rsidRPr="00FF1395">
        <w:rPr>
          <w:rFonts w:ascii="Arial" w:hAnsi="Arial" w:cs="Arial"/>
          <w:sz w:val="18"/>
          <w:szCs w:val="18"/>
        </w:rPr>
        <w:t>(dále jen „</w:t>
      </w:r>
      <w:r w:rsidRPr="00FF1395">
        <w:rPr>
          <w:rFonts w:ascii="Arial" w:hAnsi="Arial" w:cs="Arial"/>
          <w:b/>
          <w:sz w:val="18"/>
          <w:szCs w:val="18"/>
        </w:rPr>
        <w:t>Smlouva</w:t>
      </w:r>
      <w:r w:rsidRPr="00FF1395">
        <w:rPr>
          <w:rFonts w:ascii="Arial" w:hAnsi="Arial" w:cs="Arial"/>
          <w:sz w:val="18"/>
          <w:szCs w:val="18"/>
        </w:rPr>
        <w:t xml:space="preserve">“) podle </w:t>
      </w:r>
      <w:r>
        <w:rPr>
          <w:rFonts w:ascii="Arial" w:hAnsi="Arial" w:cs="Arial"/>
          <w:sz w:val="18"/>
          <w:szCs w:val="18"/>
        </w:rPr>
        <w:t xml:space="preserve">ust. 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Arial" w:hAnsi="Arial" w:cs="Arial"/>
            <w:sz w:val="18"/>
            <w:szCs w:val="18"/>
          </w:rPr>
          <w:t>2079 a</w:t>
        </w:r>
      </w:smartTag>
      <w:r>
        <w:rPr>
          <w:rFonts w:ascii="Arial" w:hAnsi="Arial" w:cs="Arial"/>
          <w:sz w:val="18"/>
          <w:szCs w:val="18"/>
        </w:rPr>
        <w:t xml:space="preserve"> násl. </w:t>
      </w:r>
      <w:r w:rsidRPr="00FF1395">
        <w:rPr>
          <w:rFonts w:ascii="Arial" w:hAnsi="Arial" w:cs="Arial"/>
          <w:sz w:val="18"/>
          <w:szCs w:val="18"/>
        </w:rPr>
        <w:t xml:space="preserve">zákona č. </w:t>
      </w:r>
      <w:r>
        <w:rPr>
          <w:rFonts w:ascii="Arial" w:hAnsi="Arial" w:cs="Arial"/>
          <w:sz w:val="18"/>
          <w:szCs w:val="18"/>
        </w:rPr>
        <w:t>89/2012 Sb., občanského zákoníku</w:t>
      </w:r>
      <w:r w:rsidRPr="00FF1395">
        <w:rPr>
          <w:rFonts w:ascii="Arial" w:hAnsi="Arial" w:cs="Arial"/>
          <w:sz w:val="18"/>
          <w:szCs w:val="18"/>
        </w:rPr>
        <w:t xml:space="preserve"> (dále jen „</w:t>
      </w:r>
      <w:r>
        <w:rPr>
          <w:rFonts w:ascii="Arial" w:hAnsi="Arial" w:cs="Arial"/>
          <w:b/>
          <w:sz w:val="18"/>
          <w:szCs w:val="18"/>
        </w:rPr>
        <w:t>Obč</w:t>
      </w:r>
      <w:r w:rsidRPr="00FF1395">
        <w:rPr>
          <w:rFonts w:ascii="Arial" w:hAnsi="Arial" w:cs="Arial"/>
          <w:b/>
          <w:sz w:val="18"/>
          <w:szCs w:val="18"/>
        </w:rPr>
        <w:t>Z</w:t>
      </w:r>
      <w:r w:rsidRPr="00FF1395">
        <w:rPr>
          <w:rFonts w:ascii="Arial" w:hAnsi="Arial" w:cs="Arial"/>
          <w:sz w:val="18"/>
          <w:szCs w:val="18"/>
        </w:rPr>
        <w:t>“) mezi dále specifikovanými smluvními stranami:</w:t>
      </w:r>
    </w:p>
    <w:p w:rsidR="000D37E4" w:rsidRPr="00FF1395" w:rsidRDefault="000D37E4" w:rsidP="00872F65">
      <w:pPr>
        <w:spacing w:after="0" w:line="312" w:lineRule="auto"/>
        <w:rPr>
          <w:rFonts w:ascii="Arial" w:hAnsi="Arial" w:cs="Arial"/>
          <w:sz w:val="18"/>
          <w:szCs w:val="18"/>
        </w:rPr>
      </w:pPr>
    </w:p>
    <w:p w:rsidR="000D37E4" w:rsidRPr="00FF1395" w:rsidRDefault="000D37E4" w:rsidP="00872F65">
      <w:pPr>
        <w:spacing w:after="0" w:line="312" w:lineRule="auto"/>
        <w:rPr>
          <w:rFonts w:ascii="Arial" w:hAnsi="Arial" w:cs="Arial"/>
          <w:sz w:val="18"/>
          <w:szCs w:val="18"/>
        </w:rPr>
      </w:pPr>
    </w:p>
    <w:p w:rsidR="000D37E4" w:rsidRPr="00FF1395" w:rsidRDefault="000D37E4" w:rsidP="00872F65">
      <w:pPr>
        <w:spacing w:after="0" w:line="312" w:lineRule="auto"/>
        <w:rPr>
          <w:rFonts w:ascii="Arial" w:hAnsi="Arial" w:cs="Arial"/>
          <w:b/>
          <w:sz w:val="18"/>
          <w:szCs w:val="18"/>
        </w:rPr>
      </w:pPr>
      <w:r w:rsidRPr="00FF1395">
        <w:rPr>
          <w:rFonts w:ascii="Arial" w:hAnsi="Arial" w:cs="Arial"/>
          <w:b/>
          <w:sz w:val="18"/>
          <w:szCs w:val="18"/>
        </w:rPr>
        <w:t>SoftwareONE Czech Republic s.r.o.</w:t>
      </w:r>
    </w:p>
    <w:p w:rsidR="000D37E4" w:rsidRPr="00FF1395" w:rsidRDefault="000D37E4" w:rsidP="00872F65">
      <w:pPr>
        <w:spacing w:after="0" w:line="312" w:lineRule="auto"/>
        <w:rPr>
          <w:rFonts w:ascii="Arial" w:hAnsi="Arial" w:cs="Arial"/>
          <w:sz w:val="18"/>
          <w:szCs w:val="18"/>
        </w:rPr>
      </w:pPr>
      <w:r w:rsidRPr="00FF1395">
        <w:rPr>
          <w:rFonts w:ascii="Arial" w:hAnsi="Arial" w:cs="Arial"/>
          <w:sz w:val="18"/>
          <w:szCs w:val="18"/>
        </w:rPr>
        <w:t>IČ: 24207519</w:t>
      </w:r>
    </w:p>
    <w:p w:rsidR="000D37E4" w:rsidRPr="00FF1395" w:rsidRDefault="000D37E4" w:rsidP="00872F65">
      <w:pPr>
        <w:spacing w:after="0" w:line="312" w:lineRule="auto"/>
        <w:rPr>
          <w:rFonts w:ascii="Arial" w:hAnsi="Arial" w:cs="Arial"/>
          <w:sz w:val="18"/>
          <w:szCs w:val="18"/>
        </w:rPr>
      </w:pPr>
      <w:r w:rsidRPr="00FF1395">
        <w:rPr>
          <w:rFonts w:ascii="Arial" w:hAnsi="Arial" w:cs="Arial"/>
          <w:sz w:val="18"/>
          <w:szCs w:val="18"/>
        </w:rPr>
        <w:t xml:space="preserve">se sídlem </w:t>
      </w:r>
      <w:r w:rsidRPr="00C45D3F">
        <w:rPr>
          <w:rFonts w:ascii="Arial" w:hAnsi="Arial" w:cs="Arial"/>
          <w:sz w:val="18"/>
          <w:szCs w:val="18"/>
        </w:rPr>
        <w:t xml:space="preserve">Praha 4, </w:t>
      </w:r>
      <w:r>
        <w:rPr>
          <w:rFonts w:ascii="Arial" w:hAnsi="Arial" w:cs="Arial"/>
          <w:sz w:val="18"/>
          <w:szCs w:val="18"/>
        </w:rPr>
        <w:t>Vyskočilova 14</w:t>
      </w:r>
      <w:r w:rsidR="00B347B4">
        <w:rPr>
          <w:rFonts w:ascii="Arial" w:hAnsi="Arial" w:cs="Arial"/>
          <w:sz w:val="18"/>
          <w:szCs w:val="18"/>
        </w:rPr>
        <w:t>10/1</w:t>
      </w:r>
      <w:r w:rsidRPr="00C45D3F">
        <w:rPr>
          <w:rFonts w:ascii="Arial" w:hAnsi="Arial" w:cs="Arial"/>
          <w:sz w:val="18"/>
          <w:szCs w:val="18"/>
        </w:rPr>
        <w:t>, PSČ: 140 00</w:t>
      </w:r>
    </w:p>
    <w:p w:rsidR="000D37E4" w:rsidRPr="00DD2AD6" w:rsidRDefault="000D37E4" w:rsidP="00872F65">
      <w:pPr>
        <w:spacing w:after="0" w:line="312" w:lineRule="auto"/>
        <w:rPr>
          <w:rFonts w:ascii="Arial" w:hAnsi="Arial" w:cs="Arial"/>
          <w:sz w:val="18"/>
          <w:szCs w:val="18"/>
        </w:rPr>
      </w:pPr>
      <w:r w:rsidRPr="00FF1395">
        <w:rPr>
          <w:rFonts w:ascii="Arial" w:hAnsi="Arial" w:cs="Arial"/>
          <w:sz w:val="18"/>
          <w:szCs w:val="18"/>
        </w:rPr>
        <w:t xml:space="preserve">zapsaná v obchodním rejstříku vedeném Městským </w:t>
      </w:r>
      <w:r w:rsidRPr="00DD2AD6">
        <w:rPr>
          <w:rFonts w:ascii="Arial" w:hAnsi="Arial" w:cs="Arial"/>
          <w:sz w:val="18"/>
          <w:szCs w:val="18"/>
        </w:rPr>
        <w:t>soudem v Praze, oddíl C, vložka 188674</w:t>
      </w:r>
    </w:p>
    <w:p w:rsidR="000D37E4" w:rsidRPr="00FF1395" w:rsidRDefault="76A3954C" w:rsidP="76A3954C">
      <w:pPr>
        <w:spacing w:after="0" w:line="312" w:lineRule="auto"/>
        <w:rPr>
          <w:rFonts w:ascii="Arial" w:hAnsi="Arial" w:cs="Arial"/>
          <w:sz w:val="18"/>
          <w:szCs w:val="18"/>
        </w:rPr>
      </w:pPr>
      <w:r w:rsidRPr="76A3954C">
        <w:rPr>
          <w:rFonts w:ascii="Arial" w:hAnsi="Arial" w:cs="Arial"/>
          <w:sz w:val="18"/>
          <w:szCs w:val="18"/>
        </w:rPr>
        <w:t xml:space="preserve">zastoupená Petrem Pánkem a </w:t>
      </w:r>
      <w:r w:rsidR="00837A22">
        <w:rPr>
          <w:rFonts w:ascii="Arial" w:hAnsi="Arial" w:cs="Arial"/>
          <w:sz w:val="18"/>
          <w:szCs w:val="18"/>
        </w:rPr>
        <w:t>Janem Knyttlem</w:t>
      </w:r>
      <w:r w:rsidRPr="76A3954C">
        <w:rPr>
          <w:rFonts w:ascii="Arial" w:hAnsi="Arial" w:cs="Arial"/>
          <w:sz w:val="18"/>
          <w:szCs w:val="18"/>
        </w:rPr>
        <w:t>, prokuristy</w:t>
      </w:r>
    </w:p>
    <w:p w:rsidR="000D37E4" w:rsidRPr="00FF1395" w:rsidRDefault="000D37E4" w:rsidP="00872F65">
      <w:pPr>
        <w:spacing w:after="0" w:line="312" w:lineRule="auto"/>
        <w:rPr>
          <w:rFonts w:ascii="Arial" w:hAnsi="Arial" w:cs="Arial"/>
          <w:sz w:val="18"/>
          <w:szCs w:val="18"/>
        </w:rPr>
      </w:pPr>
    </w:p>
    <w:p w:rsidR="000D37E4" w:rsidRPr="00FF1395" w:rsidRDefault="000D37E4" w:rsidP="00872F65">
      <w:pPr>
        <w:spacing w:after="0" w:line="312" w:lineRule="auto"/>
        <w:rPr>
          <w:rFonts w:ascii="Arial" w:hAnsi="Arial" w:cs="Arial"/>
          <w:sz w:val="18"/>
          <w:szCs w:val="18"/>
        </w:rPr>
      </w:pPr>
      <w:r w:rsidRPr="00FF1395">
        <w:rPr>
          <w:rFonts w:ascii="Arial" w:hAnsi="Arial" w:cs="Arial"/>
          <w:sz w:val="18"/>
          <w:szCs w:val="18"/>
        </w:rPr>
        <w:t>dále jen jako „</w:t>
      </w:r>
      <w:r w:rsidRPr="00FF1395">
        <w:rPr>
          <w:rFonts w:ascii="Arial" w:hAnsi="Arial" w:cs="Arial"/>
          <w:b/>
          <w:sz w:val="18"/>
          <w:szCs w:val="18"/>
        </w:rPr>
        <w:t>SoftwareONE</w:t>
      </w:r>
      <w:r w:rsidRPr="00FF1395">
        <w:rPr>
          <w:rFonts w:ascii="Arial" w:hAnsi="Arial" w:cs="Arial"/>
          <w:sz w:val="18"/>
          <w:szCs w:val="18"/>
        </w:rPr>
        <w:t>“ na straně jedné</w:t>
      </w:r>
    </w:p>
    <w:p w:rsidR="000D37E4" w:rsidRPr="00FF1395" w:rsidRDefault="000D37E4" w:rsidP="00872F65">
      <w:pPr>
        <w:spacing w:after="0" w:line="312" w:lineRule="auto"/>
        <w:rPr>
          <w:rFonts w:ascii="Arial" w:hAnsi="Arial" w:cs="Arial"/>
          <w:sz w:val="18"/>
          <w:szCs w:val="18"/>
        </w:rPr>
      </w:pPr>
    </w:p>
    <w:p w:rsidR="000D37E4" w:rsidRPr="00FF1395" w:rsidRDefault="000D37E4" w:rsidP="00872F65">
      <w:pPr>
        <w:spacing w:after="0" w:line="312" w:lineRule="auto"/>
        <w:rPr>
          <w:rFonts w:ascii="Arial" w:hAnsi="Arial" w:cs="Arial"/>
          <w:sz w:val="18"/>
          <w:szCs w:val="18"/>
        </w:rPr>
      </w:pPr>
      <w:r w:rsidRPr="00FF1395">
        <w:rPr>
          <w:rFonts w:ascii="Arial" w:hAnsi="Arial" w:cs="Arial"/>
          <w:sz w:val="18"/>
          <w:szCs w:val="18"/>
        </w:rPr>
        <w:t>a</w:t>
      </w:r>
    </w:p>
    <w:p w:rsidR="000D37E4" w:rsidRPr="00FF1395" w:rsidRDefault="000D37E4" w:rsidP="00872F65">
      <w:pPr>
        <w:spacing w:after="0" w:line="312" w:lineRule="auto"/>
        <w:rPr>
          <w:rFonts w:ascii="Arial" w:hAnsi="Arial" w:cs="Arial"/>
          <w:sz w:val="18"/>
          <w:szCs w:val="18"/>
        </w:rPr>
      </w:pPr>
    </w:p>
    <w:p w:rsidR="000D37E4" w:rsidRPr="00D85AB6" w:rsidRDefault="007278F9" w:rsidP="00D85AB6">
      <w:pPr>
        <w:spacing w:after="0" w:line="312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Národní památkový ústav</w:t>
      </w:r>
      <w:r w:rsidR="00180E44">
        <w:rPr>
          <w:rFonts w:ascii="Arial" w:hAnsi="Arial" w:cs="Arial"/>
          <w:b/>
          <w:sz w:val="18"/>
          <w:szCs w:val="18"/>
        </w:rPr>
        <w:t>, státní příspěvková o</w:t>
      </w:r>
      <w:r w:rsidR="008D43FD">
        <w:rPr>
          <w:rFonts w:ascii="Arial" w:hAnsi="Arial" w:cs="Arial"/>
          <w:b/>
          <w:sz w:val="18"/>
          <w:szCs w:val="18"/>
        </w:rPr>
        <w:t>r</w:t>
      </w:r>
      <w:r w:rsidR="00180E44">
        <w:rPr>
          <w:rFonts w:ascii="Arial" w:hAnsi="Arial" w:cs="Arial"/>
          <w:b/>
          <w:sz w:val="18"/>
          <w:szCs w:val="18"/>
        </w:rPr>
        <w:t>ganizace</w:t>
      </w:r>
    </w:p>
    <w:p w:rsidR="000D37E4" w:rsidRPr="00D85AB6" w:rsidRDefault="000D37E4" w:rsidP="00D85AB6">
      <w:pPr>
        <w:spacing w:after="0" w:line="312" w:lineRule="auto"/>
        <w:rPr>
          <w:rFonts w:ascii="Arial" w:hAnsi="Arial" w:cs="Arial"/>
          <w:sz w:val="18"/>
          <w:szCs w:val="18"/>
        </w:rPr>
      </w:pPr>
      <w:r w:rsidRPr="00D85AB6">
        <w:rPr>
          <w:rFonts w:ascii="Arial" w:hAnsi="Arial" w:cs="Arial"/>
          <w:sz w:val="18"/>
          <w:szCs w:val="18"/>
        </w:rPr>
        <w:t xml:space="preserve">IČ: </w:t>
      </w:r>
      <w:r w:rsidR="007278F9">
        <w:rPr>
          <w:rFonts w:ascii="Arial" w:hAnsi="Arial" w:cs="Arial"/>
          <w:sz w:val="18"/>
          <w:szCs w:val="18"/>
        </w:rPr>
        <w:t>75032333</w:t>
      </w:r>
    </w:p>
    <w:p w:rsidR="000D37E4" w:rsidRPr="00D85AB6" w:rsidRDefault="000D37E4" w:rsidP="00D85AB6">
      <w:pPr>
        <w:spacing w:after="0" w:line="312" w:lineRule="auto"/>
        <w:rPr>
          <w:rFonts w:ascii="Arial" w:hAnsi="Arial" w:cs="Arial"/>
          <w:sz w:val="18"/>
          <w:szCs w:val="18"/>
        </w:rPr>
      </w:pPr>
      <w:r w:rsidRPr="00D85AB6">
        <w:rPr>
          <w:rFonts w:ascii="Arial" w:hAnsi="Arial" w:cs="Arial"/>
          <w:sz w:val="18"/>
          <w:szCs w:val="18"/>
        </w:rPr>
        <w:t xml:space="preserve">se sídlem </w:t>
      </w:r>
      <w:r w:rsidR="007278F9">
        <w:rPr>
          <w:rFonts w:ascii="Arial" w:hAnsi="Arial" w:cs="Arial"/>
          <w:sz w:val="18"/>
          <w:szCs w:val="18"/>
        </w:rPr>
        <w:t>Praha 1, Valdštejnské náměstí 162/3, PSČ: 118 01</w:t>
      </w:r>
    </w:p>
    <w:p w:rsidR="000D37E4" w:rsidRPr="00D85AB6" w:rsidRDefault="000D37E4" w:rsidP="00D85AB6">
      <w:pPr>
        <w:spacing w:after="0" w:line="312" w:lineRule="auto"/>
        <w:rPr>
          <w:rFonts w:ascii="Arial" w:hAnsi="Arial" w:cs="Arial"/>
          <w:sz w:val="18"/>
          <w:szCs w:val="18"/>
        </w:rPr>
      </w:pPr>
      <w:r w:rsidRPr="00D85AB6">
        <w:rPr>
          <w:rFonts w:ascii="Arial" w:hAnsi="Arial" w:cs="Arial"/>
          <w:sz w:val="18"/>
          <w:szCs w:val="18"/>
        </w:rPr>
        <w:t xml:space="preserve">zastoupená </w:t>
      </w:r>
      <w:r w:rsidR="007278F9">
        <w:rPr>
          <w:rFonts w:ascii="Arial" w:hAnsi="Arial" w:cs="Arial"/>
          <w:sz w:val="18"/>
          <w:szCs w:val="18"/>
        </w:rPr>
        <w:t>Ing. arch. Naděždou Goryczkovou, generální ředitelkou</w:t>
      </w:r>
    </w:p>
    <w:p w:rsidR="000D37E4" w:rsidRPr="00FF1395" w:rsidRDefault="000D37E4" w:rsidP="00872F65">
      <w:pPr>
        <w:spacing w:after="0" w:line="312" w:lineRule="auto"/>
        <w:rPr>
          <w:rFonts w:ascii="Arial" w:hAnsi="Arial" w:cs="Arial"/>
          <w:b/>
          <w:sz w:val="18"/>
          <w:szCs w:val="18"/>
        </w:rPr>
      </w:pPr>
    </w:p>
    <w:p w:rsidR="000D37E4" w:rsidRPr="00FF1395" w:rsidRDefault="000D37E4" w:rsidP="00872F65">
      <w:pPr>
        <w:spacing w:after="0" w:line="312" w:lineRule="auto"/>
        <w:rPr>
          <w:rFonts w:ascii="Arial" w:hAnsi="Arial" w:cs="Arial"/>
          <w:sz w:val="18"/>
          <w:szCs w:val="18"/>
        </w:rPr>
      </w:pPr>
      <w:r w:rsidRPr="00FF1395">
        <w:rPr>
          <w:rFonts w:ascii="Arial" w:hAnsi="Arial" w:cs="Arial"/>
          <w:sz w:val="18"/>
          <w:szCs w:val="18"/>
        </w:rPr>
        <w:t>dále jen jako</w:t>
      </w:r>
      <w:r w:rsidRPr="00FF1395">
        <w:rPr>
          <w:rFonts w:ascii="Arial" w:hAnsi="Arial" w:cs="Arial"/>
          <w:b/>
          <w:sz w:val="18"/>
          <w:szCs w:val="18"/>
        </w:rPr>
        <w:t xml:space="preserve"> „</w:t>
      </w:r>
      <w:r>
        <w:rPr>
          <w:rFonts w:ascii="Arial" w:hAnsi="Arial" w:cs="Arial"/>
          <w:b/>
          <w:sz w:val="18"/>
          <w:szCs w:val="18"/>
        </w:rPr>
        <w:t>Zákazník</w:t>
      </w:r>
      <w:r w:rsidRPr="00FF1395">
        <w:rPr>
          <w:rFonts w:ascii="Arial" w:hAnsi="Arial" w:cs="Arial"/>
          <w:b/>
          <w:sz w:val="18"/>
          <w:szCs w:val="18"/>
        </w:rPr>
        <w:t xml:space="preserve">“ </w:t>
      </w:r>
      <w:r w:rsidRPr="00FF1395">
        <w:rPr>
          <w:rFonts w:ascii="Arial" w:hAnsi="Arial" w:cs="Arial"/>
          <w:sz w:val="18"/>
          <w:szCs w:val="18"/>
        </w:rPr>
        <w:t>na straně druhé</w:t>
      </w:r>
    </w:p>
    <w:p w:rsidR="000D37E4" w:rsidRPr="00FF1395" w:rsidRDefault="000D37E4" w:rsidP="00872F65">
      <w:pPr>
        <w:spacing w:after="0" w:line="312" w:lineRule="auto"/>
        <w:rPr>
          <w:rFonts w:ascii="Arial" w:hAnsi="Arial" w:cs="Arial"/>
          <w:sz w:val="18"/>
          <w:szCs w:val="18"/>
        </w:rPr>
      </w:pPr>
    </w:p>
    <w:p w:rsidR="000D37E4" w:rsidRPr="00FF1395" w:rsidRDefault="000D37E4" w:rsidP="00872F65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FF1395">
        <w:rPr>
          <w:rFonts w:ascii="Arial" w:hAnsi="Arial" w:cs="Arial"/>
          <w:sz w:val="18"/>
          <w:szCs w:val="18"/>
        </w:rPr>
        <w:t xml:space="preserve">SoftwareONE a </w:t>
      </w:r>
      <w:r>
        <w:rPr>
          <w:rFonts w:ascii="Arial" w:hAnsi="Arial" w:cs="Arial"/>
          <w:sz w:val="18"/>
          <w:szCs w:val="18"/>
        </w:rPr>
        <w:t>Zákazník</w:t>
      </w:r>
      <w:r w:rsidRPr="00FF1395">
        <w:rPr>
          <w:rFonts w:ascii="Arial" w:hAnsi="Arial" w:cs="Arial"/>
          <w:sz w:val="18"/>
          <w:szCs w:val="18"/>
        </w:rPr>
        <w:t xml:space="preserve"> budou pro účely této Smlouvy společně dále označováni jen jako „</w:t>
      </w:r>
      <w:r w:rsidRPr="00FF1395">
        <w:rPr>
          <w:rFonts w:ascii="Arial" w:hAnsi="Arial" w:cs="Arial"/>
          <w:b/>
          <w:sz w:val="18"/>
          <w:szCs w:val="18"/>
        </w:rPr>
        <w:t>Strany</w:t>
      </w:r>
      <w:r w:rsidRPr="00FF1395">
        <w:rPr>
          <w:rFonts w:ascii="Arial" w:hAnsi="Arial" w:cs="Arial"/>
          <w:sz w:val="18"/>
          <w:szCs w:val="18"/>
        </w:rPr>
        <w:t>“, každý z nich jednotlivě bez bližšího rozlišení pak jen jako „</w:t>
      </w:r>
      <w:r w:rsidRPr="00FF1395">
        <w:rPr>
          <w:rFonts w:ascii="Arial" w:hAnsi="Arial" w:cs="Arial"/>
          <w:b/>
          <w:sz w:val="18"/>
          <w:szCs w:val="18"/>
        </w:rPr>
        <w:t>Strana</w:t>
      </w:r>
      <w:r w:rsidRPr="00FF1395">
        <w:rPr>
          <w:rFonts w:ascii="Arial" w:hAnsi="Arial" w:cs="Arial"/>
          <w:sz w:val="18"/>
          <w:szCs w:val="18"/>
        </w:rPr>
        <w:t>“.</w:t>
      </w:r>
    </w:p>
    <w:p w:rsidR="000D37E4" w:rsidRPr="00FF1395" w:rsidRDefault="000D37E4" w:rsidP="00872F65">
      <w:pPr>
        <w:spacing w:after="0" w:line="312" w:lineRule="auto"/>
        <w:rPr>
          <w:rFonts w:ascii="Arial" w:hAnsi="Arial" w:cs="Arial"/>
          <w:sz w:val="18"/>
          <w:szCs w:val="18"/>
        </w:rPr>
      </w:pPr>
    </w:p>
    <w:p w:rsidR="000D37E4" w:rsidRDefault="000D37E4" w:rsidP="00872F65">
      <w:pPr>
        <w:spacing w:after="0"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FF1395">
        <w:rPr>
          <w:rFonts w:ascii="Arial" w:hAnsi="Arial" w:cs="Arial"/>
          <w:b/>
          <w:sz w:val="18"/>
          <w:szCs w:val="18"/>
        </w:rPr>
        <w:t>PREAMBULE</w:t>
      </w:r>
    </w:p>
    <w:p w:rsidR="001E13A4" w:rsidRDefault="001E13A4" w:rsidP="00872F65">
      <w:pPr>
        <w:spacing w:after="0"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1E13A4" w:rsidRPr="002B6220" w:rsidRDefault="001E13A4" w:rsidP="001E13A4">
      <w:pPr>
        <w:pStyle w:val="Zkladntext21"/>
        <w:shd w:val="clear" w:color="auto" w:fill="auto"/>
        <w:spacing w:before="0" w:after="0" w:line="240" w:lineRule="auto"/>
        <w:rPr>
          <w:rFonts w:ascii="Tahoma" w:hAnsi="Tahoma" w:cs="Tahoma"/>
        </w:rPr>
      </w:pPr>
    </w:p>
    <w:p w:rsidR="001E13A4" w:rsidRPr="00BF7CDC" w:rsidRDefault="001E13A4" w:rsidP="001E13A4">
      <w:pPr>
        <w:pStyle w:val="Zkladntext2"/>
        <w:shd w:val="clear" w:color="auto" w:fill="auto"/>
        <w:spacing w:before="0" w:line="240" w:lineRule="auto"/>
        <w:ind w:left="20" w:right="20" w:firstLine="0"/>
        <w:rPr>
          <w:rFonts w:ascii="Arial" w:hAnsi="Arial" w:cs="Arial"/>
          <w:b w:val="0"/>
          <w:sz w:val="18"/>
        </w:rPr>
      </w:pPr>
      <w:r w:rsidRPr="00BF7CDC">
        <w:rPr>
          <w:rFonts w:ascii="Arial" w:hAnsi="Arial" w:cs="Arial"/>
          <w:b w:val="0"/>
          <w:sz w:val="18"/>
        </w:rPr>
        <w:t>Tato smlouva je uzavírána na základě výsledků uzavřené výzvy na zakázku malého rozsahu s názvem „</w:t>
      </w:r>
      <w:r w:rsidRPr="00BF7CDC">
        <w:rPr>
          <w:rFonts w:ascii="Arial" w:hAnsi="Arial" w:cs="Arial"/>
          <w:sz w:val="18"/>
        </w:rPr>
        <w:t>Dodávka licencí Microsoft SelectPlus EDU</w:t>
      </w:r>
      <w:r w:rsidRPr="00BF7CDC">
        <w:rPr>
          <w:rFonts w:ascii="Arial" w:hAnsi="Arial" w:cs="Arial"/>
          <w:b w:val="0"/>
          <w:sz w:val="18"/>
        </w:rPr>
        <w:t>", č.z. N006/20/V00015562. Veškeré případné změny této smlouvy budou uskutečněny v souladu s příslušnými právními předpisy, mj. též se zákonem č. 134/2016 Sb., o zadávání veřejných zakázek, v platném a účinném znění.</w:t>
      </w:r>
    </w:p>
    <w:p w:rsidR="001E13A4" w:rsidRPr="00BF7CDC" w:rsidRDefault="001E13A4" w:rsidP="001E13A4">
      <w:pPr>
        <w:pStyle w:val="Zkladntext2"/>
        <w:shd w:val="clear" w:color="auto" w:fill="auto"/>
        <w:spacing w:before="0" w:line="240" w:lineRule="auto"/>
        <w:ind w:left="20" w:right="20" w:firstLine="0"/>
        <w:rPr>
          <w:rFonts w:ascii="Tahoma" w:hAnsi="Tahoma" w:cs="Tahoma"/>
          <w:b w:val="0"/>
          <w:sz w:val="18"/>
        </w:rPr>
      </w:pPr>
    </w:p>
    <w:p w:rsidR="001E13A4" w:rsidRDefault="001E13A4" w:rsidP="001E13A4">
      <w:pPr>
        <w:pStyle w:val="Zkladntext2"/>
        <w:shd w:val="clear" w:color="auto" w:fill="auto"/>
        <w:spacing w:before="0" w:line="240" w:lineRule="auto"/>
        <w:ind w:left="20" w:right="20" w:firstLine="0"/>
        <w:rPr>
          <w:rFonts w:ascii="Tahoma" w:hAnsi="Tahoma" w:cs="Tahoma"/>
          <w:b w:val="0"/>
        </w:rPr>
      </w:pPr>
    </w:p>
    <w:p w:rsidR="001E13A4" w:rsidRPr="00FF1395" w:rsidRDefault="001E13A4" w:rsidP="00872F65">
      <w:pPr>
        <w:spacing w:after="0"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0D37E4" w:rsidRDefault="000D37E4" w:rsidP="00872F65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</w:p>
    <w:p w:rsidR="000D37E4" w:rsidRPr="003B7CE5" w:rsidRDefault="000D37E4" w:rsidP="003B7CE5">
      <w:pPr>
        <w:pStyle w:val="Odstavecseseznamem"/>
        <w:numPr>
          <w:ilvl w:val="0"/>
          <w:numId w:val="14"/>
        </w:numPr>
        <w:spacing w:after="0"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0D37E4" w:rsidRDefault="000D37E4" w:rsidP="00872F65">
      <w:pPr>
        <w:spacing w:after="0" w:line="312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Předmět Smlouvy</w:t>
      </w:r>
    </w:p>
    <w:p w:rsidR="000D37E4" w:rsidRPr="00C45D3F" w:rsidRDefault="00217BB9" w:rsidP="00BF7CDC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BF7CDC">
        <w:rPr>
          <w:rFonts w:ascii="Arial" w:hAnsi="Arial" w:cs="Arial"/>
          <w:sz w:val="18"/>
          <w:szCs w:val="18"/>
        </w:rPr>
        <w:t>Předmětem této smlouvy je závazek SoftwareONE k poskytnutí licence Zákazníkovi (NPÚ) dle specifikací uvedené v příloze zadávací dokumentace zakázky s názvem „Specifikace licencí“</w:t>
      </w:r>
      <w:r w:rsidR="001E13A4" w:rsidRPr="00BF7CDC">
        <w:rPr>
          <w:rFonts w:ascii="Arial" w:hAnsi="Arial" w:cs="Arial"/>
          <w:sz w:val="18"/>
          <w:szCs w:val="18"/>
        </w:rPr>
        <w:t xml:space="preserve">, jež je přílohou č. 1 této Smlouvy, </w:t>
      </w:r>
      <w:r w:rsidR="000D37E4" w:rsidRPr="00BF7CDC">
        <w:rPr>
          <w:rFonts w:ascii="Arial" w:hAnsi="Arial" w:cs="Arial"/>
          <w:sz w:val="18"/>
          <w:szCs w:val="18"/>
        </w:rPr>
        <w:t xml:space="preserve">SoftwareONE se touto Smlouvou zavazuje dodat Zákazníkovi licence (rozmnoženiny počítačového programu) v počtech a cenách specifikovaných </w:t>
      </w:r>
      <w:r w:rsidR="002D5562" w:rsidRPr="00BF7CDC">
        <w:rPr>
          <w:rFonts w:ascii="Arial" w:hAnsi="Arial" w:cs="Arial"/>
          <w:sz w:val="18"/>
          <w:szCs w:val="18"/>
        </w:rPr>
        <w:t>v příl</w:t>
      </w:r>
      <w:bookmarkStart w:id="0" w:name="_GoBack"/>
      <w:bookmarkEnd w:id="0"/>
      <w:r w:rsidR="002D5562" w:rsidRPr="00BF7CDC">
        <w:rPr>
          <w:rFonts w:ascii="Arial" w:hAnsi="Arial" w:cs="Arial"/>
          <w:sz w:val="18"/>
          <w:szCs w:val="18"/>
        </w:rPr>
        <w:t>oze č. 2 Položkový rozpočet</w:t>
      </w:r>
      <w:r w:rsidR="00BF7CDC">
        <w:rPr>
          <w:rFonts w:ascii="Arial" w:hAnsi="Arial" w:cs="Arial"/>
          <w:sz w:val="18"/>
          <w:szCs w:val="18"/>
        </w:rPr>
        <w:t xml:space="preserve">, </w:t>
      </w:r>
      <w:r w:rsidR="000D37E4" w:rsidRPr="00C45D3F">
        <w:rPr>
          <w:rFonts w:ascii="Arial" w:hAnsi="Arial" w:cs="Arial"/>
          <w:sz w:val="18"/>
          <w:szCs w:val="18"/>
        </w:rPr>
        <w:t>včetně případných instalačních médií a licenčního klíče (dále jen „</w:t>
      </w:r>
      <w:r w:rsidR="000D37E4" w:rsidRPr="00BF7CDC">
        <w:rPr>
          <w:rFonts w:ascii="Arial" w:hAnsi="Arial" w:cs="Arial"/>
          <w:sz w:val="18"/>
          <w:szCs w:val="18"/>
        </w:rPr>
        <w:t>Software</w:t>
      </w:r>
      <w:r w:rsidR="000D37E4" w:rsidRPr="00C45D3F">
        <w:rPr>
          <w:rFonts w:ascii="Arial" w:hAnsi="Arial" w:cs="Arial"/>
          <w:sz w:val="18"/>
          <w:szCs w:val="18"/>
        </w:rPr>
        <w:t xml:space="preserve">“) a zajistit, že Zákazník získá v rámci dodávky možnost nabýt </w:t>
      </w:r>
      <w:r w:rsidR="000D37E4">
        <w:rPr>
          <w:rFonts w:ascii="Arial" w:hAnsi="Arial" w:cs="Arial"/>
          <w:sz w:val="18"/>
          <w:szCs w:val="18"/>
        </w:rPr>
        <w:t>právo</w:t>
      </w:r>
      <w:r w:rsidR="000D37E4" w:rsidRPr="00C45D3F">
        <w:rPr>
          <w:rFonts w:ascii="Arial" w:hAnsi="Arial" w:cs="Arial"/>
          <w:sz w:val="18"/>
          <w:szCs w:val="18"/>
        </w:rPr>
        <w:t xml:space="preserve"> opravňující jej k užívání Software. Zákazník se zavazuje zaplatit SoftwareONE za dodávku Software kupní cenu za podmínek sjednaných v této Smlouvě.</w:t>
      </w:r>
    </w:p>
    <w:p w:rsidR="000D37E4" w:rsidRPr="00C45D3F" w:rsidRDefault="000D37E4" w:rsidP="00872F65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</w:p>
    <w:p w:rsidR="000D37E4" w:rsidRPr="00DE7484" w:rsidRDefault="000D37E4" w:rsidP="00D96210">
      <w:pPr>
        <w:pStyle w:val="Odstavecseseznamem"/>
        <w:numPr>
          <w:ilvl w:val="0"/>
          <w:numId w:val="14"/>
        </w:numPr>
        <w:spacing w:after="0"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0D37E4" w:rsidRPr="00F5540F" w:rsidRDefault="000D37E4" w:rsidP="00872F65">
      <w:pPr>
        <w:spacing w:after="0" w:line="312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Dodání Software</w:t>
      </w:r>
    </w:p>
    <w:p w:rsidR="000D37E4" w:rsidRDefault="000D37E4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SoftwareONE se zavazuje dodat Software Zákazníkovi v termínu </w:t>
      </w:r>
      <w:r w:rsidRPr="002D5562">
        <w:rPr>
          <w:rFonts w:ascii="Arial" w:hAnsi="Arial" w:cs="Arial"/>
          <w:b/>
          <w:bCs/>
          <w:sz w:val="18"/>
          <w:szCs w:val="18"/>
        </w:rPr>
        <w:t xml:space="preserve">do </w:t>
      </w:r>
      <w:r w:rsidR="00217BB9" w:rsidRPr="002D5562">
        <w:rPr>
          <w:rFonts w:ascii="Arial" w:hAnsi="Arial" w:cs="Arial"/>
          <w:b/>
          <w:bCs/>
          <w:sz w:val="18"/>
          <w:szCs w:val="18"/>
        </w:rPr>
        <w:t>20</w:t>
      </w:r>
      <w:r w:rsidRPr="002D5562">
        <w:rPr>
          <w:rFonts w:ascii="Arial" w:hAnsi="Arial" w:cs="Arial"/>
          <w:b/>
          <w:bCs/>
          <w:sz w:val="18"/>
          <w:szCs w:val="18"/>
        </w:rPr>
        <w:t xml:space="preserve"> dnů od </w:t>
      </w:r>
      <w:r w:rsidR="00217BB9" w:rsidRPr="002D5562">
        <w:rPr>
          <w:rFonts w:ascii="Arial" w:hAnsi="Arial" w:cs="Arial"/>
          <w:b/>
          <w:bCs/>
          <w:sz w:val="18"/>
          <w:szCs w:val="18"/>
        </w:rPr>
        <w:t>nabytí účinnosti</w:t>
      </w:r>
      <w:r w:rsidRPr="002D5562">
        <w:rPr>
          <w:rFonts w:ascii="Arial" w:hAnsi="Arial" w:cs="Arial"/>
          <w:b/>
          <w:bCs/>
          <w:sz w:val="18"/>
          <w:szCs w:val="18"/>
        </w:rPr>
        <w:t xml:space="preserve"> této Smlouvy</w:t>
      </w:r>
      <w:r>
        <w:rPr>
          <w:rFonts w:ascii="Arial" w:hAnsi="Arial" w:cs="Arial"/>
          <w:sz w:val="18"/>
          <w:szCs w:val="18"/>
        </w:rPr>
        <w:t>. Instalace Software není předmětem této Smlouvy a SoftwareONE ji není povinna zajišťovat.</w:t>
      </w:r>
    </w:p>
    <w:p w:rsidR="000D37E4" w:rsidRDefault="000D37E4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Místem dodání Software je sídlo Zákazníka uvedené v záhlaví této Smlouvy. </w:t>
      </w:r>
    </w:p>
    <w:p w:rsidR="000D37E4" w:rsidRDefault="000D37E4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Zákazník</w:t>
      </w:r>
      <w:r w:rsidRPr="006F0BFA">
        <w:rPr>
          <w:rFonts w:ascii="Arial" w:hAnsi="Arial" w:cs="Arial"/>
          <w:sz w:val="18"/>
          <w:szCs w:val="18"/>
        </w:rPr>
        <w:t xml:space="preserve"> je </w:t>
      </w:r>
      <w:r>
        <w:rPr>
          <w:rFonts w:ascii="Arial" w:hAnsi="Arial" w:cs="Arial"/>
          <w:sz w:val="18"/>
          <w:szCs w:val="18"/>
        </w:rPr>
        <w:t>povinen poskytnout SoftwareONE</w:t>
      </w:r>
      <w:r w:rsidRPr="006F0BFA">
        <w:rPr>
          <w:rFonts w:ascii="Arial" w:hAnsi="Arial" w:cs="Arial"/>
          <w:sz w:val="18"/>
          <w:szCs w:val="18"/>
        </w:rPr>
        <w:t xml:space="preserve"> veškerou součinnost, která je nezbytná </w:t>
      </w:r>
      <w:r w:rsidRPr="006F0BFA">
        <w:rPr>
          <w:rFonts w:ascii="Arial" w:hAnsi="Arial" w:cs="Arial"/>
          <w:sz w:val="18"/>
          <w:szCs w:val="18"/>
        </w:rPr>
        <w:br/>
        <w:t xml:space="preserve">k dodání </w:t>
      </w:r>
      <w:r>
        <w:rPr>
          <w:rFonts w:ascii="Arial" w:hAnsi="Arial" w:cs="Arial"/>
          <w:sz w:val="18"/>
          <w:szCs w:val="18"/>
        </w:rPr>
        <w:t>Software, zejména Software řádně převzít.</w:t>
      </w:r>
    </w:p>
    <w:p w:rsidR="000D37E4" w:rsidRDefault="000D37E4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Dodání Software bude mezi Stranami potvrzeno v písemném předávacím protokolu,</w:t>
      </w:r>
      <w:r w:rsidRPr="006F0B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který se Strany zavazují podepsat při předání Software k rukám Zákazníka. </w:t>
      </w:r>
    </w:p>
    <w:p w:rsidR="000D37E4" w:rsidRDefault="000D37E4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D85AB6">
        <w:rPr>
          <w:rFonts w:ascii="Arial" w:hAnsi="Arial" w:cs="Arial"/>
          <w:sz w:val="18"/>
          <w:szCs w:val="18"/>
        </w:rPr>
        <w:t xml:space="preserve">Strany se dohodly, že SoftwareONE z titulu odpovědnosti za vady odpovídá výlučně za množstevní vady Software, případně za dodání nesprávného produktu, tj. typu Software. Veškeré ostatní vady, tzn. zejména funkční a programové </w:t>
      </w:r>
      <w:r>
        <w:rPr>
          <w:rFonts w:ascii="Arial" w:hAnsi="Arial" w:cs="Arial"/>
          <w:sz w:val="18"/>
          <w:szCs w:val="18"/>
        </w:rPr>
        <w:t>vady Software, je Zákazník</w:t>
      </w:r>
      <w:r w:rsidRPr="00D85AB6">
        <w:rPr>
          <w:rFonts w:ascii="Arial" w:hAnsi="Arial" w:cs="Arial"/>
          <w:sz w:val="18"/>
          <w:szCs w:val="18"/>
        </w:rPr>
        <w:t xml:space="preserve"> povinen řešit přímo s</w:t>
      </w:r>
      <w:r>
        <w:rPr>
          <w:rFonts w:ascii="Arial" w:hAnsi="Arial" w:cs="Arial"/>
          <w:sz w:val="18"/>
          <w:szCs w:val="18"/>
        </w:rPr>
        <w:t> </w:t>
      </w:r>
      <w:r w:rsidRPr="00D85AB6">
        <w:rPr>
          <w:rFonts w:ascii="Arial" w:hAnsi="Arial" w:cs="Arial"/>
          <w:sz w:val="18"/>
          <w:szCs w:val="18"/>
        </w:rPr>
        <w:t>výrobcem</w:t>
      </w:r>
      <w:r>
        <w:rPr>
          <w:rFonts w:ascii="Arial" w:hAnsi="Arial" w:cs="Arial"/>
          <w:sz w:val="18"/>
          <w:szCs w:val="18"/>
        </w:rPr>
        <w:t xml:space="preserve"> (autorem)</w:t>
      </w:r>
      <w:r w:rsidRPr="00D85AB6">
        <w:rPr>
          <w:rFonts w:ascii="Arial" w:hAnsi="Arial" w:cs="Arial"/>
          <w:sz w:val="18"/>
          <w:szCs w:val="18"/>
        </w:rPr>
        <w:t xml:space="preserve"> a společnost SoftwareONE za ně neodpovídá. Pokud v této smlouvě není stanoveno nebo v jednotlivém obchodním případě nebude výslovně dohodnuto jinak, společnost SoftwareONE neposkytuje žádné záruky za vlastnosti prodaného Software. V případě nároku z odpovědnosti za vady v podobě slevy z kupní ceny (kterou je SoftwareONE vždy podle svého rozhodnutí oprávněna </w:t>
      </w:r>
      <w:r>
        <w:rPr>
          <w:rFonts w:ascii="Arial" w:hAnsi="Arial" w:cs="Arial"/>
          <w:sz w:val="18"/>
          <w:szCs w:val="18"/>
        </w:rPr>
        <w:t>Zákazníkovi</w:t>
      </w:r>
      <w:r w:rsidRPr="00D85AB6">
        <w:rPr>
          <w:rFonts w:ascii="Arial" w:hAnsi="Arial" w:cs="Arial"/>
          <w:sz w:val="18"/>
          <w:szCs w:val="18"/>
        </w:rPr>
        <w:t xml:space="preserve"> poskytnout) je odpovědnost SoftwareONE omezena výší pořizovací ceny Software.</w:t>
      </w:r>
    </w:p>
    <w:p w:rsidR="000D37E4" w:rsidRPr="007278F9" w:rsidRDefault="000D37E4" w:rsidP="007278F9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7278F9">
        <w:rPr>
          <w:rFonts w:ascii="Arial" w:hAnsi="Arial" w:cs="Arial"/>
          <w:b/>
          <w:sz w:val="18"/>
          <w:szCs w:val="18"/>
        </w:rPr>
        <w:t xml:space="preserve">  </w:t>
      </w:r>
    </w:p>
    <w:p w:rsidR="000D37E4" w:rsidRPr="005037D9" w:rsidRDefault="000D37E4" w:rsidP="00872F65">
      <w:pPr>
        <w:spacing w:after="0" w:line="312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0D37E4" w:rsidRPr="005037D9" w:rsidRDefault="000D37E4" w:rsidP="00D96210">
      <w:pPr>
        <w:pStyle w:val="Odstavecseseznamem"/>
        <w:numPr>
          <w:ilvl w:val="0"/>
          <w:numId w:val="14"/>
        </w:numPr>
        <w:spacing w:after="0"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0D37E4" w:rsidRPr="005037D9" w:rsidRDefault="000D37E4" w:rsidP="00872F65">
      <w:pPr>
        <w:spacing w:after="0"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5037D9">
        <w:rPr>
          <w:rFonts w:ascii="Arial" w:hAnsi="Arial" w:cs="Arial"/>
          <w:b/>
          <w:sz w:val="18"/>
          <w:szCs w:val="18"/>
        </w:rPr>
        <w:t>Kupní cena a platební podmínky</w:t>
      </w:r>
    </w:p>
    <w:p w:rsidR="000D37E4" w:rsidRDefault="000D37E4" w:rsidP="0048321F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876CB6">
        <w:rPr>
          <w:rFonts w:ascii="Arial" w:hAnsi="Arial" w:cs="Arial"/>
          <w:sz w:val="18"/>
          <w:szCs w:val="18"/>
        </w:rPr>
        <w:t xml:space="preserve">upní cena za </w:t>
      </w:r>
      <w:r>
        <w:rPr>
          <w:rFonts w:ascii="Arial" w:hAnsi="Arial" w:cs="Arial"/>
          <w:sz w:val="18"/>
          <w:szCs w:val="18"/>
        </w:rPr>
        <w:t>dodání</w:t>
      </w:r>
      <w:r w:rsidRPr="00876C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Software</w:t>
      </w:r>
      <w:r w:rsidRPr="00876CB6">
        <w:rPr>
          <w:rFonts w:ascii="Arial" w:hAnsi="Arial" w:cs="Arial"/>
          <w:sz w:val="18"/>
          <w:szCs w:val="18"/>
        </w:rPr>
        <w:t xml:space="preserve"> dle této Smlouvy </w:t>
      </w:r>
      <w:r>
        <w:rPr>
          <w:rFonts w:ascii="Arial" w:hAnsi="Arial" w:cs="Arial"/>
          <w:sz w:val="18"/>
          <w:szCs w:val="18"/>
        </w:rPr>
        <w:t xml:space="preserve">je </w:t>
      </w:r>
      <w:r w:rsidR="0048321F">
        <w:rPr>
          <w:rFonts w:ascii="Arial" w:hAnsi="Arial" w:cs="Arial"/>
          <w:sz w:val="18"/>
          <w:szCs w:val="18"/>
        </w:rPr>
        <w:t xml:space="preserve"> 515 931,00 Kč</w:t>
      </w:r>
      <w:r w:rsidR="005730A2">
        <w:rPr>
          <w:rFonts w:ascii="Arial" w:hAnsi="Arial" w:cs="Arial"/>
          <w:sz w:val="18"/>
          <w:szCs w:val="18"/>
        </w:rPr>
        <w:t>, (slovy</w:t>
      </w:r>
      <w:r w:rsidR="0048321F">
        <w:rPr>
          <w:rFonts w:ascii="Arial" w:hAnsi="Arial" w:cs="Arial"/>
          <w:sz w:val="18"/>
          <w:szCs w:val="18"/>
        </w:rPr>
        <w:t xml:space="preserve">: pět set patnáct tisíc devět set třicet jedna korun českých) </w:t>
      </w:r>
      <w:r w:rsidR="005730A2">
        <w:rPr>
          <w:rFonts w:ascii="Arial" w:hAnsi="Arial" w:cs="Arial"/>
          <w:sz w:val="18"/>
          <w:szCs w:val="18"/>
        </w:rPr>
        <w:t xml:space="preserve">jež vyplývá z přílohy č. </w:t>
      </w:r>
      <w:r w:rsidR="002D5562">
        <w:rPr>
          <w:rFonts w:ascii="Arial" w:hAnsi="Arial" w:cs="Arial"/>
          <w:sz w:val="18"/>
          <w:szCs w:val="18"/>
        </w:rPr>
        <w:t>2</w:t>
      </w:r>
      <w:r w:rsidR="005730A2">
        <w:rPr>
          <w:rFonts w:ascii="Arial" w:hAnsi="Arial" w:cs="Arial"/>
          <w:sz w:val="18"/>
          <w:szCs w:val="18"/>
        </w:rPr>
        <w:t xml:space="preserve"> této Smlouvy. </w:t>
      </w:r>
      <w:r>
        <w:rPr>
          <w:rFonts w:ascii="Arial" w:hAnsi="Arial" w:cs="Arial"/>
          <w:sz w:val="18"/>
          <w:szCs w:val="18"/>
        </w:rPr>
        <w:t>Kupní c</w:t>
      </w:r>
      <w:r w:rsidRPr="00D85AB6">
        <w:rPr>
          <w:rFonts w:ascii="Arial" w:hAnsi="Arial" w:cs="Arial"/>
          <w:sz w:val="18"/>
          <w:szCs w:val="18"/>
        </w:rPr>
        <w:t>ena se může zvýšit nebo snížit pouze na základě změny sazby DPH, popřípadě zákonných poplatků.</w:t>
      </w:r>
    </w:p>
    <w:p w:rsidR="000D37E4" w:rsidRDefault="000D37E4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D9562A">
        <w:rPr>
          <w:rFonts w:ascii="Arial" w:hAnsi="Arial" w:cs="Arial"/>
          <w:sz w:val="18"/>
          <w:szCs w:val="18"/>
        </w:rPr>
        <w:t>Strany se dohodly, že kupní cena bude splatná po dodání Software (čímž se rozumí jeho převzetí Zákazníkem)</w:t>
      </w:r>
      <w:r>
        <w:rPr>
          <w:rFonts w:ascii="Arial" w:hAnsi="Arial" w:cs="Arial"/>
          <w:sz w:val="18"/>
          <w:szCs w:val="18"/>
        </w:rPr>
        <w:t xml:space="preserve">, případně poté co </w:t>
      </w:r>
      <w:r w:rsidRPr="00D9562A">
        <w:rPr>
          <w:rFonts w:ascii="Arial" w:hAnsi="Arial" w:cs="Arial"/>
          <w:sz w:val="18"/>
          <w:szCs w:val="18"/>
        </w:rPr>
        <w:t>Zákazník poruší svou povinnost převzít Software dodaný v souladu s čl. II</w:t>
      </w:r>
      <w:r>
        <w:rPr>
          <w:rFonts w:ascii="Arial" w:hAnsi="Arial" w:cs="Arial"/>
          <w:sz w:val="18"/>
          <w:szCs w:val="18"/>
        </w:rPr>
        <w:t>.</w:t>
      </w:r>
      <w:r w:rsidRPr="00D9562A">
        <w:rPr>
          <w:rFonts w:ascii="Arial" w:hAnsi="Arial" w:cs="Arial"/>
          <w:sz w:val="18"/>
          <w:szCs w:val="18"/>
        </w:rPr>
        <w:t xml:space="preserve"> této Smlouvy.</w:t>
      </w:r>
    </w:p>
    <w:p w:rsidR="000D37E4" w:rsidRPr="00D96210" w:rsidRDefault="000D37E4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08796C">
        <w:rPr>
          <w:rFonts w:ascii="Arial" w:hAnsi="Arial" w:cs="Arial"/>
          <w:sz w:val="18"/>
          <w:szCs w:val="18"/>
        </w:rPr>
        <w:t xml:space="preserve">Pro potřeby této Smlouvy bude </w:t>
      </w:r>
      <w:r>
        <w:rPr>
          <w:rFonts w:ascii="Arial" w:hAnsi="Arial" w:cs="Arial"/>
          <w:sz w:val="18"/>
          <w:szCs w:val="18"/>
        </w:rPr>
        <w:t>poté, kdy se naplnily předpoklady sjednané v čl.</w:t>
      </w:r>
      <w:r w:rsidR="00A60AAF">
        <w:rPr>
          <w:rFonts w:ascii="Arial" w:hAnsi="Arial" w:cs="Arial"/>
          <w:sz w:val="18"/>
          <w:szCs w:val="18"/>
        </w:rPr>
        <w:t xml:space="preserve"> III. Odst.</w:t>
      </w:r>
      <w:r>
        <w:rPr>
          <w:rFonts w:ascii="Arial" w:hAnsi="Arial" w:cs="Arial"/>
          <w:sz w:val="18"/>
          <w:szCs w:val="18"/>
        </w:rPr>
        <w:t xml:space="preserve"> </w:t>
      </w:r>
      <w:r w:rsidR="00A60AAF">
        <w:rPr>
          <w:rFonts w:ascii="Arial" w:hAnsi="Arial" w:cs="Arial"/>
          <w:sz w:val="18"/>
          <w:szCs w:val="18"/>
        </w:rPr>
        <w:t>III</w:t>
      </w:r>
      <w:r>
        <w:rPr>
          <w:rFonts w:ascii="Arial" w:hAnsi="Arial" w:cs="Arial"/>
          <w:sz w:val="18"/>
          <w:szCs w:val="18"/>
        </w:rPr>
        <w:t>.2 Smlouvy, ze strany SoftwareONE</w:t>
      </w:r>
      <w:r w:rsidRPr="000879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vystaven a Zákazníkovi</w:t>
      </w:r>
      <w:r w:rsidRPr="0008796C">
        <w:rPr>
          <w:rFonts w:ascii="Arial" w:hAnsi="Arial" w:cs="Arial"/>
          <w:sz w:val="18"/>
          <w:szCs w:val="18"/>
        </w:rPr>
        <w:t xml:space="preserve"> doručen řádný daňový doklad (faktura) obsahující </w:t>
      </w:r>
      <w:r w:rsidR="009E79FD">
        <w:rPr>
          <w:rFonts w:ascii="Arial" w:hAnsi="Arial" w:cs="Arial"/>
          <w:sz w:val="18"/>
          <w:szCs w:val="18"/>
        </w:rPr>
        <w:t>všechny náležitosti řádného účetního a daňového dokladu dle příslušných právních předpisů, zejména zákona č. 235/2004 Sb., o dani z přidané hodnoty, ve znění pozdějších předpisů, dále musí splňovat Smlouvou stanovené náležitosti včetně  uvedení</w:t>
      </w:r>
      <w:r>
        <w:rPr>
          <w:rFonts w:ascii="Arial" w:hAnsi="Arial" w:cs="Arial"/>
          <w:sz w:val="18"/>
          <w:szCs w:val="18"/>
        </w:rPr>
        <w:t xml:space="preserve"> splatnosti k</w:t>
      </w:r>
      <w:r w:rsidRPr="0008796C">
        <w:rPr>
          <w:rFonts w:ascii="Arial" w:hAnsi="Arial" w:cs="Arial"/>
          <w:sz w:val="18"/>
          <w:szCs w:val="18"/>
        </w:rPr>
        <w:t>upní ceny.</w:t>
      </w:r>
      <w:r>
        <w:rPr>
          <w:rFonts w:ascii="Arial" w:hAnsi="Arial" w:cs="Arial"/>
          <w:sz w:val="18"/>
          <w:szCs w:val="18"/>
        </w:rPr>
        <w:t xml:space="preserve"> Kupní cena nebude splatná dříve než 21</w:t>
      </w:r>
      <w:r w:rsidRPr="0008796C">
        <w:rPr>
          <w:rFonts w:ascii="Arial" w:hAnsi="Arial" w:cs="Arial"/>
          <w:sz w:val="18"/>
          <w:szCs w:val="18"/>
        </w:rPr>
        <w:t xml:space="preserve"> dní po doručení řádného daňového dokladu.</w:t>
      </w:r>
    </w:p>
    <w:p w:rsidR="000D37E4" w:rsidRPr="00D85AB6" w:rsidRDefault="000D37E4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D85AB6">
        <w:rPr>
          <w:rFonts w:ascii="Arial" w:hAnsi="Arial" w:cs="Arial"/>
          <w:sz w:val="18"/>
          <w:szCs w:val="18"/>
        </w:rPr>
        <w:t xml:space="preserve">Zákazník je oprávněn vrátit daňový doklad před termínem jeho splatnosti, pokud nebude obsahovat náležitosti podle zákona č. </w:t>
      </w:r>
      <w:r>
        <w:rPr>
          <w:rFonts w:ascii="Arial" w:hAnsi="Arial" w:cs="Arial"/>
          <w:sz w:val="18"/>
          <w:szCs w:val="18"/>
        </w:rPr>
        <w:t>235/2004</w:t>
      </w:r>
      <w:r w:rsidRPr="00D85AB6">
        <w:rPr>
          <w:rFonts w:ascii="Arial" w:hAnsi="Arial" w:cs="Arial"/>
          <w:sz w:val="18"/>
          <w:szCs w:val="18"/>
        </w:rPr>
        <w:t xml:space="preserve"> Sb. o dani z přidané hodnoty, nebo bude obsahovat nesprávné cenové údaje případně jiné nesrovnalosti. Vrátí-li </w:t>
      </w:r>
      <w:r>
        <w:rPr>
          <w:rFonts w:ascii="Arial" w:hAnsi="Arial" w:cs="Arial"/>
          <w:sz w:val="18"/>
          <w:szCs w:val="18"/>
        </w:rPr>
        <w:t>Zákazník</w:t>
      </w:r>
      <w:r w:rsidRPr="00D85AB6">
        <w:rPr>
          <w:rFonts w:ascii="Arial" w:hAnsi="Arial" w:cs="Arial"/>
          <w:sz w:val="18"/>
          <w:szCs w:val="18"/>
        </w:rPr>
        <w:t xml:space="preserve"> vadnou fakturu, přestává běžet původní lhůta splatnosti.</w:t>
      </w:r>
      <w:r w:rsidR="00A60AAF">
        <w:rPr>
          <w:rFonts w:ascii="Arial" w:hAnsi="Arial" w:cs="Arial"/>
          <w:sz w:val="18"/>
          <w:szCs w:val="18"/>
        </w:rPr>
        <w:t xml:space="preserve"> V takovém případě není Zákazník v prodlení s úhradou.</w:t>
      </w:r>
      <w:r w:rsidRPr="00D85AB6">
        <w:rPr>
          <w:rFonts w:ascii="Arial" w:hAnsi="Arial" w:cs="Arial"/>
          <w:sz w:val="18"/>
          <w:szCs w:val="18"/>
        </w:rPr>
        <w:t xml:space="preserve"> Celá lhůta splatnosti běží opět dne doručení nově vystavené faktury</w:t>
      </w:r>
      <w:r w:rsidR="00A60AAF">
        <w:rPr>
          <w:rFonts w:ascii="Arial" w:hAnsi="Arial" w:cs="Arial"/>
          <w:sz w:val="18"/>
          <w:szCs w:val="18"/>
        </w:rPr>
        <w:t xml:space="preserve"> s novým termínem splatnosti. </w:t>
      </w:r>
      <w:r w:rsidRPr="00D85AB6">
        <w:rPr>
          <w:rFonts w:ascii="Arial" w:hAnsi="Arial" w:cs="Arial"/>
          <w:sz w:val="18"/>
          <w:szCs w:val="18"/>
        </w:rPr>
        <w:t xml:space="preserve">. </w:t>
      </w:r>
    </w:p>
    <w:p w:rsidR="000D37E4" w:rsidRDefault="000D37E4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D85AB6">
        <w:rPr>
          <w:rFonts w:ascii="Arial" w:hAnsi="Arial" w:cs="Arial"/>
          <w:sz w:val="18"/>
          <w:szCs w:val="18"/>
        </w:rPr>
        <w:t>Platby budou prováděny bezhotovostním způsobem, výhradně v českých korunách.</w:t>
      </w:r>
    </w:p>
    <w:p w:rsidR="000D37E4" w:rsidRPr="007D15FA" w:rsidRDefault="000D37E4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b/>
          <w:sz w:val="18"/>
          <w:szCs w:val="18"/>
        </w:rPr>
      </w:pPr>
      <w:r w:rsidRPr="000C526A">
        <w:rPr>
          <w:rFonts w:ascii="Arial" w:hAnsi="Arial" w:cs="Arial"/>
          <w:sz w:val="18"/>
          <w:szCs w:val="18"/>
        </w:rPr>
        <w:t>Strany se dohodly, že splnění jakýchkoliv dluhů Zákazníka vůči SoftwareONE je nepřípustné jednostranným započtením jakékoliv pohledávky Zákazníka proti pohledávkám SoftwareONE.</w:t>
      </w:r>
    </w:p>
    <w:p w:rsidR="007D15FA" w:rsidRPr="007D15FA" w:rsidRDefault="007D15FA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SoftwareONE prohlašuje, že ke dni podpisu Smlouvy není nespolehlivým plátcem DPH dle §106 zákona č. 235/2004 Sb., o dani z přidané hodnoty, v platném znění a není vedena v registru nespolehlivých plátců DPH. SoftwareONE se dále zavazuje uvádět pro účely bezhotovostního převodu pouze účet či účty, které jsou správcem daně zveřejněny způsobem umožňujícím dálkový přístup dle zákona č. 235/2004 Sb., o dani z přidané hodnoty, v platném znění. V případě, že se SoftwareONE stane nespolehlivým plátcem DPH, je povinna tuto skutečnost oznámit NPÚ nejpozději do 5 pracovních dnů ode dne, kdy tato skutečnost nastala, přičemž oznámením se rozumí den, kdy NPÚ předmětnou informaci prokazatelně obdržel. V případě porušení některé z těchto povinností je SoftwareONE povinen uhradit NPÚ smluvní pokutu ve výši 10.000,- Kč a to za každý jednotlivý případ porušení povinnosti. Uhrazení smluvní pokuty se nikterak nedotýká nároku na náhradu škody způsobené porušením této povinnosti. SoftwareONE dále souhlasí s tím, aby NPÚ provedl zajišťovací úhradu DPH přímo na účet příslušného finančního úřadu, jestliže SoftwareONE bude ke dni uskutečnění zdanitelného plnění vedena v registru nespolehlivých plátců DPH.</w:t>
      </w:r>
    </w:p>
    <w:p w:rsidR="007D15FA" w:rsidRPr="0008796C" w:rsidRDefault="007D15FA" w:rsidP="00D96210">
      <w:pPr>
        <w:pStyle w:val="Odstavecseseznamem"/>
        <w:numPr>
          <w:ilvl w:val="1"/>
          <w:numId w:val="14"/>
        </w:numPr>
        <w:spacing w:after="0" w:line="312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SoftwareONE je podle ustanovení § 2 písm. e) zákona č. 320/2001 Sb., o finanční kontrole ve veřejné správě a o změně některých zákonů (zákon o finanční kontrole), ve znění pozdějších předpisů, osobou </w:t>
      </w:r>
      <w:r>
        <w:rPr>
          <w:rFonts w:ascii="Arial" w:hAnsi="Arial" w:cs="Arial"/>
          <w:sz w:val="18"/>
          <w:szCs w:val="18"/>
        </w:rPr>
        <w:lastRenderedPageBreak/>
        <w:t>povinnou spolupůsobit při výkonu finanční kontroly prováděné v souvislosti s úhradou zboží nebo služeb z veřejných výdajů.</w:t>
      </w:r>
    </w:p>
    <w:p w:rsidR="00D761C1" w:rsidRDefault="00D761C1" w:rsidP="007D15FA">
      <w:pPr>
        <w:pStyle w:val="Odstavecseseznamem"/>
        <w:numPr>
          <w:ilvl w:val="0"/>
          <w:numId w:val="14"/>
        </w:numPr>
        <w:spacing w:after="0" w:line="312" w:lineRule="auto"/>
        <w:jc w:val="center"/>
        <w:rPr>
          <w:rFonts w:ascii="Arial" w:hAnsi="Arial" w:cs="Arial"/>
          <w:b/>
          <w:sz w:val="18"/>
          <w:szCs w:val="18"/>
        </w:rPr>
      </w:pPr>
    </w:p>
    <w:p w:rsidR="000D37E4" w:rsidRDefault="007D15FA" w:rsidP="00D761C1">
      <w:pPr>
        <w:pStyle w:val="Odstavecseseznamem"/>
        <w:spacing w:after="0" w:line="312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D761C1">
        <w:rPr>
          <w:rFonts w:ascii="Arial" w:hAnsi="Arial" w:cs="Arial"/>
          <w:b/>
          <w:sz w:val="18"/>
          <w:szCs w:val="18"/>
        </w:rPr>
        <w:t>Mlčenlivost</w:t>
      </w:r>
      <w:r w:rsidR="00444F2E">
        <w:rPr>
          <w:rFonts w:ascii="Arial" w:hAnsi="Arial" w:cs="Arial"/>
          <w:b/>
          <w:sz w:val="18"/>
          <w:szCs w:val="18"/>
        </w:rPr>
        <w:t xml:space="preserve"> a ochrana osobních údajů</w:t>
      </w:r>
    </w:p>
    <w:p w:rsidR="00D761C1" w:rsidRDefault="00D761C1" w:rsidP="00D761C1">
      <w:pPr>
        <w:pStyle w:val="Odstavecseseznamem"/>
        <w:numPr>
          <w:ilvl w:val="1"/>
          <w:numId w:val="18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D761C1">
        <w:rPr>
          <w:rFonts w:ascii="Arial" w:hAnsi="Arial" w:cs="Arial"/>
          <w:sz w:val="18"/>
          <w:szCs w:val="18"/>
        </w:rPr>
        <w:t>SoftwareONE se zavazuje během plnění smlouvy i po ukončení smlouvy zachovávat mlč</w:t>
      </w:r>
      <w:r>
        <w:rPr>
          <w:rFonts w:ascii="Arial" w:hAnsi="Arial" w:cs="Arial"/>
          <w:sz w:val="18"/>
          <w:szCs w:val="18"/>
        </w:rPr>
        <w:t>e</w:t>
      </w:r>
      <w:r w:rsidRPr="00D761C1">
        <w:rPr>
          <w:rFonts w:ascii="Arial" w:hAnsi="Arial" w:cs="Arial"/>
          <w:sz w:val="18"/>
          <w:szCs w:val="18"/>
        </w:rPr>
        <w:t>nlivost o všech skutečnostech, o kterých se dozví od</w:t>
      </w:r>
      <w:r w:rsidR="00444F2E">
        <w:rPr>
          <w:rFonts w:ascii="Arial" w:hAnsi="Arial" w:cs="Arial"/>
          <w:sz w:val="18"/>
          <w:szCs w:val="18"/>
        </w:rPr>
        <w:t xml:space="preserve"> Zákazníka (</w:t>
      </w:r>
      <w:r w:rsidRPr="00D761C1">
        <w:rPr>
          <w:rFonts w:ascii="Arial" w:hAnsi="Arial" w:cs="Arial"/>
          <w:sz w:val="18"/>
          <w:szCs w:val="18"/>
        </w:rPr>
        <w:t>NPÚ</w:t>
      </w:r>
      <w:r w:rsidR="00444F2E">
        <w:rPr>
          <w:rFonts w:ascii="Arial" w:hAnsi="Arial" w:cs="Arial"/>
          <w:sz w:val="18"/>
          <w:szCs w:val="18"/>
        </w:rPr>
        <w:t>)</w:t>
      </w:r>
      <w:r w:rsidRPr="00D761C1">
        <w:rPr>
          <w:rFonts w:ascii="Arial" w:hAnsi="Arial" w:cs="Arial"/>
          <w:sz w:val="18"/>
          <w:szCs w:val="18"/>
        </w:rPr>
        <w:t xml:space="preserve"> v souvislosti s plněním Smlouvy.</w:t>
      </w:r>
    </w:p>
    <w:p w:rsidR="00444F2E" w:rsidRDefault="00444F2E" w:rsidP="00444F2E">
      <w:pPr>
        <w:numPr>
          <w:ilvl w:val="1"/>
          <w:numId w:val="18"/>
        </w:numPr>
        <w:spacing w:after="0" w:line="33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Informace k ochraně osobních údajů jsou ze strany Zákazníka uveřejněny na webových stránkách </w:t>
      </w:r>
      <w:hyperlink r:id="rId10" w:history="1">
        <w:r w:rsidRPr="0021665C">
          <w:rPr>
            <w:rStyle w:val="Hypertextovodkaz"/>
            <w:rFonts w:ascii="Arial" w:hAnsi="Arial" w:cs="Arial"/>
            <w:sz w:val="18"/>
            <w:szCs w:val="18"/>
          </w:rPr>
          <w:t>www.npu.cz</w:t>
        </w:r>
      </w:hyperlink>
      <w:r>
        <w:rPr>
          <w:rFonts w:ascii="Arial" w:hAnsi="Arial" w:cs="Arial"/>
          <w:sz w:val="18"/>
          <w:szCs w:val="18"/>
        </w:rPr>
        <w:t xml:space="preserve"> v sekci „Ochrana osobních údajů“ a ze strany SoftwareONE </w:t>
      </w:r>
      <w:r w:rsidR="002D5562">
        <w:rPr>
          <w:rFonts w:ascii="Arial" w:hAnsi="Arial" w:cs="Arial"/>
          <w:sz w:val="18"/>
          <w:szCs w:val="18"/>
        </w:rPr>
        <w:t xml:space="preserve">jsou uveřejněny na webových stránkách </w:t>
      </w:r>
      <w:hyperlink r:id="rId11" w:history="1">
        <w:r w:rsidR="002D5562" w:rsidRPr="000663A8">
          <w:rPr>
            <w:rStyle w:val="Hypertextovodkaz"/>
            <w:rFonts w:ascii="Arial" w:hAnsi="Arial" w:cs="Arial"/>
            <w:sz w:val="18"/>
            <w:szCs w:val="18"/>
          </w:rPr>
          <w:t>https://www.softwareone.com/cs-cz/</w:t>
        </w:r>
      </w:hyperlink>
      <w:r w:rsidR="002D5562">
        <w:rPr>
          <w:rFonts w:ascii="Arial" w:hAnsi="Arial" w:cs="Arial"/>
          <w:sz w:val="18"/>
          <w:szCs w:val="18"/>
        </w:rPr>
        <w:t xml:space="preserve">. </w:t>
      </w:r>
    </w:p>
    <w:p w:rsidR="00444F2E" w:rsidRPr="00D761C1" w:rsidRDefault="00444F2E" w:rsidP="002D5562">
      <w:pPr>
        <w:pStyle w:val="Odstavecseseznamem"/>
        <w:spacing w:after="0" w:line="312" w:lineRule="auto"/>
        <w:ind w:left="454"/>
        <w:jc w:val="both"/>
        <w:rPr>
          <w:rFonts w:ascii="Arial" w:hAnsi="Arial" w:cs="Arial"/>
          <w:sz w:val="18"/>
          <w:szCs w:val="18"/>
        </w:rPr>
      </w:pPr>
    </w:p>
    <w:p w:rsidR="005730A2" w:rsidRDefault="005730A2" w:rsidP="005730A2">
      <w:pPr>
        <w:pStyle w:val="Odstavecseseznamem"/>
        <w:spacing w:after="0" w:line="312" w:lineRule="auto"/>
        <w:ind w:left="454"/>
        <w:jc w:val="both"/>
        <w:rPr>
          <w:rFonts w:ascii="Arial" w:hAnsi="Arial" w:cs="Arial"/>
          <w:sz w:val="18"/>
          <w:szCs w:val="18"/>
        </w:rPr>
      </w:pPr>
    </w:p>
    <w:p w:rsidR="00444F2E" w:rsidRDefault="00444F2E" w:rsidP="005730A2">
      <w:pPr>
        <w:pStyle w:val="Odstavecseseznamem"/>
        <w:spacing w:after="0" w:line="312" w:lineRule="auto"/>
        <w:ind w:left="454"/>
        <w:jc w:val="both"/>
        <w:rPr>
          <w:rFonts w:ascii="Arial" w:hAnsi="Arial" w:cs="Arial"/>
          <w:sz w:val="18"/>
          <w:szCs w:val="18"/>
        </w:rPr>
      </w:pPr>
    </w:p>
    <w:p w:rsidR="005730A2" w:rsidRDefault="005730A2" w:rsidP="005730A2">
      <w:pPr>
        <w:pStyle w:val="Odstavecseseznamem"/>
        <w:spacing w:after="0" w:line="312" w:lineRule="auto"/>
        <w:ind w:left="454"/>
        <w:jc w:val="center"/>
        <w:rPr>
          <w:rFonts w:ascii="Arial" w:hAnsi="Arial" w:cs="Arial"/>
          <w:b/>
          <w:bCs/>
          <w:sz w:val="18"/>
          <w:szCs w:val="18"/>
        </w:rPr>
      </w:pPr>
      <w:r w:rsidRPr="005730A2">
        <w:rPr>
          <w:rFonts w:ascii="Arial" w:hAnsi="Arial" w:cs="Arial"/>
          <w:b/>
          <w:bCs/>
          <w:sz w:val="18"/>
          <w:szCs w:val="18"/>
        </w:rPr>
        <w:t>V.</w:t>
      </w:r>
    </w:p>
    <w:p w:rsidR="005730A2" w:rsidRPr="005730A2" w:rsidRDefault="005730A2" w:rsidP="006479CD">
      <w:pPr>
        <w:pStyle w:val="Odstavecseseznamem"/>
        <w:spacing w:after="0" w:line="312" w:lineRule="auto"/>
        <w:ind w:left="45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</w:t>
      </w:r>
      <w:r w:rsidRPr="005730A2">
        <w:rPr>
          <w:rFonts w:ascii="Arial" w:hAnsi="Arial" w:cs="Arial"/>
          <w:b/>
          <w:bCs/>
          <w:sz w:val="18"/>
          <w:szCs w:val="18"/>
        </w:rPr>
        <w:t>ankce</w:t>
      </w:r>
    </w:p>
    <w:p w:rsidR="005730A2" w:rsidRDefault="005730A2" w:rsidP="006479CD">
      <w:pPr>
        <w:pStyle w:val="Odstavecseseznamem"/>
        <w:numPr>
          <w:ilvl w:val="6"/>
          <w:numId w:val="18"/>
        </w:numPr>
        <w:spacing w:after="0" w:line="312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A60AAF">
        <w:rPr>
          <w:rFonts w:ascii="Arial" w:hAnsi="Arial" w:cs="Arial"/>
          <w:sz w:val="18"/>
          <w:szCs w:val="18"/>
        </w:rPr>
        <w:t>V případě, že se SoftwareONE dostane do prodlení s plněním povinnosti poskytnout plnění řádně a včas, zavazuje se k úhradě smluvní pokuty ve výši 1.000,- Kč za každý, byť započatý den prodlení.</w:t>
      </w:r>
    </w:p>
    <w:p w:rsidR="00A60AAF" w:rsidRDefault="005730A2" w:rsidP="006479CD">
      <w:pPr>
        <w:pStyle w:val="Odstavecseseznamem"/>
        <w:numPr>
          <w:ilvl w:val="6"/>
          <w:numId w:val="18"/>
        </w:numPr>
        <w:spacing w:after="0" w:line="312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A60AAF">
        <w:rPr>
          <w:rFonts w:ascii="Arial" w:hAnsi="Arial" w:cs="Arial"/>
          <w:sz w:val="18"/>
          <w:szCs w:val="18"/>
        </w:rPr>
        <w:t>Dostane-li se Zákazník do prodlení s úhradou kupní ceny</w:t>
      </w:r>
      <w:r w:rsidR="00A60AAF" w:rsidRPr="00A60AAF">
        <w:rPr>
          <w:rFonts w:ascii="Arial" w:hAnsi="Arial" w:cs="Arial"/>
          <w:sz w:val="18"/>
          <w:szCs w:val="18"/>
        </w:rPr>
        <w:t xml:space="preserve"> dle čl. III odst. 1</w:t>
      </w:r>
      <w:r w:rsidRPr="00A60AAF">
        <w:rPr>
          <w:rFonts w:ascii="Arial" w:hAnsi="Arial" w:cs="Arial"/>
          <w:sz w:val="18"/>
          <w:szCs w:val="18"/>
        </w:rPr>
        <w:t xml:space="preserve"> </w:t>
      </w:r>
      <w:r w:rsidR="00A60AAF" w:rsidRPr="00A60AAF">
        <w:rPr>
          <w:rFonts w:ascii="Arial" w:hAnsi="Arial" w:cs="Arial"/>
          <w:sz w:val="18"/>
          <w:szCs w:val="18"/>
        </w:rPr>
        <w:t xml:space="preserve">této Smlouvy, </w:t>
      </w:r>
      <w:r w:rsidRPr="00A60AAF">
        <w:rPr>
          <w:rFonts w:ascii="Arial" w:hAnsi="Arial" w:cs="Arial"/>
          <w:sz w:val="18"/>
          <w:szCs w:val="18"/>
        </w:rPr>
        <w:t>je povinen zaplatit SoftwareONE kromě dlužné jistiny také úrok z prodlení v zákonné výši</w:t>
      </w:r>
      <w:r w:rsidR="00A60AAF">
        <w:rPr>
          <w:rFonts w:ascii="Arial" w:hAnsi="Arial" w:cs="Arial"/>
          <w:sz w:val="18"/>
          <w:szCs w:val="18"/>
        </w:rPr>
        <w:t>.</w:t>
      </w:r>
    </w:p>
    <w:p w:rsidR="00A60AAF" w:rsidRPr="002D5562" w:rsidRDefault="00A60AAF" w:rsidP="006479CD">
      <w:pPr>
        <w:pStyle w:val="Odstavecseseznamem"/>
        <w:numPr>
          <w:ilvl w:val="6"/>
          <w:numId w:val="18"/>
        </w:numPr>
        <w:spacing w:after="0" w:line="312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2D5562">
        <w:rPr>
          <w:rFonts w:ascii="Arial" w:hAnsi="Arial" w:cs="Arial"/>
          <w:sz w:val="18"/>
          <w:szCs w:val="18"/>
        </w:rPr>
        <w:t>Za porušení povinnosti mlčenlivosti specifikované v</w:t>
      </w:r>
      <w:r>
        <w:rPr>
          <w:rFonts w:ascii="Arial" w:hAnsi="Arial" w:cs="Arial"/>
          <w:sz w:val="18"/>
          <w:szCs w:val="18"/>
        </w:rPr>
        <w:t xml:space="preserve"> čl. IV </w:t>
      </w:r>
      <w:r w:rsidRPr="002D5562">
        <w:rPr>
          <w:rFonts w:ascii="Arial" w:hAnsi="Arial" w:cs="Arial"/>
          <w:sz w:val="18"/>
          <w:szCs w:val="18"/>
        </w:rPr>
        <w:t>této Smlouvě je SoftwareONE povinen uhradit Zákazníkovi smluvní pokutu ve výši 5.000,- Kč, a to za každý jednotlivý případ porušení povinnosti. Uhrazení smluvní pokuty se nikterak nedotýká nároku na náhradu škody způsobené porušením této povinnosti.</w:t>
      </w:r>
    </w:p>
    <w:p w:rsidR="00A60AAF" w:rsidRPr="00A60AAF" w:rsidRDefault="00A60AAF" w:rsidP="006479CD">
      <w:pPr>
        <w:pStyle w:val="Odstavecseseznamem"/>
        <w:spacing w:after="0" w:line="312" w:lineRule="auto"/>
        <w:ind w:left="284"/>
        <w:rPr>
          <w:rFonts w:ascii="Arial" w:hAnsi="Arial" w:cs="Arial"/>
          <w:sz w:val="18"/>
          <w:szCs w:val="18"/>
        </w:rPr>
      </w:pPr>
    </w:p>
    <w:p w:rsidR="00D761C1" w:rsidRPr="00D761C1" w:rsidRDefault="00D761C1" w:rsidP="00D761C1">
      <w:pPr>
        <w:pStyle w:val="Odstavecseseznamem"/>
        <w:spacing w:after="0" w:line="312" w:lineRule="auto"/>
        <w:ind w:left="454"/>
        <w:jc w:val="center"/>
        <w:rPr>
          <w:rFonts w:ascii="Arial" w:hAnsi="Arial" w:cs="Arial"/>
          <w:b/>
          <w:sz w:val="18"/>
          <w:szCs w:val="18"/>
        </w:rPr>
      </w:pPr>
    </w:p>
    <w:p w:rsidR="007D15FA" w:rsidRPr="000048C5" w:rsidRDefault="007D15FA" w:rsidP="00872F65">
      <w:pPr>
        <w:spacing w:after="0" w:line="312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</w:p>
    <w:p w:rsidR="000D37E4" w:rsidRPr="005730A2" w:rsidRDefault="005730A2" w:rsidP="005730A2">
      <w:pPr>
        <w:spacing w:after="0" w:line="312" w:lineRule="auto"/>
        <w:ind w:left="288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VI.</w:t>
      </w:r>
    </w:p>
    <w:p w:rsidR="000D37E4" w:rsidRPr="00CA76CA" w:rsidRDefault="000D37E4" w:rsidP="00872F65">
      <w:pPr>
        <w:spacing w:after="0" w:line="312" w:lineRule="auto"/>
        <w:jc w:val="center"/>
        <w:rPr>
          <w:rFonts w:ascii="Arial" w:hAnsi="Arial" w:cs="Arial"/>
          <w:b/>
          <w:sz w:val="18"/>
          <w:szCs w:val="18"/>
        </w:rPr>
      </w:pPr>
      <w:r w:rsidRPr="00CA76CA">
        <w:rPr>
          <w:rFonts w:ascii="Arial" w:hAnsi="Arial" w:cs="Arial"/>
          <w:b/>
          <w:sz w:val="18"/>
          <w:szCs w:val="18"/>
        </w:rPr>
        <w:t>Závěrečná ustanovení</w:t>
      </w:r>
    </w:p>
    <w:p w:rsidR="000D37E4" w:rsidRPr="00CA76CA" w:rsidRDefault="000D37E4" w:rsidP="00A60AAF">
      <w:pPr>
        <w:pStyle w:val="Odstavecseseznamem"/>
        <w:numPr>
          <w:ilvl w:val="1"/>
          <w:numId w:val="20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CA76CA">
        <w:rPr>
          <w:rFonts w:ascii="Arial" w:hAnsi="Arial" w:cs="Arial"/>
          <w:sz w:val="18"/>
          <w:szCs w:val="18"/>
        </w:rPr>
        <w:t>Tato Smlouva je</w:t>
      </w:r>
      <w:r>
        <w:rPr>
          <w:rFonts w:ascii="Arial" w:hAnsi="Arial" w:cs="Arial"/>
          <w:sz w:val="18"/>
          <w:szCs w:val="18"/>
        </w:rPr>
        <w:t xml:space="preserve"> uzavřena a podepsána ve dvou</w:t>
      </w:r>
      <w:r w:rsidRPr="00CA76CA">
        <w:rPr>
          <w:rFonts w:ascii="Arial" w:hAnsi="Arial" w:cs="Arial"/>
          <w:sz w:val="18"/>
          <w:szCs w:val="18"/>
        </w:rPr>
        <w:t xml:space="preserve"> stejnopisech v českém jazyce, každý s platností originálu, z</w:t>
      </w:r>
      <w:r>
        <w:rPr>
          <w:rFonts w:ascii="Arial" w:hAnsi="Arial" w:cs="Arial"/>
          <w:sz w:val="18"/>
          <w:szCs w:val="18"/>
        </w:rPr>
        <w:t> </w:t>
      </w:r>
      <w:r w:rsidRPr="00CA76CA">
        <w:rPr>
          <w:rFonts w:ascii="Arial" w:hAnsi="Arial" w:cs="Arial"/>
          <w:sz w:val="18"/>
          <w:szCs w:val="18"/>
        </w:rPr>
        <w:t>nichž každá ze Stran obdrž</w:t>
      </w:r>
      <w:r>
        <w:rPr>
          <w:rFonts w:ascii="Arial" w:hAnsi="Arial" w:cs="Arial"/>
          <w:sz w:val="18"/>
          <w:szCs w:val="18"/>
        </w:rPr>
        <w:t>í po jednom vyhotovení</w:t>
      </w:r>
      <w:r w:rsidRPr="00CA76CA">
        <w:rPr>
          <w:rFonts w:ascii="Arial" w:hAnsi="Arial" w:cs="Arial"/>
          <w:sz w:val="18"/>
          <w:szCs w:val="18"/>
        </w:rPr>
        <w:t>.</w:t>
      </w:r>
    </w:p>
    <w:p w:rsidR="000D37E4" w:rsidRPr="00D96210" w:rsidRDefault="000D37E4" w:rsidP="00A60AAF">
      <w:pPr>
        <w:pStyle w:val="Odstavecseseznamem"/>
        <w:numPr>
          <w:ilvl w:val="1"/>
          <w:numId w:val="20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6F73E2">
        <w:rPr>
          <w:rFonts w:ascii="Arial" w:hAnsi="Arial" w:cs="Arial"/>
          <w:sz w:val="18"/>
          <w:szCs w:val="18"/>
        </w:rPr>
        <w:t>Tato Smlouva a veškeré právní vztahy z ní vzniklé či s ní související se řídí právním řádem České republiky</w:t>
      </w:r>
      <w:r>
        <w:rPr>
          <w:rFonts w:ascii="Arial" w:hAnsi="Arial" w:cs="Arial"/>
          <w:sz w:val="18"/>
          <w:szCs w:val="18"/>
        </w:rPr>
        <w:t>, zejména ObčZ</w:t>
      </w:r>
      <w:r w:rsidRPr="006F73E2">
        <w:rPr>
          <w:rFonts w:ascii="Arial" w:hAnsi="Arial" w:cs="Arial"/>
          <w:sz w:val="18"/>
          <w:szCs w:val="18"/>
        </w:rPr>
        <w:t xml:space="preserve">. </w:t>
      </w:r>
    </w:p>
    <w:p w:rsidR="000D37E4" w:rsidRDefault="001F2F63" w:rsidP="00A60AAF">
      <w:pPr>
        <w:pStyle w:val="Odstavecseseznamem"/>
        <w:numPr>
          <w:ilvl w:val="1"/>
          <w:numId w:val="20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7278F9">
        <w:rPr>
          <w:rFonts w:ascii="Arial" w:hAnsi="Arial" w:cs="Arial"/>
          <w:sz w:val="18"/>
          <w:szCs w:val="18"/>
        </w:rPr>
        <w:t>Zá</w:t>
      </w:r>
      <w:r w:rsidR="00444F2E">
        <w:t>kazník</w:t>
      </w:r>
      <w:r w:rsidR="00444F2E" w:rsidRPr="00444F2E">
        <w:rPr>
          <w:rFonts w:ascii="Arial" w:hAnsi="Arial" w:cs="Arial"/>
          <w:sz w:val="18"/>
          <w:szCs w:val="18"/>
        </w:rPr>
        <w:t xml:space="preserve"> si vyhrazuje právo zveřejnit obsah této smlouvy včetně případných dodatků k této smlouvě. </w:t>
      </w:r>
      <w:r w:rsidR="00444F2E">
        <w:rPr>
          <w:rFonts w:ascii="Arial" w:hAnsi="Arial" w:cs="Arial"/>
          <w:sz w:val="18"/>
          <w:szCs w:val="18"/>
        </w:rPr>
        <w:t>SoftwareONE</w:t>
      </w:r>
      <w:r w:rsidR="00444F2E" w:rsidRPr="00444F2E">
        <w:rPr>
          <w:rFonts w:ascii="Arial" w:hAnsi="Arial" w:cs="Arial"/>
          <w:sz w:val="18"/>
          <w:szCs w:val="18"/>
        </w:rPr>
        <w:t xml:space="preserve"> dále souhlasí se zveřejněním své identifikace a dalších údajů uvedených ve smlouvě včetně ceny. Smluvní strany shodně dále konstatují, že tato smlouva včetně všech příloh podléhá uveřejnění dle zákona č. 340/2015 Sb., o zvláštních podmínkách účinnosti některých smluv, uveřejňování těchto smluv a o registru smluv (zákon o registru smluv). Smluvní strany se dohodly, že tuto smlouvu uveřejní v registru smluv </w:t>
      </w:r>
      <w:r w:rsidR="00444F2E">
        <w:rPr>
          <w:rFonts w:ascii="Arial" w:hAnsi="Arial" w:cs="Arial"/>
          <w:sz w:val="18"/>
          <w:szCs w:val="18"/>
        </w:rPr>
        <w:t>Zákazník</w:t>
      </w:r>
      <w:r w:rsidR="00444F2E" w:rsidRPr="00444F2E">
        <w:rPr>
          <w:rFonts w:ascii="Arial" w:hAnsi="Arial" w:cs="Arial"/>
          <w:sz w:val="18"/>
          <w:szCs w:val="18"/>
        </w:rPr>
        <w:t xml:space="preserve">. </w:t>
      </w:r>
      <w:r w:rsidRPr="007278F9">
        <w:rPr>
          <w:rFonts w:ascii="Arial" w:hAnsi="Arial" w:cs="Arial"/>
          <w:sz w:val="18"/>
          <w:szCs w:val="18"/>
        </w:rPr>
        <w:t>Zákazník je povinen SoftwareONE zaslat nebo zajistit zaslání potvrzení o uveřejnění Smlouvy vydaného správcem registru smluv nejpozději do sedmi dnů od jeho doručení Zákazníkovi.</w:t>
      </w:r>
    </w:p>
    <w:p w:rsidR="00444F2E" w:rsidRPr="007278F9" w:rsidRDefault="00444F2E" w:rsidP="00444F2E">
      <w:pPr>
        <w:pStyle w:val="Odstavecseseznamem"/>
        <w:numPr>
          <w:ilvl w:val="1"/>
          <w:numId w:val="20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7278F9">
        <w:rPr>
          <w:rFonts w:ascii="Arial" w:hAnsi="Arial" w:cs="Arial"/>
          <w:sz w:val="18"/>
          <w:szCs w:val="18"/>
        </w:rPr>
        <w:t xml:space="preserve">Tato Smlouva je uzavřena a nabývá platnosti podpisem oběma Stranami. Účinnosti nabývá tato Smlouva dnem uveřejnění v registru smluv. </w:t>
      </w:r>
    </w:p>
    <w:p w:rsidR="00444F2E" w:rsidRPr="007278F9" w:rsidRDefault="00444F2E" w:rsidP="006479CD">
      <w:pPr>
        <w:pStyle w:val="Odstavecseseznamem"/>
        <w:spacing w:after="0" w:line="312" w:lineRule="auto"/>
        <w:ind w:left="454"/>
        <w:jc w:val="both"/>
        <w:rPr>
          <w:rFonts w:ascii="Arial" w:hAnsi="Arial" w:cs="Arial"/>
          <w:sz w:val="18"/>
          <w:szCs w:val="18"/>
        </w:rPr>
      </w:pPr>
    </w:p>
    <w:p w:rsidR="000D37E4" w:rsidRPr="007278F9" w:rsidRDefault="001F2F63" w:rsidP="00A60AAF">
      <w:pPr>
        <w:pStyle w:val="ListParagraph1"/>
        <w:numPr>
          <w:ilvl w:val="1"/>
          <w:numId w:val="20"/>
        </w:numPr>
        <w:spacing w:line="336" w:lineRule="auto"/>
        <w:jc w:val="both"/>
        <w:rPr>
          <w:rFonts w:ascii="Arial" w:hAnsi="Arial" w:cs="Arial"/>
          <w:sz w:val="18"/>
          <w:szCs w:val="18"/>
        </w:rPr>
      </w:pPr>
      <w:r w:rsidRPr="007278F9">
        <w:rPr>
          <w:rFonts w:ascii="Arial" w:hAnsi="Arial" w:cs="Arial"/>
          <w:sz w:val="18"/>
          <w:szCs w:val="18"/>
        </w:rPr>
        <w:t>V</w:t>
      </w:r>
      <w:r w:rsidR="000D37E4" w:rsidRPr="007278F9">
        <w:rPr>
          <w:rFonts w:ascii="Arial" w:hAnsi="Arial" w:cs="Arial"/>
          <w:sz w:val="18"/>
          <w:szCs w:val="18"/>
        </w:rPr>
        <w:t> </w:t>
      </w:r>
      <w:r w:rsidRPr="007278F9">
        <w:rPr>
          <w:rFonts w:ascii="Arial" w:hAnsi="Arial" w:cs="Arial"/>
          <w:sz w:val="18"/>
          <w:szCs w:val="18"/>
        </w:rPr>
        <w:t>případě, že nebude Smlouva v</w:t>
      </w:r>
      <w:r w:rsidR="000D37E4" w:rsidRPr="007278F9">
        <w:rPr>
          <w:rFonts w:ascii="Arial" w:hAnsi="Arial" w:cs="Arial"/>
          <w:sz w:val="18"/>
          <w:szCs w:val="18"/>
        </w:rPr>
        <w:t> </w:t>
      </w:r>
      <w:r w:rsidRPr="007278F9">
        <w:rPr>
          <w:rFonts w:ascii="Arial" w:hAnsi="Arial" w:cs="Arial"/>
          <w:sz w:val="18"/>
          <w:szCs w:val="18"/>
        </w:rPr>
        <w:t>registru smluv uveřejněna nejpozději do</w:t>
      </w:r>
      <w:r w:rsidR="000D37E4" w:rsidRPr="007278F9">
        <w:rPr>
          <w:rFonts w:ascii="Arial" w:hAnsi="Arial" w:cs="Arial"/>
          <w:sz w:val="18"/>
          <w:szCs w:val="18"/>
        </w:rPr>
        <w:t> </w:t>
      </w:r>
      <w:r w:rsidRPr="007278F9">
        <w:rPr>
          <w:rFonts w:ascii="Arial" w:hAnsi="Arial" w:cs="Arial"/>
          <w:sz w:val="18"/>
          <w:szCs w:val="18"/>
        </w:rPr>
        <w:t>tří měsíců ode dne jejího uzavření, ruší se Smlouva od počátku. V</w:t>
      </w:r>
      <w:r w:rsidR="000D37E4" w:rsidRPr="007278F9">
        <w:rPr>
          <w:rFonts w:ascii="Arial" w:hAnsi="Arial" w:cs="Arial"/>
          <w:sz w:val="18"/>
          <w:szCs w:val="18"/>
        </w:rPr>
        <w:t> </w:t>
      </w:r>
      <w:r w:rsidRPr="007278F9">
        <w:rPr>
          <w:rFonts w:ascii="Arial" w:hAnsi="Arial" w:cs="Arial"/>
          <w:sz w:val="18"/>
          <w:szCs w:val="18"/>
        </w:rPr>
        <w:t>takovém případě jsou Strany povinny vrátit si vzájemně veškerá již poskytnutá plnění a vzájemně se vypořádat podle zásad o bezdůvodném obohacení s</w:t>
      </w:r>
      <w:r w:rsidR="000D37E4" w:rsidRPr="007278F9">
        <w:rPr>
          <w:rFonts w:ascii="Arial" w:hAnsi="Arial" w:cs="Arial"/>
          <w:sz w:val="18"/>
          <w:szCs w:val="18"/>
        </w:rPr>
        <w:t> </w:t>
      </w:r>
      <w:r w:rsidRPr="007278F9">
        <w:rPr>
          <w:rFonts w:ascii="Arial" w:hAnsi="Arial" w:cs="Arial"/>
          <w:sz w:val="18"/>
          <w:szCs w:val="18"/>
        </w:rPr>
        <w:t>tím, že není dotčeno právo Stran na náhradu škody.</w:t>
      </w:r>
    </w:p>
    <w:p w:rsidR="000D37E4" w:rsidRDefault="000D37E4" w:rsidP="00A60AAF">
      <w:pPr>
        <w:pStyle w:val="Odstavecseseznamem"/>
        <w:numPr>
          <w:ilvl w:val="1"/>
          <w:numId w:val="20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231B86">
        <w:rPr>
          <w:rFonts w:ascii="Arial" w:hAnsi="Arial" w:cs="Arial"/>
          <w:sz w:val="18"/>
          <w:szCs w:val="18"/>
        </w:rPr>
        <w:t xml:space="preserve">V návaznosti na uzavřený smluvní vztah </w:t>
      </w:r>
      <w:r>
        <w:rPr>
          <w:rFonts w:ascii="Arial" w:hAnsi="Arial" w:cs="Arial"/>
          <w:sz w:val="18"/>
          <w:szCs w:val="18"/>
        </w:rPr>
        <w:t>Zákazník</w:t>
      </w:r>
      <w:r w:rsidRPr="00231B86">
        <w:rPr>
          <w:rFonts w:ascii="Arial" w:hAnsi="Arial" w:cs="Arial"/>
          <w:sz w:val="18"/>
          <w:szCs w:val="18"/>
        </w:rPr>
        <w:t xml:space="preserve"> tímto poskytuje svůj souhlas k tomu, aby společnost SoftwareONE v rámce propagace svého podnikání bezplatně využívala reference vycházející ze smluvních obchodních vztahů s</w:t>
      </w:r>
      <w:r>
        <w:rPr>
          <w:rFonts w:ascii="Arial" w:hAnsi="Arial" w:cs="Arial"/>
          <w:sz w:val="18"/>
          <w:szCs w:val="18"/>
        </w:rPr>
        <w:t>e Zákazníkem</w:t>
      </w:r>
      <w:r w:rsidRPr="00231B86">
        <w:rPr>
          <w:rFonts w:ascii="Arial" w:hAnsi="Arial" w:cs="Arial"/>
          <w:sz w:val="18"/>
          <w:szCs w:val="18"/>
        </w:rPr>
        <w:t xml:space="preserve">. SoftwareONE je zejména oprávněna prezentovat obchodní firmu </w:t>
      </w:r>
      <w:r>
        <w:rPr>
          <w:rFonts w:ascii="Arial" w:hAnsi="Arial" w:cs="Arial"/>
          <w:sz w:val="18"/>
          <w:szCs w:val="18"/>
        </w:rPr>
        <w:t>Zákazníka</w:t>
      </w:r>
      <w:r w:rsidRPr="00231B86">
        <w:rPr>
          <w:rFonts w:ascii="Arial" w:hAnsi="Arial" w:cs="Arial"/>
          <w:sz w:val="18"/>
          <w:szCs w:val="18"/>
        </w:rPr>
        <w:t xml:space="preserve"> mezi svými zákazníky. Referenci je SoftwareONE oprávněna používat ve všech marketingových, propagačních a komunikačních aktivitách, a to zejména na svých webových stránkách, v tištěných propagačních materiálech, médiích a v rámci případových studií. SoftwareONE souhlas </w:t>
      </w:r>
      <w:r>
        <w:rPr>
          <w:rFonts w:ascii="Arial" w:hAnsi="Arial" w:cs="Arial"/>
          <w:sz w:val="18"/>
          <w:szCs w:val="18"/>
        </w:rPr>
        <w:t>Zákazníka</w:t>
      </w:r>
      <w:r w:rsidRPr="00231B86">
        <w:rPr>
          <w:rFonts w:ascii="Arial" w:hAnsi="Arial" w:cs="Arial"/>
          <w:sz w:val="18"/>
          <w:szCs w:val="18"/>
        </w:rPr>
        <w:t xml:space="preserve"> přijímá a </w:t>
      </w:r>
      <w:r w:rsidRPr="00231B86">
        <w:rPr>
          <w:rFonts w:ascii="Arial" w:hAnsi="Arial" w:cs="Arial"/>
          <w:sz w:val="18"/>
          <w:szCs w:val="18"/>
        </w:rPr>
        <w:lastRenderedPageBreak/>
        <w:t xml:space="preserve">zavazuje se reference prezentovat pouze takovým způsobem, aby nebylo ohroženo či dotčeno dobré jméno a pověst </w:t>
      </w:r>
      <w:r>
        <w:rPr>
          <w:rFonts w:ascii="Arial" w:hAnsi="Arial" w:cs="Arial"/>
          <w:sz w:val="18"/>
          <w:szCs w:val="18"/>
        </w:rPr>
        <w:t>Zákazníka</w:t>
      </w:r>
      <w:r w:rsidRPr="00231B86">
        <w:rPr>
          <w:rFonts w:ascii="Arial" w:hAnsi="Arial" w:cs="Arial"/>
          <w:sz w:val="18"/>
          <w:szCs w:val="18"/>
        </w:rPr>
        <w:t>. Tímto ujednáním není dotčeno právo</w:t>
      </w:r>
      <w:r>
        <w:rPr>
          <w:rFonts w:ascii="Arial" w:hAnsi="Arial" w:cs="Arial"/>
          <w:sz w:val="18"/>
          <w:szCs w:val="18"/>
        </w:rPr>
        <w:t xml:space="preserve"> Zákazníka</w:t>
      </w:r>
      <w:r w:rsidRPr="00231B86">
        <w:rPr>
          <w:rFonts w:ascii="Arial" w:hAnsi="Arial" w:cs="Arial"/>
          <w:sz w:val="18"/>
          <w:szCs w:val="18"/>
        </w:rPr>
        <w:t xml:space="preserve"> na ochranu důvěrných informací a obchodního tajemství v rozsahu, který vyplývá z uzavřené smlouvy či platných a účinných právních předpisů. </w:t>
      </w:r>
      <w:r>
        <w:rPr>
          <w:rFonts w:ascii="Arial" w:hAnsi="Arial" w:cs="Arial"/>
          <w:sz w:val="18"/>
          <w:szCs w:val="18"/>
        </w:rPr>
        <w:t>Zákazník</w:t>
      </w:r>
      <w:r w:rsidRPr="00231B86">
        <w:rPr>
          <w:rFonts w:ascii="Arial" w:hAnsi="Arial" w:cs="Arial"/>
          <w:sz w:val="18"/>
          <w:szCs w:val="18"/>
        </w:rPr>
        <w:t xml:space="preserve"> je oprávněn svůj souhlas vyplývající z tohoto ujednání kdykoliv odvolat.</w:t>
      </w:r>
    </w:p>
    <w:p w:rsidR="000D37E4" w:rsidRDefault="000D37E4" w:rsidP="00A60AAF">
      <w:pPr>
        <w:numPr>
          <w:ilvl w:val="1"/>
          <w:numId w:val="20"/>
        </w:numPr>
        <w:spacing w:after="0" w:line="33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Zákazník uzavřením této Smlouvy</w:t>
      </w:r>
      <w:r w:rsidRPr="00387197">
        <w:rPr>
          <w:rFonts w:ascii="Arial" w:hAnsi="Arial" w:cs="Arial"/>
          <w:sz w:val="18"/>
          <w:szCs w:val="18"/>
        </w:rPr>
        <w:t xml:space="preserve"> potvrzuje, že si přečetl, porozuměl a souhlasil s</w:t>
      </w:r>
      <w:r>
        <w:rPr>
          <w:rFonts w:ascii="Arial" w:hAnsi="Arial" w:cs="Arial"/>
          <w:sz w:val="18"/>
          <w:szCs w:val="18"/>
        </w:rPr>
        <w:t xml:space="preserve">e </w:t>
      </w:r>
      <w:r w:rsidRPr="00387197">
        <w:rPr>
          <w:rFonts w:ascii="Arial" w:hAnsi="Arial" w:cs="Arial"/>
          <w:sz w:val="18"/>
          <w:szCs w:val="18"/>
        </w:rPr>
        <w:t xml:space="preserve">smluvními podmínkami </w:t>
      </w:r>
      <w:r>
        <w:rPr>
          <w:rFonts w:ascii="Arial" w:hAnsi="Arial" w:cs="Arial"/>
          <w:sz w:val="18"/>
          <w:szCs w:val="18"/>
        </w:rPr>
        <w:t xml:space="preserve">společnosti </w:t>
      </w:r>
      <w:r w:rsidRPr="00387197">
        <w:rPr>
          <w:rFonts w:ascii="Arial" w:hAnsi="Arial" w:cs="Arial"/>
          <w:sz w:val="18"/>
          <w:szCs w:val="18"/>
        </w:rPr>
        <w:t xml:space="preserve">SoftwareONE </w:t>
      </w:r>
      <w:r>
        <w:rPr>
          <w:rFonts w:ascii="Arial" w:hAnsi="Arial" w:cs="Arial"/>
          <w:sz w:val="18"/>
          <w:szCs w:val="18"/>
        </w:rPr>
        <w:t>v účinném znění, které jsou dostupné</w:t>
      </w:r>
      <w:r w:rsidRPr="00387197">
        <w:rPr>
          <w:rFonts w:ascii="Arial" w:hAnsi="Arial" w:cs="Arial"/>
          <w:sz w:val="18"/>
          <w:szCs w:val="18"/>
        </w:rPr>
        <w:t xml:space="preserve"> na </w:t>
      </w:r>
      <w:hyperlink r:id="rId12" w:history="1">
        <w:r w:rsidRPr="004C0B60">
          <w:rPr>
            <w:rStyle w:val="Hypertextovodkaz"/>
            <w:rFonts w:ascii="Arial" w:hAnsi="Arial" w:cs="Arial"/>
            <w:sz w:val="18"/>
            <w:szCs w:val="18"/>
          </w:rPr>
          <w:t>www.softwareone.com</w:t>
        </w:r>
      </w:hyperlink>
      <w:r>
        <w:rPr>
          <w:rFonts w:ascii="Arial" w:hAnsi="Arial" w:cs="Arial"/>
          <w:sz w:val="18"/>
          <w:szCs w:val="18"/>
        </w:rPr>
        <w:t>. T</w:t>
      </w:r>
      <w:r w:rsidRPr="00387197">
        <w:rPr>
          <w:rFonts w:ascii="Arial" w:hAnsi="Arial" w:cs="Arial"/>
          <w:sz w:val="18"/>
          <w:szCs w:val="18"/>
        </w:rPr>
        <w:t xml:space="preserve">yto </w:t>
      </w:r>
      <w:r>
        <w:rPr>
          <w:rFonts w:ascii="Arial" w:hAnsi="Arial" w:cs="Arial"/>
          <w:sz w:val="18"/>
          <w:szCs w:val="18"/>
        </w:rPr>
        <w:t xml:space="preserve">smluvní podmínky </w:t>
      </w:r>
      <w:r w:rsidRPr="00387197">
        <w:rPr>
          <w:rFonts w:ascii="Arial" w:hAnsi="Arial" w:cs="Arial"/>
          <w:sz w:val="18"/>
          <w:szCs w:val="18"/>
        </w:rPr>
        <w:t>jsou pro uzavřený smluvní vztah závazné</w:t>
      </w:r>
      <w:r>
        <w:rPr>
          <w:rFonts w:ascii="Arial" w:hAnsi="Arial" w:cs="Arial"/>
          <w:sz w:val="18"/>
          <w:szCs w:val="18"/>
        </w:rPr>
        <w:t xml:space="preserve"> a doplňují tuto Smlouvu</w:t>
      </w:r>
      <w:r w:rsidRPr="003871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Obě Strany </w:t>
      </w:r>
      <w:r w:rsidRPr="007F6122">
        <w:rPr>
          <w:rFonts w:ascii="Arial" w:hAnsi="Arial" w:cs="Arial"/>
          <w:sz w:val="18"/>
          <w:szCs w:val="18"/>
        </w:rPr>
        <w:t>souhlasí s tím, že</w:t>
      </w:r>
      <w:r>
        <w:rPr>
          <w:rFonts w:ascii="Arial" w:hAnsi="Arial" w:cs="Arial"/>
          <w:sz w:val="18"/>
          <w:szCs w:val="18"/>
        </w:rPr>
        <w:t xml:space="preserve"> tyto </w:t>
      </w:r>
      <w:r w:rsidRPr="00387197">
        <w:rPr>
          <w:rFonts w:ascii="Arial" w:hAnsi="Arial" w:cs="Arial"/>
          <w:sz w:val="18"/>
          <w:szCs w:val="18"/>
        </w:rPr>
        <w:t>smluvní podmínk</w:t>
      </w:r>
      <w:r>
        <w:rPr>
          <w:rFonts w:ascii="Arial" w:hAnsi="Arial" w:cs="Arial"/>
          <w:sz w:val="18"/>
          <w:szCs w:val="18"/>
        </w:rPr>
        <w:t>y</w:t>
      </w:r>
      <w:r w:rsidRPr="007F61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společnosti </w:t>
      </w:r>
      <w:r w:rsidRPr="00387197">
        <w:rPr>
          <w:rFonts w:ascii="Arial" w:hAnsi="Arial" w:cs="Arial"/>
          <w:sz w:val="18"/>
          <w:szCs w:val="18"/>
        </w:rPr>
        <w:t xml:space="preserve">SoftwareONE </w:t>
      </w:r>
      <w:r>
        <w:rPr>
          <w:rFonts w:ascii="Arial" w:hAnsi="Arial" w:cs="Arial"/>
          <w:sz w:val="18"/>
          <w:szCs w:val="18"/>
        </w:rPr>
        <w:t xml:space="preserve">v účinném znění </w:t>
      </w:r>
      <w:r w:rsidRPr="007F6122">
        <w:rPr>
          <w:rFonts w:ascii="Arial" w:hAnsi="Arial" w:cs="Arial"/>
          <w:sz w:val="18"/>
          <w:szCs w:val="18"/>
        </w:rPr>
        <w:t>tvoří</w:t>
      </w:r>
      <w:r>
        <w:rPr>
          <w:rFonts w:ascii="Arial" w:hAnsi="Arial" w:cs="Arial"/>
          <w:sz w:val="18"/>
          <w:szCs w:val="18"/>
        </w:rPr>
        <w:t xml:space="preserve"> </w:t>
      </w:r>
      <w:r w:rsidRPr="007F6122">
        <w:rPr>
          <w:rFonts w:ascii="Arial" w:hAnsi="Arial" w:cs="Arial"/>
          <w:sz w:val="18"/>
          <w:szCs w:val="18"/>
        </w:rPr>
        <w:t xml:space="preserve">nedílnou součást této </w:t>
      </w:r>
      <w:r>
        <w:rPr>
          <w:rFonts w:ascii="Arial" w:hAnsi="Arial" w:cs="Arial"/>
          <w:sz w:val="18"/>
          <w:szCs w:val="18"/>
        </w:rPr>
        <w:t>S</w:t>
      </w:r>
      <w:r w:rsidRPr="007F6122">
        <w:rPr>
          <w:rFonts w:ascii="Arial" w:hAnsi="Arial" w:cs="Arial"/>
          <w:sz w:val="18"/>
          <w:szCs w:val="18"/>
        </w:rPr>
        <w:t>mlouvy.</w:t>
      </w:r>
      <w:r>
        <w:rPr>
          <w:rFonts w:ascii="Arial" w:hAnsi="Arial" w:cs="Arial"/>
          <w:sz w:val="18"/>
          <w:szCs w:val="18"/>
        </w:rPr>
        <w:t xml:space="preserve"> </w:t>
      </w:r>
      <w:r w:rsidRPr="007F6122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 </w:t>
      </w:r>
      <w:r w:rsidRPr="007F6122">
        <w:rPr>
          <w:rFonts w:ascii="Arial" w:hAnsi="Arial" w:cs="Arial"/>
          <w:sz w:val="18"/>
          <w:szCs w:val="18"/>
        </w:rPr>
        <w:t xml:space="preserve">případě jakéhokoli rozporu mezi touto </w:t>
      </w:r>
      <w:r>
        <w:rPr>
          <w:rFonts w:ascii="Arial" w:hAnsi="Arial" w:cs="Arial"/>
          <w:sz w:val="18"/>
          <w:szCs w:val="18"/>
        </w:rPr>
        <w:t>S</w:t>
      </w:r>
      <w:r w:rsidRPr="007F6122">
        <w:rPr>
          <w:rFonts w:ascii="Arial" w:hAnsi="Arial" w:cs="Arial"/>
          <w:sz w:val="18"/>
          <w:szCs w:val="18"/>
        </w:rPr>
        <w:t xml:space="preserve">mlouvou a </w:t>
      </w:r>
      <w:r>
        <w:rPr>
          <w:rFonts w:ascii="Arial" w:hAnsi="Arial" w:cs="Arial"/>
          <w:sz w:val="18"/>
          <w:szCs w:val="18"/>
        </w:rPr>
        <w:t>smluvní</w:t>
      </w:r>
      <w:r w:rsidRPr="007F6122">
        <w:rPr>
          <w:rFonts w:ascii="Arial" w:hAnsi="Arial" w:cs="Arial"/>
          <w:sz w:val="18"/>
          <w:szCs w:val="18"/>
        </w:rPr>
        <w:t xml:space="preserve">mi podmínkami má obsah této </w:t>
      </w:r>
      <w:r>
        <w:rPr>
          <w:rFonts w:ascii="Arial" w:hAnsi="Arial" w:cs="Arial"/>
          <w:sz w:val="18"/>
          <w:szCs w:val="18"/>
        </w:rPr>
        <w:t>S</w:t>
      </w:r>
      <w:r w:rsidRPr="007F6122">
        <w:rPr>
          <w:rFonts w:ascii="Arial" w:hAnsi="Arial" w:cs="Arial"/>
          <w:sz w:val="18"/>
          <w:szCs w:val="18"/>
        </w:rPr>
        <w:t>mlouvy přednost.</w:t>
      </w:r>
      <w:r w:rsidR="006F474E">
        <w:rPr>
          <w:rFonts w:ascii="Arial" w:hAnsi="Arial" w:cs="Arial"/>
          <w:sz w:val="18"/>
          <w:szCs w:val="18"/>
        </w:rPr>
        <w:t xml:space="preserve"> </w:t>
      </w:r>
    </w:p>
    <w:p w:rsidR="00C332E7" w:rsidRDefault="00C332E7" w:rsidP="00A60AAF">
      <w:pPr>
        <w:numPr>
          <w:ilvl w:val="1"/>
          <w:numId w:val="20"/>
        </w:numPr>
        <w:spacing w:after="0" w:line="33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jsou oprávněny od Smlouvy odstoupit z důvodů uvedených v</w:t>
      </w:r>
      <w:r w:rsidR="006479CD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zákoně</w:t>
      </w:r>
      <w:r w:rsidR="006479CD">
        <w:rPr>
          <w:rFonts w:ascii="Arial" w:hAnsi="Arial" w:cs="Arial"/>
          <w:sz w:val="18"/>
          <w:szCs w:val="18"/>
        </w:rPr>
        <w:t xml:space="preserve"> (zejména v ObčZ)</w:t>
      </w:r>
      <w:r>
        <w:rPr>
          <w:rFonts w:ascii="Arial" w:hAnsi="Arial" w:cs="Arial"/>
          <w:sz w:val="18"/>
          <w:szCs w:val="18"/>
        </w:rPr>
        <w:t xml:space="preserve"> a z důvodu podstatného porušení Smlouvy.</w:t>
      </w:r>
      <w:r w:rsidR="006479CD">
        <w:rPr>
          <w:rFonts w:ascii="Arial" w:hAnsi="Arial" w:cs="Arial"/>
          <w:sz w:val="18"/>
          <w:szCs w:val="18"/>
        </w:rPr>
        <w:t xml:space="preserve"> Podstatným porušením smlouvy se myslí zejména porušení těch ustanovení, ke kterým se vztahují sankce uvedené v čl. V.</w:t>
      </w:r>
    </w:p>
    <w:p w:rsidR="00CD57AA" w:rsidRDefault="00CD57AA" w:rsidP="00A60AAF">
      <w:pPr>
        <w:numPr>
          <w:ilvl w:val="1"/>
          <w:numId w:val="20"/>
        </w:numPr>
        <w:spacing w:after="0" w:line="33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SofwareONE není oprávněn postoupit práva, povinnosti a závazky Smlouvy třetí osobě nebo jiným oso</w:t>
      </w:r>
      <w:r w:rsidR="00444F2E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ám bez předchozího písemného souhlasu Zákazníka.</w:t>
      </w:r>
    </w:p>
    <w:p w:rsidR="000D37E4" w:rsidRPr="00807A5B" w:rsidRDefault="000D37E4" w:rsidP="00A60AAF">
      <w:pPr>
        <w:pStyle w:val="Odstavecseseznamem"/>
        <w:numPr>
          <w:ilvl w:val="1"/>
          <w:numId w:val="20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942DB8">
        <w:rPr>
          <w:rFonts w:ascii="Arial" w:hAnsi="Arial" w:cs="Arial"/>
          <w:sz w:val="18"/>
          <w:szCs w:val="18"/>
        </w:rPr>
        <w:t>Tato</w:t>
      </w:r>
      <w:r w:rsidR="006F474E">
        <w:rPr>
          <w:rFonts w:ascii="Arial" w:hAnsi="Arial" w:cs="Arial"/>
          <w:sz w:val="18"/>
          <w:szCs w:val="18"/>
        </w:rPr>
        <w:t xml:space="preserve"> </w:t>
      </w:r>
      <w:r w:rsidRPr="00942DB8">
        <w:rPr>
          <w:rFonts w:ascii="Arial" w:hAnsi="Arial" w:cs="Arial"/>
          <w:sz w:val="18"/>
          <w:szCs w:val="18"/>
        </w:rPr>
        <w:t>Smlouva může být měněna pouze vzestupně číslovanými dodatky v písemné formě, řádně podepsanými oběma Stranami.</w:t>
      </w:r>
      <w:r w:rsidRPr="00807A5B">
        <w:rPr>
          <w:rFonts w:ascii="Arial" w:hAnsi="Arial" w:cs="Arial"/>
          <w:sz w:val="18"/>
          <w:szCs w:val="18"/>
        </w:rPr>
        <w:t xml:space="preserve"> </w:t>
      </w:r>
    </w:p>
    <w:p w:rsidR="000D37E4" w:rsidRPr="00F5540F" w:rsidRDefault="000D37E4" w:rsidP="00A60AAF">
      <w:pPr>
        <w:pStyle w:val="Odstavecseseznamem"/>
        <w:numPr>
          <w:ilvl w:val="1"/>
          <w:numId w:val="20"/>
        </w:num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346F4A">
        <w:rPr>
          <w:rFonts w:ascii="Arial" w:hAnsi="Arial" w:cs="Arial"/>
          <w:sz w:val="18"/>
          <w:szCs w:val="18"/>
        </w:rPr>
        <w:t xml:space="preserve">Všechna ujednání a podmínky v této Smlouvě se budou vztahovat </w:t>
      </w:r>
      <w:r>
        <w:rPr>
          <w:rFonts w:ascii="Arial" w:hAnsi="Arial" w:cs="Arial"/>
          <w:sz w:val="18"/>
          <w:szCs w:val="18"/>
        </w:rPr>
        <w:t xml:space="preserve">na </w:t>
      </w:r>
      <w:r w:rsidRPr="00346F4A">
        <w:rPr>
          <w:rFonts w:ascii="Arial" w:hAnsi="Arial" w:cs="Arial"/>
          <w:sz w:val="18"/>
          <w:szCs w:val="18"/>
        </w:rPr>
        <w:t>právní nástupce Stran a budou je zavazovat, jako by byli v této smlouvě jmenováni a vyjádřeni; a kdekoliv je v této Smlouvě zmínka o některé ze Stran, platí, že zahrnuje a vztahuje se na nástupce takové Strany.</w:t>
      </w:r>
    </w:p>
    <w:p w:rsidR="000D37E4" w:rsidRPr="00F5540F" w:rsidRDefault="000D37E4" w:rsidP="00A60AAF">
      <w:pPr>
        <w:pStyle w:val="Odstavecseseznamem"/>
        <w:numPr>
          <w:ilvl w:val="1"/>
          <w:numId w:val="20"/>
        </w:numPr>
        <w:spacing w:after="0" w:line="312" w:lineRule="auto"/>
        <w:jc w:val="both"/>
        <w:rPr>
          <w:rFonts w:ascii="Arial" w:hAnsi="Arial" w:cs="Arial"/>
          <w:b/>
          <w:sz w:val="18"/>
          <w:szCs w:val="18"/>
        </w:rPr>
      </w:pPr>
      <w:r w:rsidRPr="00765E3F">
        <w:rPr>
          <w:rFonts w:ascii="Arial" w:hAnsi="Arial" w:cs="Arial"/>
          <w:sz w:val="18"/>
          <w:szCs w:val="18"/>
        </w:rPr>
        <w:t>Strany prohlašují, že Smlouva odpovídá jejich pravé a svobodné vůli, že nebyla uzavřena v tísni za nápadně nevýhodných podmínek, že jejímu vyhotovení v českém jazyce zcela rozumějí a na důkaz toho ji podepisují</w:t>
      </w:r>
      <w:r>
        <w:rPr>
          <w:rFonts w:ascii="Arial" w:hAnsi="Arial" w:cs="Arial"/>
          <w:sz w:val="18"/>
          <w:szCs w:val="18"/>
        </w:rPr>
        <w:t>.</w:t>
      </w:r>
    </w:p>
    <w:p w:rsidR="000D37E4" w:rsidRDefault="000D37E4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</w:rPr>
      </w:pPr>
    </w:p>
    <w:p w:rsidR="001E13A4" w:rsidRDefault="001E13A4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</w:rPr>
      </w:pPr>
    </w:p>
    <w:p w:rsidR="001E13A4" w:rsidRDefault="001E13A4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Přílohy:</w:t>
      </w:r>
    </w:p>
    <w:p w:rsidR="001E13A4" w:rsidRDefault="001E13A4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Příloha č. 1 </w:t>
      </w:r>
      <w:r w:rsidR="00BF7CDC">
        <w:rPr>
          <w:rFonts w:ascii="Arial" w:hAnsi="Arial"/>
          <w:sz w:val="18"/>
        </w:rPr>
        <w:t>- S</w:t>
      </w:r>
      <w:r>
        <w:rPr>
          <w:rFonts w:ascii="Arial" w:hAnsi="Arial"/>
          <w:sz w:val="18"/>
        </w:rPr>
        <w:t xml:space="preserve">pecifikace licencí </w:t>
      </w:r>
    </w:p>
    <w:p w:rsidR="002D5562" w:rsidRDefault="002D5562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Příloha č. 2 </w:t>
      </w:r>
      <w:r w:rsidR="00BF7CDC">
        <w:rPr>
          <w:rFonts w:ascii="Arial" w:hAnsi="Arial"/>
          <w:sz w:val="18"/>
        </w:rPr>
        <w:t>- P</w:t>
      </w:r>
      <w:r>
        <w:rPr>
          <w:rFonts w:ascii="Arial" w:hAnsi="Arial"/>
          <w:sz w:val="18"/>
        </w:rPr>
        <w:t xml:space="preserve">oložkový rozpočet </w:t>
      </w:r>
    </w:p>
    <w:p w:rsidR="008D43FD" w:rsidRDefault="008D43FD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</w:rPr>
      </w:pPr>
    </w:p>
    <w:p w:rsidR="008D43FD" w:rsidRDefault="008D43FD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</w:rPr>
      </w:pPr>
    </w:p>
    <w:p w:rsidR="008D43FD" w:rsidRDefault="008D43FD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</w:rPr>
      </w:pPr>
    </w:p>
    <w:p w:rsidR="00CD57AA" w:rsidRDefault="00CD57AA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</w:rPr>
      </w:pPr>
    </w:p>
    <w:p w:rsidR="00511674" w:rsidRDefault="00511674" w:rsidP="00511674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0D37E4">
        <w:rPr>
          <w:rFonts w:ascii="Arial" w:hAnsi="Arial"/>
          <w:sz w:val="18"/>
        </w:rPr>
        <w:t xml:space="preserve">V Praze dne </w:t>
      </w:r>
      <w:r w:rsidR="008D43FD">
        <w:rPr>
          <w:rFonts w:ascii="Arial" w:hAnsi="Arial"/>
          <w:sz w:val="18"/>
        </w:rPr>
        <w:t>…………………</w:t>
      </w:r>
      <w:r>
        <w:rPr>
          <w:rFonts w:ascii="Arial" w:hAnsi="Arial"/>
          <w:sz w:val="18"/>
        </w:rPr>
        <w:tab/>
        <w:t xml:space="preserve">V Praze dne ………………… </w:t>
      </w:r>
    </w:p>
    <w:p w:rsidR="000D37E4" w:rsidRDefault="000D37E4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</w:rPr>
      </w:pPr>
    </w:p>
    <w:p w:rsidR="000D37E4" w:rsidRPr="00B057FC" w:rsidRDefault="000D37E4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</w:rPr>
      </w:pPr>
    </w:p>
    <w:p w:rsidR="000D37E4" w:rsidRPr="00B057FC" w:rsidRDefault="000D37E4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</w:rPr>
      </w:pPr>
      <w:r w:rsidRPr="00B057FC">
        <w:rPr>
          <w:rFonts w:ascii="Arial" w:hAnsi="Arial"/>
          <w:sz w:val="18"/>
        </w:rPr>
        <w:tab/>
        <w:t>…………………………………</w:t>
      </w:r>
      <w:r w:rsidRPr="00B057FC">
        <w:rPr>
          <w:rFonts w:ascii="Arial" w:hAnsi="Arial"/>
          <w:sz w:val="18"/>
        </w:rPr>
        <w:tab/>
        <w:t>…………………………………</w:t>
      </w:r>
    </w:p>
    <w:p w:rsidR="000D37E4" w:rsidRPr="00B057FC" w:rsidRDefault="000D37E4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b/>
          <w:sz w:val="18"/>
          <w:szCs w:val="18"/>
        </w:rPr>
      </w:pPr>
      <w:r w:rsidRPr="00B057FC"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SoftwareONE</w:t>
      </w:r>
      <w:r w:rsidRPr="00B057FC">
        <w:rPr>
          <w:rFonts w:ascii="Arial" w:hAnsi="Arial"/>
          <w:b/>
          <w:sz w:val="18"/>
        </w:rPr>
        <w:tab/>
      </w:r>
      <w:r w:rsidR="00CD57AA">
        <w:rPr>
          <w:rFonts w:ascii="Arial" w:hAnsi="Arial"/>
          <w:b/>
          <w:sz w:val="18"/>
          <w:szCs w:val="18"/>
        </w:rPr>
        <w:t>Národní památkový ústav</w:t>
      </w:r>
    </w:p>
    <w:p w:rsidR="000D37E4" w:rsidRPr="00B057FC" w:rsidRDefault="000D37E4" w:rsidP="76A3954C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  <w:szCs w:val="18"/>
        </w:rPr>
      </w:pPr>
      <w:r w:rsidRPr="00B057FC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Petr Pánek a </w:t>
      </w:r>
      <w:r w:rsidR="00837A22">
        <w:rPr>
          <w:rFonts w:ascii="Arial" w:hAnsi="Arial"/>
          <w:sz w:val="18"/>
          <w:szCs w:val="18"/>
        </w:rPr>
        <w:t>Jan Knyttl</w:t>
      </w:r>
      <w:r>
        <w:rPr>
          <w:rFonts w:ascii="Arial" w:hAnsi="Arial"/>
          <w:sz w:val="18"/>
          <w:szCs w:val="18"/>
        </w:rPr>
        <w:t xml:space="preserve"> </w:t>
      </w:r>
      <w:r w:rsidRPr="00B057FC">
        <w:rPr>
          <w:rFonts w:ascii="Arial" w:hAnsi="Arial"/>
          <w:sz w:val="18"/>
          <w:szCs w:val="18"/>
        </w:rPr>
        <w:tab/>
      </w:r>
      <w:r w:rsidR="00CD57AA">
        <w:rPr>
          <w:rFonts w:ascii="Arial" w:hAnsi="Arial"/>
          <w:sz w:val="18"/>
          <w:szCs w:val="18"/>
        </w:rPr>
        <w:t>Ing. arch. Naděžda Goryczková</w:t>
      </w:r>
      <w:r w:rsidR="00CD57AA" w:rsidRPr="00CD57AA">
        <w:rPr>
          <w:rFonts w:ascii="Arial" w:hAnsi="Arial"/>
          <w:sz w:val="18"/>
          <w:szCs w:val="18"/>
        </w:rPr>
        <w:t xml:space="preserve"> </w:t>
      </w:r>
    </w:p>
    <w:p w:rsidR="000D37E4" w:rsidRPr="00B057FC" w:rsidRDefault="000D37E4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b/>
          <w:i/>
          <w:sz w:val="18"/>
          <w:szCs w:val="18"/>
        </w:rPr>
      </w:pPr>
      <w:r w:rsidRPr="00B057FC"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>prokuristé</w:t>
      </w:r>
      <w:r w:rsidRPr="00B057FC">
        <w:rPr>
          <w:rFonts w:ascii="Arial" w:hAnsi="Arial"/>
          <w:i/>
          <w:sz w:val="18"/>
          <w:szCs w:val="18"/>
        </w:rPr>
        <w:tab/>
      </w:r>
      <w:r w:rsidR="00CD57AA" w:rsidRPr="00CD57AA">
        <w:rPr>
          <w:rFonts w:ascii="Arial" w:hAnsi="Arial"/>
          <w:i/>
          <w:sz w:val="18"/>
          <w:szCs w:val="18"/>
        </w:rPr>
        <w:t>generální ředitelka</w:t>
      </w:r>
    </w:p>
    <w:p w:rsidR="000D37E4" w:rsidRPr="00B057FC" w:rsidRDefault="000D37E4" w:rsidP="00872F65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sz w:val="18"/>
          <w:szCs w:val="18"/>
          <w:lang w:val="en-GB"/>
        </w:rPr>
      </w:pPr>
    </w:p>
    <w:p w:rsidR="00BF7CDC" w:rsidRDefault="00BF7CDC" w:rsidP="00872F65">
      <w:pPr>
        <w:spacing w:after="0" w:line="312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</w:p>
    <w:p w:rsidR="00BF7CDC" w:rsidRDefault="00BF7CD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BF7CDC" w:rsidRPr="00BF7CDC" w:rsidRDefault="00BF7CDC" w:rsidP="00BF7CDC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b/>
          <w:sz w:val="20"/>
        </w:rPr>
      </w:pPr>
      <w:r w:rsidRPr="00BF7CDC">
        <w:rPr>
          <w:rFonts w:ascii="Arial" w:hAnsi="Arial"/>
          <w:b/>
          <w:sz w:val="20"/>
        </w:rPr>
        <w:lastRenderedPageBreak/>
        <w:t xml:space="preserve">Příloha č. 1 - Specifikace licencí </w:t>
      </w:r>
    </w:p>
    <w:p w:rsidR="0048321F" w:rsidRDefault="0048321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F7CDC" w:rsidRDefault="0048321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8321F">
        <w:rPr>
          <w:noProof/>
          <w:lang w:eastAsia="cs-CZ"/>
        </w:rPr>
        <w:drawing>
          <wp:inline distT="0" distB="0" distL="0" distR="0">
            <wp:extent cx="4339883" cy="11887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515" cy="119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CDC">
        <w:rPr>
          <w:rFonts w:ascii="Arial" w:hAnsi="Arial" w:cs="Arial"/>
          <w:b/>
          <w:sz w:val="18"/>
          <w:szCs w:val="18"/>
        </w:rPr>
        <w:br w:type="page"/>
      </w:r>
    </w:p>
    <w:p w:rsidR="00BF7CDC" w:rsidRPr="001860DF" w:rsidRDefault="00BF7CDC" w:rsidP="00BF7CDC">
      <w:pPr>
        <w:keepNext/>
        <w:tabs>
          <w:tab w:val="center" w:pos="2127"/>
          <w:tab w:val="center" w:pos="6379"/>
        </w:tabs>
        <w:spacing w:after="0" w:line="312" w:lineRule="auto"/>
        <w:jc w:val="both"/>
        <w:rPr>
          <w:rFonts w:ascii="Arial" w:hAnsi="Arial"/>
          <w:b/>
          <w:sz w:val="20"/>
        </w:rPr>
      </w:pPr>
      <w:r w:rsidRPr="001860DF">
        <w:rPr>
          <w:rFonts w:ascii="Arial" w:hAnsi="Arial"/>
          <w:b/>
          <w:sz w:val="20"/>
        </w:rPr>
        <w:lastRenderedPageBreak/>
        <w:t xml:space="preserve">Příloha č. </w:t>
      </w:r>
      <w:r>
        <w:rPr>
          <w:rFonts w:ascii="Arial" w:hAnsi="Arial"/>
          <w:b/>
          <w:sz w:val="20"/>
        </w:rPr>
        <w:t>2</w:t>
      </w:r>
      <w:r w:rsidRPr="001860DF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 w:rsidRPr="001860DF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Položkový rozpočet</w:t>
      </w:r>
    </w:p>
    <w:p w:rsidR="000D37E4" w:rsidRPr="00426DB8" w:rsidRDefault="0048321F" w:rsidP="0048321F">
      <w:pPr>
        <w:spacing w:after="0" w:line="312" w:lineRule="auto"/>
        <w:ind w:left="-567"/>
        <w:rPr>
          <w:rFonts w:ascii="Arial" w:hAnsi="Arial" w:cs="Arial"/>
          <w:b/>
          <w:sz w:val="18"/>
          <w:szCs w:val="18"/>
        </w:rPr>
      </w:pPr>
      <w:r w:rsidRPr="00581FAD">
        <w:rPr>
          <w:noProof/>
          <w:lang w:eastAsia="cs-CZ"/>
        </w:rPr>
        <w:drawing>
          <wp:inline distT="0" distB="0" distL="0" distR="0">
            <wp:extent cx="6303397" cy="83058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11145" cy="831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37E4" w:rsidRPr="00426DB8" w:rsidSect="00006C08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4C2" w:rsidRDefault="006A64C2" w:rsidP="001D6EDE">
      <w:pPr>
        <w:spacing w:after="0" w:line="240" w:lineRule="auto"/>
      </w:pPr>
      <w:r>
        <w:separator/>
      </w:r>
    </w:p>
  </w:endnote>
  <w:endnote w:type="continuationSeparator" w:id="1">
    <w:p w:rsidR="006A64C2" w:rsidRDefault="006A64C2" w:rsidP="001D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E4" w:rsidRPr="001D6EDE" w:rsidRDefault="008B4B63">
    <w:pPr>
      <w:pStyle w:val="Zpat"/>
      <w:jc w:val="right"/>
      <w:rPr>
        <w:rFonts w:ascii="Arial" w:hAnsi="Arial" w:cs="Arial"/>
        <w:sz w:val="18"/>
        <w:szCs w:val="18"/>
      </w:rPr>
    </w:pPr>
    <w:r w:rsidRPr="001D6EDE">
      <w:rPr>
        <w:rFonts w:ascii="Arial" w:hAnsi="Arial" w:cs="Arial"/>
        <w:sz w:val="18"/>
        <w:szCs w:val="18"/>
      </w:rPr>
      <w:fldChar w:fldCharType="begin"/>
    </w:r>
    <w:r w:rsidR="000D37E4" w:rsidRPr="001D6EDE">
      <w:rPr>
        <w:rFonts w:ascii="Arial" w:hAnsi="Arial" w:cs="Arial"/>
        <w:sz w:val="18"/>
        <w:szCs w:val="18"/>
      </w:rPr>
      <w:instrText xml:space="preserve"> PAGE   \* MERGEFORMAT </w:instrText>
    </w:r>
    <w:r w:rsidRPr="001D6EDE">
      <w:rPr>
        <w:rFonts w:ascii="Arial" w:hAnsi="Arial" w:cs="Arial"/>
        <w:sz w:val="18"/>
        <w:szCs w:val="18"/>
      </w:rPr>
      <w:fldChar w:fldCharType="separate"/>
    </w:r>
    <w:r w:rsidR="00A60EA3">
      <w:rPr>
        <w:rFonts w:ascii="Arial" w:hAnsi="Arial" w:cs="Arial"/>
        <w:noProof/>
        <w:sz w:val="18"/>
        <w:szCs w:val="18"/>
      </w:rPr>
      <w:t>1</w:t>
    </w:r>
    <w:r w:rsidRPr="001D6EDE">
      <w:rPr>
        <w:rFonts w:ascii="Arial" w:hAnsi="Arial" w:cs="Arial"/>
        <w:sz w:val="18"/>
        <w:szCs w:val="18"/>
      </w:rPr>
      <w:fldChar w:fldCharType="end"/>
    </w:r>
  </w:p>
  <w:p w:rsidR="000D37E4" w:rsidRDefault="000D37E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4C2" w:rsidRDefault="006A64C2" w:rsidP="001D6EDE">
      <w:pPr>
        <w:spacing w:after="0" w:line="240" w:lineRule="auto"/>
      </w:pPr>
      <w:r>
        <w:separator/>
      </w:r>
    </w:p>
  </w:footnote>
  <w:footnote w:type="continuationSeparator" w:id="1">
    <w:p w:rsidR="006A64C2" w:rsidRDefault="006A64C2" w:rsidP="001D6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E4" w:rsidRPr="00B057FC" w:rsidRDefault="000D37E4" w:rsidP="00B057FC">
    <w:pPr>
      <w:pStyle w:val="Zhlav"/>
      <w:jc w:val="right"/>
      <w:rPr>
        <w:rFonts w:ascii="Arial" w:hAnsi="Arial" w:cs="Arial"/>
        <w:i/>
        <w:sz w:val="18"/>
        <w:szCs w:val="18"/>
      </w:rPr>
    </w:pPr>
    <w:r w:rsidRPr="00B057FC">
      <w:rPr>
        <w:rFonts w:ascii="Arial" w:hAnsi="Arial" w:cs="Arial"/>
        <w:i/>
        <w:sz w:val="18"/>
        <w:szCs w:val="18"/>
      </w:rPr>
      <w:t xml:space="preserve">Smlouva o </w:t>
    </w:r>
    <w:r>
      <w:rPr>
        <w:rFonts w:ascii="Arial" w:hAnsi="Arial" w:cs="Arial"/>
        <w:i/>
        <w:sz w:val="18"/>
        <w:szCs w:val="18"/>
      </w:rPr>
      <w:t>dodávce software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68C3B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18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18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A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21504E0"/>
    <w:multiLevelType w:val="hybridMultilevel"/>
    <w:tmpl w:val="7734A8B8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">
    <w:nsid w:val="1D4B74F2"/>
    <w:multiLevelType w:val="hybridMultilevel"/>
    <w:tmpl w:val="7734A8B8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">
    <w:nsid w:val="22D44B0B"/>
    <w:multiLevelType w:val="hybridMultilevel"/>
    <w:tmpl w:val="36B2A3F8"/>
    <w:lvl w:ilvl="0" w:tplc="43FEC19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D3007C"/>
    <w:multiLevelType w:val="hybridMultilevel"/>
    <w:tmpl w:val="65A011B2"/>
    <w:lvl w:ilvl="0" w:tplc="04050017">
      <w:start w:val="1"/>
      <w:numFmt w:val="lowerLetter"/>
      <w:lvlText w:val="%1)"/>
      <w:lvlJc w:val="left"/>
      <w:pPr>
        <w:ind w:left="141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5">
    <w:nsid w:val="3C4440A2"/>
    <w:multiLevelType w:val="hybridMultilevel"/>
    <w:tmpl w:val="9FA036D6"/>
    <w:lvl w:ilvl="0" w:tplc="EDC89A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B3216"/>
    <w:multiLevelType w:val="hybridMultilevel"/>
    <w:tmpl w:val="65A011B2"/>
    <w:lvl w:ilvl="0" w:tplc="04050017">
      <w:start w:val="1"/>
      <w:numFmt w:val="lowerLetter"/>
      <w:lvlText w:val="%1)"/>
      <w:lvlJc w:val="left"/>
      <w:pPr>
        <w:ind w:left="141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7">
    <w:nsid w:val="4B76224C"/>
    <w:multiLevelType w:val="multilevel"/>
    <w:tmpl w:val="5F9086FC"/>
    <w:lvl w:ilvl="0">
      <w:start w:val="1"/>
      <w:numFmt w:val="upperRoman"/>
      <w:lvlText w:val="%1."/>
      <w:lvlJc w:val="center"/>
      <w:pPr>
        <w:ind w:left="454" w:hanging="166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ind w:left="454" w:hanging="454"/>
      </w:pPr>
      <w:rPr>
        <w:b/>
        <w:i w:val="0"/>
        <w:sz w:val="18"/>
      </w:rPr>
    </w:lvl>
    <w:lvl w:ilvl="2">
      <w:start w:val="1"/>
      <w:numFmt w:val="decimal"/>
      <w:isLgl/>
      <w:lvlText w:val="%1.%2.%3"/>
      <w:lvlJc w:val="left"/>
      <w:pPr>
        <w:ind w:left="794" w:hanging="510"/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lowerLetter"/>
      <w:lvlText w:val="%4)"/>
      <w:lvlJc w:val="left"/>
      <w:pPr>
        <w:ind w:left="1021" w:hanging="454"/>
      </w:pPr>
      <w:rPr>
        <w:rFonts w:ascii="Arial" w:hAnsi="Arial" w:cs="Times New Roman" w:hint="default"/>
        <w:b/>
        <w:i w:val="0"/>
        <w:sz w:val="18"/>
      </w:rPr>
    </w:lvl>
    <w:lvl w:ilvl="4">
      <w:start w:val="1"/>
      <w:numFmt w:val="bullet"/>
      <w:lvlText w:val=""/>
      <w:lvlJc w:val="left"/>
      <w:pPr>
        <w:ind w:left="1304" w:hanging="22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041" w:hanging="45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5DDB67EE"/>
    <w:multiLevelType w:val="multilevel"/>
    <w:tmpl w:val="5F9086FC"/>
    <w:lvl w:ilvl="0">
      <w:start w:val="1"/>
      <w:numFmt w:val="upperRoman"/>
      <w:lvlText w:val="%1."/>
      <w:lvlJc w:val="center"/>
      <w:pPr>
        <w:ind w:left="454" w:hanging="166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ind w:left="454" w:hanging="454"/>
      </w:pPr>
      <w:rPr>
        <w:b/>
        <w:i w:val="0"/>
        <w:sz w:val="18"/>
      </w:rPr>
    </w:lvl>
    <w:lvl w:ilvl="2">
      <w:start w:val="1"/>
      <w:numFmt w:val="decimal"/>
      <w:isLgl/>
      <w:lvlText w:val="%1.%2.%3"/>
      <w:lvlJc w:val="left"/>
      <w:pPr>
        <w:ind w:left="794" w:hanging="510"/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lowerLetter"/>
      <w:lvlText w:val="%4)"/>
      <w:lvlJc w:val="left"/>
      <w:pPr>
        <w:ind w:left="1021" w:hanging="454"/>
      </w:pPr>
      <w:rPr>
        <w:rFonts w:ascii="Arial" w:hAnsi="Arial" w:cs="Times New Roman" w:hint="default"/>
        <w:b/>
        <w:i w:val="0"/>
        <w:sz w:val="18"/>
      </w:rPr>
    </w:lvl>
    <w:lvl w:ilvl="4">
      <w:start w:val="1"/>
      <w:numFmt w:val="bullet"/>
      <w:lvlText w:val=""/>
      <w:lvlJc w:val="left"/>
      <w:pPr>
        <w:ind w:left="1304" w:hanging="22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041" w:hanging="45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630C1E0A"/>
    <w:multiLevelType w:val="multilevel"/>
    <w:tmpl w:val="8D52F966"/>
    <w:name w:val="Smlouva22222"/>
    <w:lvl w:ilvl="0">
      <w:start w:val="1"/>
      <w:numFmt w:val="decimal"/>
      <w:pStyle w:val="SmlouvaNadpis1"/>
      <w:suff w:val="space"/>
      <w:lvlText w:val="%1."/>
      <w:lvlJc w:val="left"/>
      <w:pPr>
        <w:ind w:left="851"/>
      </w:pPr>
      <w:rPr>
        <w:rFonts w:cs="Times New Roman" w:hint="default"/>
      </w:rPr>
    </w:lvl>
    <w:lvl w:ilvl="1">
      <w:start w:val="1"/>
      <w:numFmt w:val="decimal"/>
      <w:pStyle w:val="SmlouvaNadpis2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lowerLetter"/>
      <w:pStyle w:val="SmlouvaNadpis3"/>
      <w:lvlText w:val="%3)"/>
      <w:lvlJc w:val="left"/>
      <w:pPr>
        <w:tabs>
          <w:tab w:val="num" w:pos="5039"/>
        </w:tabs>
        <w:ind w:left="467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cs="Times New Roman" w:hint="default"/>
      </w:rPr>
    </w:lvl>
    <w:lvl w:ilvl="6">
      <w:start w:val="1"/>
      <w:numFmt w:val="decimal"/>
      <w:pStyle w:val="Norm"/>
      <w:lvlText w:val="%7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cs="Times New Roman" w:hint="default"/>
      </w:rPr>
    </w:lvl>
  </w:abstractNum>
  <w:abstractNum w:abstractNumId="10">
    <w:nsid w:val="638A6609"/>
    <w:multiLevelType w:val="multilevel"/>
    <w:tmpl w:val="5F9086FC"/>
    <w:lvl w:ilvl="0">
      <w:start w:val="1"/>
      <w:numFmt w:val="upperRoman"/>
      <w:lvlText w:val="%1."/>
      <w:lvlJc w:val="center"/>
      <w:pPr>
        <w:ind w:left="454" w:hanging="166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isLgl/>
      <w:lvlText w:val="%1.%2.%3"/>
      <w:lvlJc w:val="left"/>
      <w:pPr>
        <w:ind w:left="794" w:hanging="510"/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lowerLetter"/>
      <w:lvlText w:val="%4)"/>
      <w:lvlJc w:val="left"/>
      <w:pPr>
        <w:ind w:left="1021" w:hanging="454"/>
      </w:pPr>
      <w:rPr>
        <w:rFonts w:ascii="Arial" w:hAnsi="Arial" w:cs="Times New Roman" w:hint="default"/>
        <w:b/>
        <w:i w:val="0"/>
        <w:sz w:val="18"/>
      </w:rPr>
    </w:lvl>
    <w:lvl w:ilvl="4">
      <w:start w:val="1"/>
      <w:numFmt w:val="bullet"/>
      <w:lvlText w:val=""/>
      <w:lvlJc w:val="left"/>
      <w:pPr>
        <w:ind w:left="1304" w:hanging="22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041" w:hanging="45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64BE27EE"/>
    <w:multiLevelType w:val="multilevel"/>
    <w:tmpl w:val="2AA08A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AC25309"/>
    <w:multiLevelType w:val="hybridMultilevel"/>
    <w:tmpl w:val="80D2732E"/>
    <w:lvl w:ilvl="0" w:tplc="0908BE5E">
      <w:start w:val="1"/>
      <w:numFmt w:val="lowerRoman"/>
      <w:pStyle w:val="mskodrka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402417"/>
    <w:multiLevelType w:val="multilevel"/>
    <w:tmpl w:val="46EAE13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74327239"/>
    <w:multiLevelType w:val="multilevel"/>
    <w:tmpl w:val="1128A112"/>
    <w:lvl w:ilvl="0">
      <w:start w:val="1"/>
      <w:numFmt w:val="upperRoman"/>
      <w:pStyle w:val="Nadpis2"/>
      <w:suff w:val="nothing"/>
      <w:lvlText w:val="Článek %1."/>
      <w:lvlJc w:val="left"/>
      <w:rPr>
        <w:rFonts w:cs="Times New Roman" w:hint="default"/>
      </w:rPr>
    </w:lvl>
    <w:lvl w:ilvl="1">
      <w:start w:val="1"/>
      <w:numFmt w:val="decimal"/>
      <w:pStyle w:val="slovanodstavec"/>
      <w:isLgl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3.1.1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75033EE5"/>
    <w:multiLevelType w:val="multilevel"/>
    <w:tmpl w:val="BB56488E"/>
    <w:lvl w:ilvl="0">
      <w:start w:val="4"/>
      <w:numFmt w:val="upperRoman"/>
      <w:lvlText w:val="%1."/>
      <w:lvlJc w:val="center"/>
      <w:pPr>
        <w:ind w:left="454" w:hanging="166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/>
        <w:i w:val="0"/>
        <w:sz w:val="18"/>
      </w:rPr>
    </w:lvl>
    <w:lvl w:ilvl="2">
      <w:start w:val="1"/>
      <w:numFmt w:val="decimal"/>
      <w:isLgl/>
      <w:lvlText w:val="%1.%2.%3"/>
      <w:lvlJc w:val="left"/>
      <w:pPr>
        <w:ind w:left="794" w:hanging="510"/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lowerLetter"/>
      <w:lvlText w:val="%4)"/>
      <w:lvlJc w:val="left"/>
      <w:pPr>
        <w:ind w:left="1021" w:hanging="454"/>
      </w:pPr>
      <w:rPr>
        <w:rFonts w:ascii="Arial" w:hAnsi="Arial" w:cs="Times New Roman" w:hint="default"/>
        <w:b/>
        <w:i w:val="0"/>
        <w:sz w:val="18"/>
      </w:rPr>
    </w:lvl>
    <w:lvl w:ilvl="4">
      <w:start w:val="1"/>
      <w:numFmt w:val="bullet"/>
      <w:lvlText w:val=""/>
      <w:lvlJc w:val="left"/>
      <w:pPr>
        <w:ind w:left="1304" w:hanging="22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041" w:hanging="45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75337C89"/>
    <w:multiLevelType w:val="multilevel"/>
    <w:tmpl w:val="B31843B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7">
    <w:nsid w:val="7C9705A5"/>
    <w:multiLevelType w:val="multilevel"/>
    <w:tmpl w:val="BB56488E"/>
    <w:lvl w:ilvl="0">
      <w:start w:val="4"/>
      <w:numFmt w:val="upperRoman"/>
      <w:lvlText w:val="%1."/>
      <w:lvlJc w:val="center"/>
      <w:pPr>
        <w:ind w:left="454" w:hanging="166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/>
        <w:i w:val="0"/>
        <w:sz w:val="18"/>
      </w:rPr>
    </w:lvl>
    <w:lvl w:ilvl="2">
      <w:start w:val="1"/>
      <w:numFmt w:val="decimal"/>
      <w:isLgl/>
      <w:lvlText w:val="%1.%2.%3"/>
      <w:lvlJc w:val="left"/>
      <w:pPr>
        <w:ind w:left="794" w:hanging="510"/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lowerLetter"/>
      <w:lvlText w:val="%4)"/>
      <w:lvlJc w:val="left"/>
      <w:pPr>
        <w:ind w:left="1021" w:hanging="454"/>
      </w:pPr>
      <w:rPr>
        <w:rFonts w:ascii="Arial" w:hAnsi="Arial" w:cs="Times New Roman" w:hint="default"/>
        <w:b/>
        <w:i w:val="0"/>
        <w:sz w:val="18"/>
      </w:rPr>
    </w:lvl>
    <w:lvl w:ilvl="4">
      <w:start w:val="1"/>
      <w:numFmt w:val="bullet"/>
      <w:lvlText w:val=""/>
      <w:lvlJc w:val="left"/>
      <w:pPr>
        <w:ind w:left="1304" w:hanging="22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041" w:hanging="45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7DCA0D3C"/>
    <w:multiLevelType w:val="multilevel"/>
    <w:tmpl w:val="B798CA00"/>
    <w:lvl w:ilvl="0">
      <w:start w:val="3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4"/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18"/>
  </w:num>
  <w:num w:numId="10">
    <w:abstractNumId w:val="16"/>
  </w:num>
  <w:num w:numId="11">
    <w:abstractNumId w:val="13"/>
  </w:num>
  <w:num w:numId="12">
    <w:abstractNumId w:val="9"/>
  </w:num>
  <w:num w:numId="13">
    <w:abstractNumId w:val="11"/>
  </w:num>
  <w:num w:numId="14">
    <w:abstractNumId w:val="8"/>
  </w:num>
  <w:num w:numId="15">
    <w:abstractNumId w:val="0"/>
  </w:num>
  <w:num w:numId="16">
    <w:abstractNumId w:val="10"/>
  </w:num>
  <w:num w:numId="17">
    <w:abstractNumId w:val="7"/>
  </w:num>
  <w:num w:numId="18">
    <w:abstractNumId w:val="15"/>
  </w:num>
  <w:num w:numId="19">
    <w:abstractNumId w:val="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E0B"/>
    <w:rsid w:val="000048C5"/>
    <w:rsid w:val="00006C08"/>
    <w:rsid w:val="00020296"/>
    <w:rsid w:val="00026E43"/>
    <w:rsid w:val="00027AD9"/>
    <w:rsid w:val="000332EB"/>
    <w:rsid w:val="0008796C"/>
    <w:rsid w:val="00096EDE"/>
    <w:rsid w:val="000972C0"/>
    <w:rsid w:val="000A40F6"/>
    <w:rsid w:val="000A4266"/>
    <w:rsid w:val="000B4C85"/>
    <w:rsid w:val="000B70E4"/>
    <w:rsid w:val="000C526A"/>
    <w:rsid w:val="000D37E4"/>
    <w:rsid w:val="000E0EFD"/>
    <w:rsid w:val="00115CB8"/>
    <w:rsid w:val="00130BDA"/>
    <w:rsid w:val="00135465"/>
    <w:rsid w:val="00137C52"/>
    <w:rsid w:val="001530C7"/>
    <w:rsid w:val="00163EBF"/>
    <w:rsid w:val="00180281"/>
    <w:rsid w:val="00180E44"/>
    <w:rsid w:val="001B65BE"/>
    <w:rsid w:val="001C3DD4"/>
    <w:rsid w:val="001D6EDE"/>
    <w:rsid w:val="001D7E9E"/>
    <w:rsid w:val="001E13A4"/>
    <w:rsid w:val="001F2F63"/>
    <w:rsid w:val="001F6AD4"/>
    <w:rsid w:val="002154C1"/>
    <w:rsid w:val="00217BB9"/>
    <w:rsid w:val="00226406"/>
    <w:rsid w:val="00231B86"/>
    <w:rsid w:val="002365DC"/>
    <w:rsid w:val="00242690"/>
    <w:rsid w:val="00250DCB"/>
    <w:rsid w:val="002546F8"/>
    <w:rsid w:val="00272FF6"/>
    <w:rsid w:val="0028635D"/>
    <w:rsid w:val="002B3471"/>
    <w:rsid w:val="002C0365"/>
    <w:rsid w:val="002D0CA0"/>
    <w:rsid w:val="002D5562"/>
    <w:rsid w:val="002E4CE4"/>
    <w:rsid w:val="002E704A"/>
    <w:rsid w:val="002F4759"/>
    <w:rsid w:val="00346F4A"/>
    <w:rsid w:val="00366145"/>
    <w:rsid w:val="00386E49"/>
    <w:rsid w:val="00387197"/>
    <w:rsid w:val="003A2295"/>
    <w:rsid w:val="003A6697"/>
    <w:rsid w:val="003B7CE5"/>
    <w:rsid w:val="003C0AAF"/>
    <w:rsid w:val="003E0260"/>
    <w:rsid w:val="003E5727"/>
    <w:rsid w:val="003F7D75"/>
    <w:rsid w:val="00404A02"/>
    <w:rsid w:val="00426DB8"/>
    <w:rsid w:val="00441186"/>
    <w:rsid w:val="00442C01"/>
    <w:rsid w:val="00444F2E"/>
    <w:rsid w:val="004521D5"/>
    <w:rsid w:val="00463D87"/>
    <w:rsid w:val="004727CA"/>
    <w:rsid w:val="0048321F"/>
    <w:rsid w:val="00484E80"/>
    <w:rsid w:val="004A3AEE"/>
    <w:rsid w:val="004C0B60"/>
    <w:rsid w:val="004D04E5"/>
    <w:rsid w:val="004E4041"/>
    <w:rsid w:val="004F610A"/>
    <w:rsid w:val="005033B6"/>
    <w:rsid w:val="005037D9"/>
    <w:rsid w:val="00511674"/>
    <w:rsid w:val="00516DF2"/>
    <w:rsid w:val="0052559E"/>
    <w:rsid w:val="005730A2"/>
    <w:rsid w:val="00583C11"/>
    <w:rsid w:val="00590CC5"/>
    <w:rsid w:val="00590D7D"/>
    <w:rsid w:val="00595C36"/>
    <w:rsid w:val="00595FF6"/>
    <w:rsid w:val="005B47AA"/>
    <w:rsid w:val="005F0844"/>
    <w:rsid w:val="00601022"/>
    <w:rsid w:val="006101FD"/>
    <w:rsid w:val="00611953"/>
    <w:rsid w:val="0062584A"/>
    <w:rsid w:val="006313D5"/>
    <w:rsid w:val="00634797"/>
    <w:rsid w:val="00634FC2"/>
    <w:rsid w:val="00635765"/>
    <w:rsid w:val="006479CD"/>
    <w:rsid w:val="00664402"/>
    <w:rsid w:val="00676227"/>
    <w:rsid w:val="006A50B3"/>
    <w:rsid w:val="006A64C2"/>
    <w:rsid w:val="006B4D23"/>
    <w:rsid w:val="006F0BFA"/>
    <w:rsid w:val="006F474E"/>
    <w:rsid w:val="006F73E2"/>
    <w:rsid w:val="006F792B"/>
    <w:rsid w:val="00703969"/>
    <w:rsid w:val="00711D8B"/>
    <w:rsid w:val="00714D4C"/>
    <w:rsid w:val="00722E1E"/>
    <w:rsid w:val="00723ACB"/>
    <w:rsid w:val="00724588"/>
    <w:rsid w:val="007278F9"/>
    <w:rsid w:val="00747586"/>
    <w:rsid w:val="007568DF"/>
    <w:rsid w:val="00756B9A"/>
    <w:rsid w:val="00762E4E"/>
    <w:rsid w:val="00765E3F"/>
    <w:rsid w:val="00767933"/>
    <w:rsid w:val="00771458"/>
    <w:rsid w:val="00772F8C"/>
    <w:rsid w:val="00773698"/>
    <w:rsid w:val="00774E44"/>
    <w:rsid w:val="007760DA"/>
    <w:rsid w:val="007C1C91"/>
    <w:rsid w:val="007D15FA"/>
    <w:rsid w:val="007F4BEA"/>
    <w:rsid w:val="007F6122"/>
    <w:rsid w:val="00804968"/>
    <w:rsid w:val="00807A5B"/>
    <w:rsid w:val="008102C0"/>
    <w:rsid w:val="008155D3"/>
    <w:rsid w:val="008248D7"/>
    <w:rsid w:val="008351A7"/>
    <w:rsid w:val="00837A22"/>
    <w:rsid w:val="00872F65"/>
    <w:rsid w:val="0087686D"/>
    <w:rsid w:val="00876CB6"/>
    <w:rsid w:val="008A7820"/>
    <w:rsid w:val="008B0FDE"/>
    <w:rsid w:val="008B1CD7"/>
    <w:rsid w:val="008B421A"/>
    <w:rsid w:val="008B4B63"/>
    <w:rsid w:val="008B7197"/>
    <w:rsid w:val="008D43FD"/>
    <w:rsid w:val="008F1DD0"/>
    <w:rsid w:val="0092022A"/>
    <w:rsid w:val="0092640A"/>
    <w:rsid w:val="00927A7B"/>
    <w:rsid w:val="00942DB8"/>
    <w:rsid w:val="00942E1A"/>
    <w:rsid w:val="0094407E"/>
    <w:rsid w:val="009574D2"/>
    <w:rsid w:val="0096549A"/>
    <w:rsid w:val="00977B7E"/>
    <w:rsid w:val="00983477"/>
    <w:rsid w:val="00992C4C"/>
    <w:rsid w:val="009A5BBC"/>
    <w:rsid w:val="009C7B6A"/>
    <w:rsid w:val="009D5195"/>
    <w:rsid w:val="009D6CF5"/>
    <w:rsid w:val="009E43D3"/>
    <w:rsid w:val="009E79FD"/>
    <w:rsid w:val="009F2E88"/>
    <w:rsid w:val="009F3086"/>
    <w:rsid w:val="009F50B8"/>
    <w:rsid w:val="00A12E3D"/>
    <w:rsid w:val="00A430AB"/>
    <w:rsid w:val="00A52D25"/>
    <w:rsid w:val="00A60AAF"/>
    <w:rsid w:val="00A60EA3"/>
    <w:rsid w:val="00A61EAF"/>
    <w:rsid w:val="00AB1805"/>
    <w:rsid w:val="00AC6EB3"/>
    <w:rsid w:val="00AD77A5"/>
    <w:rsid w:val="00AE17C8"/>
    <w:rsid w:val="00AF7B66"/>
    <w:rsid w:val="00B051E3"/>
    <w:rsid w:val="00B057FC"/>
    <w:rsid w:val="00B347B4"/>
    <w:rsid w:val="00B351E7"/>
    <w:rsid w:val="00B40D3B"/>
    <w:rsid w:val="00B60A68"/>
    <w:rsid w:val="00B84A0A"/>
    <w:rsid w:val="00B90F62"/>
    <w:rsid w:val="00BA1158"/>
    <w:rsid w:val="00BB3682"/>
    <w:rsid w:val="00BC012A"/>
    <w:rsid w:val="00BC1A44"/>
    <w:rsid w:val="00BD6235"/>
    <w:rsid w:val="00BD7462"/>
    <w:rsid w:val="00BE3B31"/>
    <w:rsid w:val="00BF44F9"/>
    <w:rsid w:val="00BF6A0B"/>
    <w:rsid w:val="00BF7CDC"/>
    <w:rsid w:val="00C2252E"/>
    <w:rsid w:val="00C25675"/>
    <w:rsid w:val="00C25D1E"/>
    <w:rsid w:val="00C2638D"/>
    <w:rsid w:val="00C332E7"/>
    <w:rsid w:val="00C45D3F"/>
    <w:rsid w:val="00C52E0B"/>
    <w:rsid w:val="00C564B7"/>
    <w:rsid w:val="00C6013D"/>
    <w:rsid w:val="00C71F90"/>
    <w:rsid w:val="00C837B5"/>
    <w:rsid w:val="00C91129"/>
    <w:rsid w:val="00C94CB1"/>
    <w:rsid w:val="00C95466"/>
    <w:rsid w:val="00CA0691"/>
    <w:rsid w:val="00CA21AA"/>
    <w:rsid w:val="00CA58A5"/>
    <w:rsid w:val="00CA59BC"/>
    <w:rsid w:val="00CA76CA"/>
    <w:rsid w:val="00CB1E12"/>
    <w:rsid w:val="00CB576F"/>
    <w:rsid w:val="00CC13B0"/>
    <w:rsid w:val="00CD57AA"/>
    <w:rsid w:val="00CE0311"/>
    <w:rsid w:val="00CF3C3E"/>
    <w:rsid w:val="00CF5467"/>
    <w:rsid w:val="00D255F4"/>
    <w:rsid w:val="00D258DE"/>
    <w:rsid w:val="00D611D6"/>
    <w:rsid w:val="00D74638"/>
    <w:rsid w:val="00D761C1"/>
    <w:rsid w:val="00D85AB6"/>
    <w:rsid w:val="00D9562A"/>
    <w:rsid w:val="00D96210"/>
    <w:rsid w:val="00DA2B13"/>
    <w:rsid w:val="00DB2DFA"/>
    <w:rsid w:val="00DD2AD6"/>
    <w:rsid w:val="00DD37E7"/>
    <w:rsid w:val="00DD4175"/>
    <w:rsid w:val="00DD46E5"/>
    <w:rsid w:val="00DE7484"/>
    <w:rsid w:val="00DF1507"/>
    <w:rsid w:val="00DF1EDC"/>
    <w:rsid w:val="00E17459"/>
    <w:rsid w:val="00E35D35"/>
    <w:rsid w:val="00E539B8"/>
    <w:rsid w:val="00E562B7"/>
    <w:rsid w:val="00E60B93"/>
    <w:rsid w:val="00E930B1"/>
    <w:rsid w:val="00EB6402"/>
    <w:rsid w:val="00EC4124"/>
    <w:rsid w:val="00ED0073"/>
    <w:rsid w:val="00EE3C37"/>
    <w:rsid w:val="00EE506B"/>
    <w:rsid w:val="00EF2722"/>
    <w:rsid w:val="00EF7C3F"/>
    <w:rsid w:val="00F05538"/>
    <w:rsid w:val="00F15864"/>
    <w:rsid w:val="00F32276"/>
    <w:rsid w:val="00F379C2"/>
    <w:rsid w:val="00F413A6"/>
    <w:rsid w:val="00F5540F"/>
    <w:rsid w:val="00F94B0B"/>
    <w:rsid w:val="00F95945"/>
    <w:rsid w:val="00FA1B19"/>
    <w:rsid w:val="00FB5D6F"/>
    <w:rsid w:val="00FF1395"/>
    <w:rsid w:val="00FF1CBB"/>
    <w:rsid w:val="76A39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C08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slovanodstavec"/>
    <w:link w:val="Nadpis2Char"/>
    <w:uiPriority w:val="99"/>
    <w:qFormat/>
    <w:rsid w:val="00250DCB"/>
    <w:pPr>
      <w:keepNext/>
      <w:numPr>
        <w:numId w:val="6"/>
      </w:numPr>
      <w:spacing w:before="480" w:after="240" w:line="336" w:lineRule="auto"/>
      <w:jc w:val="center"/>
      <w:outlineLvl w:val="1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250DCB"/>
    <w:rPr>
      <w:rFonts w:ascii="Arial" w:hAnsi="Arial" w:cs="Times New Roman"/>
      <w:b/>
      <w:sz w:val="2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1D6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1D6EDE"/>
    <w:rPr>
      <w:rFonts w:cs="Times New Roman"/>
      <w:sz w:val="22"/>
      <w:lang w:eastAsia="en-US"/>
    </w:rPr>
  </w:style>
  <w:style w:type="paragraph" w:styleId="Zpat">
    <w:name w:val="footer"/>
    <w:basedOn w:val="Normln"/>
    <w:link w:val="ZpatChar"/>
    <w:uiPriority w:val="99"/>
    <w:rsid w:val="001D6E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D6EDE"/>
    <w:rPr>
      <w:rFonts w:cs="Times New Roman"/>
      <w:sz w:val="22"/>
      <w:lang w:eastAsia="en-US"/>
    </w:rPr>
  </w:style>
  <w:style w:type="paragraph" w:customStyle="1" w:styleId="slovanodstavec">
    <w:name w:val="Číslovaný odstavec"/>
    <w:basedOn w:val="Normln"/>
    <w:uiPriority w:val="99"/>
    <w:rsid w:val="00250DCB"/>
    <w:pPr>
      <w:numPr>
        <w:ilvl w:val="1"/>
        <w:numId w:val="6"/>
      </w:numPr>
      <w:spacing w:before="240" w:after="240" w:line="336" w:lineRule="auto"/>
      <w:jc w:val="both"/>
    </w:pPr>
    <w:rPr>
      <w:rFonts w:ascii="Arial" w:hAnsi="Arial"/>
      <w:sz w:val="18"/>
    </w:rPr>
  </w:style>
  <w:style w:type="paragraph" w:customStyle="1" w:styleId="mskodrka">
    <w:name w:val="Římská odrážka"/>
    <w:basedOn w:val="Normln"/>
    <w:uiPriority w:val="99"/>
    <w:rsid w:val="00250DCB"/>
    <w:pPr>
      <w:numPr>
        <w:numId w:val="7"/>
      </w:numPr>
      <w:spacing w:before="240" w:after="240" w:line="336" w:lineRule="auto"/>
      <w:ind w:left="1134" w:hanging="567"/>
      <w:jc w:val="both"/>
    </w:pPr>
    <w:rPr>
      <w:rFonts w:ascii="Arial" w:hAnsi="Arial"/>
      <w:sz w:val="18"/>
    </w:rPr>
  </w:style>
  <w:style w:type="paragraph" w:customStyle="1" w:styleId="Norm">
    <w:name w:val="Norm#"/>
    <w:basedOn w:val="Normln"/>
    <w:uiPriority w:val="99"/>
    <w:rsid w:val="00D85AB6"/>
    <w:pPr>
      <w:numPr>
        <w:ilvl w:val="6"/>
        <w:numId w:val="12"/>
      </w:numPr>
      <w:tabs>
        <w:tab w:val="left" w:pos="1276"/>
        <w:tab w:val="left" w:leader="dot" w:pos="7371"/>
      </w:tabs>
      <w:spacing w:after="120" w:line="240" w:lineRule="auto"/>
    </w:pPr>
    <w:rPr>
      <w:rFonts w:ascii="Tahoma" w:eastAsia="Times New Roman" w:hAnsi="Tahoma" w:cs="Tahoma"/>
      <w:sz w:val="24"/>
      <w:szCs w:val="20"/>
    </w:rPr>
  </w:style>
  <w:style w:type="paragraph" w:customStyle="1" w:styleId="SmlouvaNadpis1">
    <w:name w:val="SmlouvaNadpis1"/>
    <w:basedOn w:val="Normln"/>
    <w:next w:val="SmlouvaNadpis2"/>
    <w:uiPriority w:val="99"/>
    <w:rsid w:val="00D85AB6"/>
    <w:pPr>
      <w:keepNext/>
      <w:numPr>
        <w:numId w:val="12"/>
      </w:numPr>
      <w:spacing w:before="480" w:after="240" w:line="240" w:lineRule="auto"/>
    </w:pPr>
    <w:rPr>
      <w:rFonts w:ascii="Tahoma" w:eastAsia="Times New Roman" w:hAnsi="Tahoma" w:cs="Tahoma"/>
      <w:b/>
      <w:bCs/>
      <w:caps/>
      <w:sz w:val="28"/>
      <w:szCs w:val="20"/>
    </w:rPr>
  </w:style>
  <w:style w:type="paragraph" w:customStyle="1" w:styleId="SmlouvaNadpis2">
    <w:name w:val="SmlouvaNadpis2"/>
    <w:basedOn w:val="SmlouvaNadpis1"/>
    <w:uiPriority w:val="99"/>
    <w:rsid w:val="00D85AB6"/>
    <w:pPr>
      <w:keepNext w:val="0"/>
      <w:numPr>
        <w:ilvl w:val="1"/>
      </w:numPr>
      <w:spacing w:before="120" w:after="120"/>
      <w:ind w:left="0"/>
    </w:pPr>
    <w:rPr>
      <w:b w:val="0"/>
      <w:bCs w:val="0"/>
      <w:caps w:val="0"/>
      <w:sz w:val="24"/>
    </w:rPr>
  </w:style>
  <w:style w:type="paragraph" w:customStyle="1" w:styleId="SmlouvaNadpis3">
    <w:name w:val="SmlouvaNadpis3"/>
    <w:basedOn w:val="SmlouvaNadpis2"/>
    <w:uiPriority w:val="99"/>
    <w:rsid w:val="00D85AB6"/>
    <w:pPr>
      <w:numPr>
        <w:ilvl w:val="2"/>
      </w:numPr>
      <w:tabs>
        <w:tab w:val="left" w:leader="dot" w:pos="6804"/>
      </w:tabs>
    </w:pPr>
  </w:style>
  <w:style w:type="paragraph" w:styleId="Textbubliny">
    <w:name w:val="Balloon Text"/>
    <w:basedOn w:val="Normln"/>
    <w:link w:val="TextbublinyChar"/>
    <w:uiPriority w:val="99"/>
    <w:semiHidden/>
    <w:rsid w:val="00C45D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45D3F"/>
    <w:rPr>
      <w:rFonts w:ascii="Tahoma" w:hAnsi="Tahoma" w:cs="Times New Roman"/>
      <w:sz w:val="16"/>
      <w:lang w:eastAsia="en-US"/>
    </w:rPr>
  </w:style>
  <w:style w:type="paragraph" w:styleId="Odstavecseseznamem">
    <w:name w:val="List Paragraph"/>
    <w:basedOn w:val="Normln"/>
    <w:uiPriority w:val="99"/>
    <w:qFormat/>
    <w:rsid w:val="003B7CE5"/>
    <w:pPr>
      <w:ind w:left="720"/>
      <w:contextualSpacing/>
    </w:pPr>
  </w:style>
  <w:style w:type="paragraph" w:customStyle="1" w:styleId="ListParagraph1">
    <w:name w:val="List Paragraph1"/>
    <w:uiPriority w:val="99"/>
    <w:rsid w:val="00E539B8"/>
    <w:pPr>
      <w:widowControl w:val="0"/>
      <w:suppressAutoHyphens/>
      <w:ind w:left="720"/>
    </w:pPr>
    <w:rPr>
      <w:rFonts w:ascii="Times New Roman" w:eastAsia="Times New Roman" w:hAnsi="Times New Roman"/>
      <w:kern w:val="1"/>
      <w:lang w:eastAsia="ar-SA"/>
    </w:rPr>
  </w:style>
  <w:style w:type="character" w:styleId="Odkaznakoment">
    <w:name w:val="annotation reference"/>
    <w:uiPriority w:val="99"/>
    <w:semiHidden/>
    <w:rsid w:val="00442C0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42C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42C01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2C0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42C01"/>
    <w:rPr>
      <w:rFonts w:cs="Times New Roman"/>
      <w:b/>
      <w:bCs/>
      <w:lang w:eastAsia="en-US"/>
    </w:rPr>
  </w:style>
  <w:style w:type="paragraph" w:styleId="Revize">
    <w:name w:val="Revision"/>
    <w:hidden/>
    <w:uiPriority w:val="99"/>
    <w:semiHidden/>
    <w:rsid w:val="00442C01"/>
    <w:rPr>
      <w:sz w:val="22"/>
      <w:szCs w:val="22"/>
      <w:lang w:eastAsia="en-US"/>
    </w:rPr>
  </w:style>
  <w:style w:type="character" w:styleId="Hypertextovodkaz">
    <w:name w:val="Hyperlink"/>
    <w:uiPriority w:val="99"/>
    <w:rsid w:val="00130BDA"/>
    <w:rPr>
      <w:rFonts w:cs="Times New Roman"/>
      <w:color w:val="0563C1"/>
      <w:u w:val="single"/>
    </w:rPr>
  </w:style>
  <w:style w:type="character" w:customStyle="1" w:styleId="Zkladntext">
    <w:name w:val="Základní text_"/>
    <w:basedOn w:val="Standardnpsmoodstavce"/>
    <w:link w:val="Zkladntext2"/>
    <w:rsid w:val="001E13A4"/>
    <w:rPr>
      <w:rFonts w:cs="Calibri"/>
      <w:b/>
      <w:bCs/>
      <w:shd w:val="clear" w:color="auto" w:fill="FFFFFF"/>
    </w:rPr>
  </w:style>
  <w:style w:type="character" w:customStyle="1" w:styleId="Zkladntext20">
    <w:name w:val="Základní text (2)_"/>
    <w:basedOn w:val="Standardnpsmoodstavce"/>
    <w:link w:val="Zkladntext21"/>
    <w:rsid w:val="001E13A4"/>
    <w:rPr>
      <w:rFonts w:ascii="Franklin Gothic Heavy" w:eastAsia="Franklin Gothic Heavy" w:hAnsi="Franklin Gothic Heavy" w:cs="Franklin Gothic Heavy"/>
      <w:b/>
      <w:bCs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1E13A4"/>
    <w:pPr>
      <w:widowControl w:val="0"/>
      <w:shd w:val="clear" w:color="auto" w:fill="FFFFFF"/>
      <w:spacing w:before="120" w:after="0" w:line="298" w:lineRule="exact"/>
      <w:ind w:hanging="560"/>
      <w:jc w:val="both"/>
    </w:pPr>
    <w:rPr>
      <w:rFonts w:cs="Calibri"/>
      <w:b/>
      <w:bCs/>
      <w:sz w:val="20"/>
      <w:szCs w:val="20"/>
      <w:lang w:eastAsia="cs-CZ"/>
    </w:rPr>
  </w:style>
  <w:style w:type="paragraph" w:customStyle="1" w:styleId="Zkladntext21">
    <w:name w:val="Základní text (2)"/>
    <w:basedOn w:val="Normln"/>
    <w:link w:val="Zkladntext20"/>
    <w:rsid w:val="001E13A4"/>
    <w:pPr>
      <w:widowControl w:val="0"/>
      <w:shd w:val="clear" w:color="auto" w:fill="FFFFFF"/>
      <w:spacing w:before="420" w:after="24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D55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3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3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oftwareon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ftwareone.com/cs-cz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np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F92A4C44894428E0143EFA60181E6" ma:contentTypeVersion="11" ma:contentTypeDescription="Create a new document." ma:contentTypeScope="" ma:versionID="2c324c4938a0b288cb9adb37f04ff0bd">
  <xsd:schema xmlns:xsd="http://www.w3.org/2001/XMLSchema" xmlns:xs="http://www.w3.org/2001/XMLSchema" xmlns:p="http://schemas.microsoft.com/office/2006/metadata/properties" xmlns:ns3="7f0150ba-8754-493f-ae0b-6920efe4d37c" xmlns:ns4="809303a2-5964-4ba8-879f-94440248c706" targetNamespace="http://schemas.microsoft.com/office/2006/metadata/properties" ma:root="true" ma:fieldsID="0115a09bc432a1d86a7dcd2503503462" ns3:_="" ns4:_="">
    <xsd:import namespace="7f0150ba-8754-493f-ae0b-6920efe4d37c"/>
    <xsd:import namespace="809303a2-5964-4ba8-879f-94440248c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150ba-8754-493f-ae0b-6920efe4d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303a2-5964-4ba8-879f-94440248c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66A2DC-58A0-44E8-8628-EAA3EFD07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150ba-8754-493f-ae0b-6920efe4d37c"/>
    <ds:schemaRef ds:uri="809303a2-5964-4ba8-879f-94440248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BA353-A44B-4B5A-BF68-471C5A8D3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A0092-1CE8-491C-A187-C2291F3BC0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1775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Dále uvedeného dne, měsíce a roku byla uzavřena tato</vt:lpstr>
    </vt:vector>
  </TitlesOfParts>
  <Company>..</Company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Dále uvedeného dne, měsíce a roku byla uzavřena tato</dc:title>
  <dc:creator>..</dc:creator>
  <cp:lastModifiedBy>Bečvář Ladislav</cp:lastModifiedBy>
  <cp:revision>4</cp:revision>
  <cp:lastPrinted>2020-07-21T06:29:00Z</cp:lastPrinted>
  <dcterms:created xsi:type="dcterms:W3CDTF">2020-07-21T06:26:00Z</dcterms:created>
  <dcterms:modified xsi:type="dcterms:W3CDTF">2020-07-21T07:00:00Z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HUR3NT66Y62E-412-282</vt:lpwstr>
  </property>
  <property fmtid="{D5CDD505-2E9C-101B-9397-08002B2CF9AE}" pid="3" name="_dlc_DocIdItemGuid">
    <vt:lpwstr>258e4596-11e7-48b6-b590-5cb64d1b932c</vt:lpwstr>
  </property>
  <property fmtid="{D5CDD505-2E9C-101B-9397-08002B2CF9AE}" pid="4" name="_dlc_DocIdUrl">
    <vt:lpwstr>http://intranet.domain.global/subsidiaries/emea/CzechRepublic/_layouts/DocIdRedir.aspx?ID=HUR3NT66Y62E-412-282, HUR3NT66Y62E-412-282</vt:lpwstr>
  </property>
  <property fmtid="{D5CDD505-2E9C-101B-9397-08002B2CF9AE}" pid="5" name="display_urn:schemas-microsoft-com:office:office#Editor">
    <vt:lpwstr>Lukes, Dalibor</vt:lpwstr>
  </property>
  <property fmtid="{D5CDD505-2E9C-101B-9397-08002B2CF9AE}" pid="6" name="display_urn:schemas-microsoft-com:office:office#Author">
    <vt:lpwstr>Novak, Pavel</vt:lpwstr>
  </property>
  <property fmtid="{D5CDD505-2E9C-101B-9397-08002B2CF9AE}" pid="7" name="ContentTypeId">
    <vt:lpwstr>0x010100CDAF92A4C44894428E0143EFA60181E6</vt:lpwstr>
  </property>
  <property fmtid="{D5CDD505-2E9C-101B-9397-08002B2CF9AE}" pid="8" name="MP_InheritedTags">
    <vt:lpwstr>((so407)(so2139)(so45)(so42)(so3))((so12)(so5)(so2))((so19)(so8)(so2))((so27)(so6)(so2))((so33)(so7)(so2))((so2040)(so834)(so1))((so356)(so349)(so44)(so42)(so3))((so2102)(so349)(so44)(so42)(so3))((so2207)(so57)(so37)(so1))((so38)(so36)(so1))</vt:lpwstr>
  </property>
  <property fmtid="{D5CDD505-2E9C-101B-9397-08002B2CF9AE}" pid="9" name="MP_UserTags">
    <vt:lpwstr>((so2711)(so10)(so2))</vt:lpwstr>
  </property>
</Properties>
</file>