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C97FB5" w:rsidRDefault="004243BC" w:rsidP="000B0AA7">
      <w:pPr>
        <w:pStyle w:val="StylDoprava"/>
        <w:rPr>
          <w:rFonts w:cs="Arial"/>
          <w:sz w:val="22"/>
          <w:szCs w:val="22"/>
        </w:rPr>
      </w:pPr>
      <w:r w:rsidRPr="00C97FB5">
        <w:rPr>
          <w:rFonts w:cs="Arial"/>
          <w:sz w:val="22"/>
          <w:szCs w:val="22"/>
        </w:rPr>
        <w:t xml:space="preserve">Č.j. SPÚ </w:t>
      </w:r>
      <w:r w:rsidR="00BB01DC" w:rsidRPr="00BB01DC">
        <w:rPr>
          <w:rFonts w:cs="Arial"/>
          <w:sz w:val="22"/>
          <w:szCs w:val="22"/>
        </w:rPr>
        <w:t>239150/2020/Vaš</w:t>
      </w:r>
    </w:p>
    <w:p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Petr Lázňovský, ředitel Krajského pozemkového úřadu pro Královéhradecký kraj</w:t>
      </w:r>
    </w:p>
    <w:p w:rsidR="00FB6E4E" w:rsidRPr="00C97FB5" w:rsidRDefault="00BC17A6" w:rsidP="000B0AA7">
      <w:pPr>
        <w:pStyle w:val="VnitrniText"/>
        <w:ind w:firstLine="0"/>
        <w:rPr>
          <w:sz w:val="22"/>
          <w:szCs w:val="22"/>
        </w:rPr>
      </w:pPr>
      <w:r w:rsidRPr="00C97FB5">
        <w:rPr>
          <w:sz w:val="22"/>
          <w:szCs w:val="22"/>
        </w:rPr>
        <w:t>adresa Kydlinovská 245, 50301 Hradec Králové</w:t>
      </w:r>
    </w:p>
    <w:p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r w:rsidRPr="00C97FB5">
        <w:rPr>
          <w:sz w:val="22"/>
          <w:szCs w:val="22"/>
        </w:rPr>
        <w:t>a</w:t>
      </w:r>
    </w:p>
    <w:p w:rsidR="00BC17A6" w:rsidRPr="00C97FB5" w:rsidRDefault="00BC17A6" w:rsidP="000B0AA7">
      <w:pPr>
        <w:pStyle w:val="VnitrniText"/>
        <w:ind w:firstLine="0"/>
        <w:rPr>
          <w:sz w:val="22"/>
          <w:szCs w:val="22"/>
        </w:rPr>
      </w:pPr>
    </w:p>
    <w:p w:rsidR="00BC17A6" w:rsidRPr="00C97FB5" w:rsidRDefault="00BC17A6" w:rsidP="000B0AA7">
      <w:pPr>
        <w:pStyle w:val="VnitrniText"/>
        <w:ind w:firstLine="0"/>
        <w:rPr>
          <w:sz w:val="22"/>
          <w:szCs w:val="22"/>
        </w:rPr>
      </w:pPr>
      <w:r w:rsidRPr="00C97FB5">
        <w:rPr>
          <w:b/>
          <w:sz w:val="22"/>
          <w:szCs w:val="22"/>
        </w:rPr>
        <w:t>OBEC LIBERK</w:t>
      </w:r>
    </w:p>
    <w:p w:rsidR="00BC17A6" w:rsidRPr="00C97FB5" w:rsidRDefault="00BC17A6" w:rsidP="000B0AA7">
      <w:pPr>
        <w:pStyle w:val="VnitrniText"/>
        <w:ind w:firstLine="0"/>
        <w:rPr>
          <w:sz w:val="22"/>
          <w:szCs w:val="22"/>
        </w:rPr>
      </w:pPr>
      <w:r w:rsidRPr="00C97FB5">
        <w:rPr>
          <w:sz w:val="22"/>
          <w:szCs w:val="22"/>
        </w:rPr>
        <w:t>se sídlem Liberk 70, Liberk, PSČ 51712</w:t>
      </w:r>
    </w:p>
    <w:p w:rsidR="00BC17A6" w:rsidRDefault="00BC17A6" w:rsidP="000B0AA7">
      <w:pPr>
        <w:pStyle w:val="VnitrniText"/>
        <w:ind w:firstLine="0"/>
        <w:rPr>
          <w:sz w:val="22"/>
          <w:szCs w:val="22"/>
        </w:rPr>
      </w:pPr>
      <w:r w:rsidRPr="00C97FB5">
        <w:rPr>
          <w:sz w:val="22"/>
          <w:szCs w:val="22"/>
        </w:rPr>
        <w:t>IČO: 00275051</w:t>
      </w:r>
    </w:p>
    <w:p w:rsidR="00BB01DC" w:rsidRPr="00C97FB5" w:rsidRDefault="00BB01DC" w:rsidP="000B0AA7">
      <w:pPr>
        <w:pStyle w:val="VnitrniText"/>
        <w:ind w:firstLine="0"/>
        <w:rPr>
          <w:sz w:val="22"/>
          <w:szCs w:val="22"/>
        </w:rPr>
      </w:pPr>
      <w:r>
        <w:rPr>
          <w:sz w:val="22"/>
          <w:szCs w:val="22"/>
        </w:rPr>
        <w:t xml:space="preserve">zastoupena  Jiřím Šimerdou, starosta obce </w:t>
      </w:r>
    </w:p>
    <w:p w:rsidR="00BC17A6" w:rsidRPr="00C97FB5" w:rsidRDefault="00BC17A6" w:rsidP="000B0AA7">
      <w:pPr>
        <w:pStyle w:val="VnitrniText"/>
        <w:ind w:firstLine="0"/>
        <w:rPr>
          <w:sz w:val="22"/>
          <w:szCs w:val="22"/>
        </w:rPr>
      </w:pPr>
      <w:r w:rsidRPr="00C97FB5">
        <w:rPr>
          <w:sz w:val="22"/>
          <w:szCs w:val="22"/>
        </w:rPr>
        <w:t>(dále jen "nabyvatel")</w:t>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p>
    <w:p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rsidR="00CF17C0" w:rsidRPr="00C97FB5" w:rsidRDefault="00CF17C0" w:rsidP="001274AE">
      <w:pPr>
        <w:rPr>
          <w:rFonts w:ascii="Arial" w:hAnsi="Arial" w:cs="Arial"/>
          <w:sz w:val="22"/>
          <w:szCs w:val="22"/>
        </w:rPr>
      </w:pPr>
    </w:p>
    <w:p w:rsidR="00830569" w:rsidRPr="00C97FB5" w:rsidRDefault="00830569" w:rsidP="001274AE">
      <w:pPr>
        <w:rPr>
          <w:rFonts w:ascii="Arial" w:hAnsi="Arial" w:cs="Arial"/>
          <w:sz w:val="22"/>
          <w:szCs w:val="22"/>
        </w:rPr>
      </w:pPr>
    </w:p>
    <w:p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2004S20/43</w:t>
      </w:r>
    </w:p>
    <w:p w:rsidR="00CF17C0" w:rsidRPr="00C97FB5" w:rsidRDefault="00CF17C0" w:rsidP="00D06D0F">
      <w:pPr>
        <w:rPr>
          <w:rFonts w:ascii="Arial" w:hAnsi="Arial" w:cs="Arial"/>
          <w:sz w:val="22"/>
          <w:szCs w:val="22"/>
        </w:rPr>
      </w:pPr>
    </w:p>
    <w:p w:rsidR="00CF17C0" w:rsidRPr="00C97FB5" w:rsidRDefault="00CF17C0" w:rsidP="00D06D0F">
      <w:pPr>
        <w:rPr>
          <w:rFonts w:ascii="Arial" w:hAnsi="Arial" w:cs="Arial"/>
          <w:sz w:val="22"/>
          <w:szCs w:val="22"/>
        </w:rPr>
      </w:pPr>
    </w:p>
    <w:p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Liberk</w:t>
      </w:r>
      <w:r w:rsidRPr="00257EB0">
        <w:rPr>
          <w:rStyle w:val="tabulkyNemovitosti"/>
        </w:rPr>
        <w:tab/>
        <w:t>Liberk</w:t>
      </w:r>
      <w:r w:rsidRPr="00257EB0">
        <w:rPr>
          <w:rStyle w:val="tabulkyNemovitosti"/>
        </w:rPr>
        <w:tab/>
        <w:t>3162</w:t>
      </w:r>
      <w:r w:rsidRPr="00257EB0">
        <w:rPr>
          <w:rStyle w:val="tabulkyNemovitosti"/>
        </w:rPr>
        <w:tab/>
        <w:t>trvalý travní porost</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Liberk</w:t>
      </w:r>
      <w:r w:rsidRPr="00257EB0">
        <w:rPr>
          <w:rStyle w:val="tabulkyNemovitosti"/>
        </w:rPr>
        <w:tab/>
        <w:t>Liberk</w:t>
      </w:r>
      <w:r w:rsidRPr="00257EB0">
        <w:rPr>
          <w:rStyle w:val="tabulkyNemovitosti"/>
        </w:rPr>
        <w:tab/>
        <w:t>3557</w:t>
      </w:r>
      <w:r w:rsidRPr="00257EB0">
        <w:rPr>
          <w:rStyle w:val="tabulkyNemovitosti"/>
        </w:rPr>
        <w:tab/>
        <w:t>ostatní plocha</w:t>
      </w:r>
      <w:r w:rsidRPr="00257EB0">
        <w:rPr>
          <w:rStyle w:val="tabulkyNemovitosti"/>
        </w:rPr>
        <w:tab/>
        <w:t>10002</w:t>
      </w:r>
    </w:p>
    <w:p w:rsidR="007431BA" w:rsidRPr="007431BA" w:rsidRDefault="007431BA" w:rsidP="00112F3C">
      <w:pPr>
        <w:pStyle w:val="cary"/>
      </w:pPr>
      <w:r w:rsidRPr="007431BA">
        <w:t>-------------------------------------------------------------------------------------------------------------------------------------</w:t>
      </w:r>
    </w:p>
    <w:p w:rsidR="00213539" w:rsidRPr="00C97FB5" w:rsidRDefault="00213539" w:rsidP="00213539">
      <w:pPr>
        <w:pStyle w:val="VnitrniText"/>
        <w:ind w:firstLine="0"/>
        <w:rPr>
          <w:sz w:val="22"/>
          <w:szCs w:val="22"/>
        </w:rPr>
      </w:pPr>
      <w:r w:rsidRPr="00C97FB5">
        <w:rPr>
          <w:sz w:val="22"/>
          <w:szCs w:val="22"/>
        </w:rPr>
        <w:t>zapsané na výše uvedených LV u Katastrálního úřadu pro Královéhradecký kraj, Katastrální pracoviště Rychnov nad Kněžnou.</w:t>
      </w:r>
    </w:p>
    <w:p w:rsidR="00757874" w:rsidRDefault="00757874" w:rsidP="00757874">
      <w:pPr>
        <w:pStyle w:val="VnitrniText"/>
        <w:ind w:firstLine="0"/>
      </w:pPr>
    </w:p>
    <w:p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rsidR="00423D92" w:rsidRDefault="00423D92" w:rsidP="00757874">
      <w:pPr>
        <w:pStyle w:val="VnitrniText"/>
        <w:ind w:firstLine="0"/>
        <w:rPr>
          <w:color w:val="000000"/>
        </w:rPr>
      </w:pPr>
    </w:p>
    <w:p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1 918 810,00 Kč (slovy: jeden milion devět set osmnáct tisíc osm set deset korun českých)</w:t>
      </w:r>
      <w:r w:rsidR="00F7680C">
        <w:rPr>
          <w:rFonts w:ascii="Arial" w:hAnsi="Arial" w:cs="Arial"/>
          <w:color w:val="000000"/>
          <w:sz w:val="22"/>
          <w:szCs w:val="22"/>
        </w:rPr>
        <w:t>.</w:t>
      </w:r>
    </w:p>
    <w:p w:rsidR="00F7680C" w:rsidRPr="00757874" w:rsidRDefault="00F7680C" w:rsidP="00F7680C">
      <w:pPr>
        <w:jc w:val="both"/>
        <w:rPr>
          <w:rFonts w:cs="Arial"/>
          <w:color w:val="000000"/>
        </w:rPr>
      </w:pPr>
    </w:p>
    <w:p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rsidR="00423D92" w:rsidRPr="00423D92" w:rsidRDefault="00423D92" w:rsidP="00423D92">
      <w:pPr>
        <w:pStyle w:val="VnitrniText"/>
        <w:ind w:firstLine="0"/>
        <w:rPr>
          <w:sz w:val="22"/>
          <w:szCs w:val="22"/>
        </w:rPr>
      </w:pPr>
      <w:r w:rsidRPr="00423D92">
        <w:rPr>
          <w:sz w:val="22"/>
          <w:szCs w:val="22"/>
        </w:rPr>
        <w:t>Pozemků:</w:t>
      </w:r>
    </w:p>
    <w:p w:rsid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rsidR="00423D92" w:rsidRP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Liberk</w:t>
      </w:r>
      <w:r w:rsidRPr="00423D92">
        <w:rPr>
          <w:rStyle w:val="tabulkyNemovitosti"/>
        </w:rPr>
        <w:tab/>
        <w:t>Malý Uhřínov</w:t>
      </w:r>
      <w:r w:rsidRPr="00423D92">
        <w:rPr>
          <w:rStyle w:val="tabulkyNemovitosti"/>
        </w:rPr>
        <w:tab/>
        <w:t>5450/1</w:t>
      </w:r>
      <w:r w:rsidRPr="00423D92">
        <w:rPr>
          <w:rStyle w:val="tabulkyNemovitosti"/>
        </w:rPr>
        <w:tab/>
        <w:t>orná půda</w:t>
      </w:r>
      <w:r w:rsidRPr="00423D92">
        <w:rPr>
          <w:rStyle w:val="tabulkyNemovitosti"/>
        </w:rPr>
        <w:tab/>
        <w:t>10001</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Královéhradecký kraj se sídlem v Hradci Králové, Katastrální pracoviště Rychnov nad Kněžnou</w:t>
      </w:r>
    </w:p>
    <w:p w:rsidR="00423D92" w:rsidRPr="00423D92" w:rsidRDefault="00423D92" w:rsidP="00423D92">
      <w:pPr>
        <w:pStyle w:val="cary"/>
      </w:pPr>
      <w:r>
        <w:t>-------------------------------------------------------------------------------------------------------------------------------------</w:t>
      </w:r>
    </w:p>
    <w:p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rsidR="00423D92" w:rsidRPr="00423D92" w:rsidRDefault="00423D92" w:rsidP="00423D92">
      <w:pPr>
        <w:pStyle w:val="VnitrniText"/>
        <w:rPr>
          <w:sz w:val="22"/>
          <w:szCs w:val="22"/>
        </w:rPr>
      </w:pPr>
    </w:p>
    <w:p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44 047,90 Kč (slovy: čtyřicet čtyři tisíce čtyřicet sedm korun českých devadesát haléřů).</w:t>
      </w:r>
    </w:p>
    <w:p w:rsidR="00022579" w:rsidRPr="00C97FB5" w:rsidRDefault="00022579" w:rsidP="00EB6C54">
      <w:pPr>
        <w:pStyle w:val="VnitrniText"/>
        <w:rPr>
          <w:sz w:val="22"/>
          <w:szCs w:val="22"/>
        </w:rPr>
      </w:pPr>
    </w:p>
    <w:p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rsidR="00A31E82" w:rsidRDefault="00A31E82" w:rsidP="007F6109">
      <w:pPr>
        <w:jc w:val="both"/>
        <w:rPr>
          <w:rFonts w:ascii="Arial" w:hAnsi="Arial" w:cs="Arial"/>
          <w:sz w:val="22"/>
          <w:szCs w:val="22"/>
        </w:rPr>
      </w:pPr>
    </w:p>
    <w:p w:rsidR="00CE4E2E" w:rsidRPr="00BB01DC" w:rsidRDefault="00A31E82" w:rsidP="00BB01DC">
      <w:pPr>
        <w:pStyle w:val="para"/>
        <w:rPr>
          <w:rFonts w:ascii="Arial" w:hAnsi="Arial" w:cs="Arial"/>
          <w:sz w:val="22"/>
          <w:szCs w:val="22"/>
        </w:rPr>
      </w:pPr>
      <w:r>
        <w:rPr>
          <w:rFonts w:ascii="Arial" w:hAnsi="Arial" w:cs="Arial"/>
          <w:sz w:val="22"/>
          <w:szCs w:val="22"/>
        </w:rPr>
        <w:t>IV.</w:t>
      </w:r>
    </w:p>
    <w:p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1 874 762,10 Kč (slovy: jeden milion osm set sedmdesát čtyři tisíce sedm set šedesát dvě koruny české deset haléřů).</w:t>
      </w:r>
    </w:p>
    <w:p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1 874 762,10 Kč (slovy: jeden milion osm set sedmdesát čtyři tisíce sedm set šedesát dvě koruny české deset haléřů)</w:t>
      </w:r>
      <w:r w:rsidR="00CE4E2E">
        <w:rPr>
          <w:rFonts w:ascii="Arial" w:hAnsi="Arial" w:cs="Arial"/>
          <w:color w:val="000000"/>
          <w:szCs w:val="22"/>
        </w:rPr>
        <w:t xml:space="preserve"> byl uhrazen před podpisem této smlouvy na účet SPÚ, vedený u České národní banky, č. ú. 70017-3723001/0710, variabilní symbol 2004482043.</w:t>
      </w:r>
    </w:p>
    <w:p w:rsidR="00BB01DC" w:rsidRDefault="00BB01DC" w:rsidP="006069E5">
      <w:pPr>
        <w:pStyle w:val="para"/>
        <w:rPr>
          <w:rFonts w:ascii="Arial" w:hAnsi="Arial" w:cs="Arial"/>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rsidR="00C80054" w:rsidRDefault="00C80054" w:rsidP="000B0AA7">
      <w:pPr>
        <w:pStyle w:val="VnitrniText"/>
        <w:rPr>
          <w:sz w:val="22"/>
          <w:szCs w:val="22"/>
        </w:rPr>
      </w:pPr>
    </w:p>
    <w:p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prodávanému pozemku: </w:t>
      </w:r>
    </w:p>
    <w:p w:rsidR="00C8663B" w:rsidRPr="00C97FB5" w:rsidRDefault="00C8663B" w:rsidP="00EB6C54">
      <w:pPr>
        <w:pStyle w:val="VnitrniText"/>
        <w:rPr>
          <w:sz w:val="22"/>
          <w:szCs w:val="22"/>
        </w:rPr>
      </w:pPr>
      <w:r w:rsidRPr="00C97FB5">
        <w:rPr>
          <w:sz w:val="22"/>
          <w:szCs w:val="22"/>
        </w:rPr>
        <w:t>Liberk KN 3162 je řešen nájemní smlouvou č. 60N18/43, kterou se Státním pozemkovým úřadem uzavřel Horal, akciová spole</w:t>
      </w:r>
      <w:r w:rsidR="00AB3443">
        <w:rPr>
          <w:sz w:val="22"/>
          <w:szCs w:val="22"/>
        </w:rPr>
        <w:t>č</w:t>
      </w:r>
      <w:r w:rsidRPr="00C97FB5">
        <w:rPr>
          <w:sz w:val="22"/>
          <w:szCs w:val="22"/>
        </w:rPr>
        <w:t>nost, Hláska, jakožto nájemce. S obsahem nájemní smlouvy byl kupující seznámen před podpisem této smlouvy, což stvrzuje svým podpisem.</w:t>
      </w:r>
    </w:p>
    <w:p w:rsidR="00C8663B" w:rsidRPr="00C97FB5" w:rsidRDefault="00C8663B" w:rsidP="00EB6C54">
      <w:pPr>
        <w:pStyle w:val="VnitrniText"/>
        <w:rPr>
          <w:sz w:val="22"/>
          <w:szCs w:val="22"/>
        </w:rPr>
      </w:pPr>
    </w:p>
    <w:p w:rsidR="007D2608" w:rsidRPr="00C97FB5" w:rsidRDefault="007D2608" w:rsidP="00EB6C54">
      <w:pPr>
        <w:pStyle w:val="VnitrniText"/>
        <w:rPr>
          <w:sz w:val="22"/>
          <w:szCs w:val="22"/>
        </w:rPr>
      </w:pPr>
      <w:r w:rsidRPr="00C97FB5">
        <w:rPr>
          <w:sz w:val="22"/>
          <w:szCs w:val="22"/>
        </w:rPr>
        <w:t>2. Pozemky převáděné z vlastnictví státu do vlastnictví nabyvatele jsou součástí společenstevní honitby Liberk-Hláska, jejímž držitelem je Honební společenstvo Liberk-Hláska. Tyto pozemky jsou ve smyslu zákona o SPÚ v režimu přičlenění.</w:t>
      </w:r>
    </w:p>
    <w:p w:rsidR="0037157C" w:rsidRDefault="0037157C" w:rsidP="00EB6C54">
      <w:pPr>
        <w:pStyle w:val="VnitrniText"/>
        <w:rPr>
          <w:sz w:val="22"/>
          <w:szCs w:val="22"/>
        </w:rPr>
      </w:pPr>
    </w:p>
    <w:p w:rsidR="00907CFB" w:rsidRDefault="00907CFB" w:rsidP="00907CFB">
      <w:pPr>
        <w:pStyle w:val="VnitrniText"/>
        <w:ind w:firstLine="0"/>
        <w:rPr>
          <w:b/>
          <w:sz w:val="22"/>
          <w:szCs w:val="22"/>
        </w:rPr>
      </w:pPr>
      <w:r>
        <w:rPr>
          <w:b/>
          <w:sz w:val="22"/>
          <w:szCs w:val="22"/>
        </w:rPr>
        <w:t>Práva týkající se nemovitostí uvedených v čl. II.</w:t>
      </w:r>
    </w:p>
    <w:p w:rsidR="00D97123" w:rsidRDefault="00907CFB" w:rsidP="00907CFB">
      <w:pPr>
        <w:pStyle w:val="VnitrniText"/>
        <w:rPr>
          <w:sz w:val="22"/>
          <w:szCs w:val="22"/>
        </w:rPr>
      </w:pPr>
      <w:r>
        <w:rPr>
          <w:sz w:val="22"/>
          <w:szCs w:val="22"/>
        </w:rPr>
        <w:t xml:space="preserve">1.  </w:t>
      </w:r>
      <w:r w:rsidR="00D97123">
        <w:rPr>
          <w:sz w:val="22"/>
          <w:szCs w:val="22"/>
        </w:rPr>
        <w:t>Užívací vztah k převáděné nemovitosti je řešen: nájemní smlouvou č. 223/2012, uzavřenou s Farma Brocná, s.r.o., jakožto nájemcem. S obsahem nájemní smlouvy byl SPÚ seznámen před podpisem této smlouvy, což stvrzuje svým podpisem.</w:t>
      </w:r>
    </w:p>
    <w:p w:rsidR="00D97123" w:rsidRDefault="00D97123" w:rsidP="00907CFB">
      <w:pPr>
        <w:pStyle w:val="VnitrniText"/>
        <w:rPr>
          <w:sz w:val="22"/>
          <w:szCs w:val="22"/>
        </w:rPr>
      </w:pPr>
    </w:p>
    <w:p w:rsidR="003E4DD3" w:rsidRDefault="00BB01DC" w:rsidP="00907CFB">
      <w:pPr>
        <w:pStyle w:val="VnitrniText"/>
        <w:ind w:firstLine="0"/>
        <w:rPr>
          <w:sz w:val="22"/>
          <w:szCs w:val="22"/>
        </w:rPr>
      </w:pPr>
      <w:r>
        <w:rPr>
          <w:sz w:val="22"/>
          <w:szCs w:val="22"/>
        </w:rPr>
        <w:t xml:space="preserve">       </w:t>
      </w:r>
      <w:r w:rsidR="003E4DD3">
        <w:rPr>
          <w:sz w:val="22"/>
          <w:szCs w:val="22"/>
        </w:rPr>
        <w:t>2. Pozemky nabývané státem jsou součástí honitby Lukavice, jejímž držitelem je Honební společenstvo Lukavice.</w:t>
      </w:r>
    </w:p>
    <w:p w:rsidR="003E4DD3" w:rsidRDefault="003E4DD3" w:rsidP="00907CFB">
      <w:pPr>
        <w:pStyle w:val="VnitrniText"/>
        <w:ind w:firstLine="0"/>
        <w:rPr>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rsidR="00FE69EF" w:rsidRDefault="00FE69EF" w:rsidP="003817F4">
      <w:pPr>
        <w:tabs>
          <w:tab w:val="left" w:pos="709"/>
        </w:tabs>
        <w:ind w:firstLine="426"/>
        <w:jc w:val="both"/>
        <w:rPr>
          <w:rFonts w:ascii="Arial" w:hAnsi="Arial" w:cs="Arial"/>
          <w:sz w:val="22"/>
          <w:szCs w:val="22"/>
          <w:lang w:val="en-US"/>
        </w:rPr>
      </w:pPr>
    </w:p>
    <w:p w:rsidR="0021045B" w:rsidRDefault="0021045B" w:rsidP="003817F4">
      <w:pPr>
        <w:tabs>
          <w:tab w:val="left" w:pos="709"/>
        </w:tabs>
        <w:ind w:firstLine="426"/>
        <w:jc w:val="both"/>
        <w:rPr>
          <w:rFonts w:ascii="Arial" w:hAnsi="Arial" w:cs="Arial"/>
          <w:sz w:val="22"/>
          <w:szCs w:val="22"/>
          <w:lang w:val="en-US"/>
        </w:rPr>
      </w:pPr>
    </w:p>
    <w:p w:rsidR="00953F0D" w:rsidRDefault="00953F0D" w:rsidP="00953F0D">
      <w:pPr>
        <w:pStyle w:val="para"/>
        <w:rPr>
          <w:rFonts w:ascii="Arial" w:hAnsi="Arial" w:cs="Arial"/>
          <w:sz w:val="22"/>
          <w:szCs w:val="22"/>
        </w:rPr>
      </w:pPr>
      <w:r>
        <w:rPr>
          <w:rFonts w:ascii="Arial" w:hAnsi="Arial" w:cs="Arial"/>
          <w:sz w:val="22"/>
          <w:szCs w:val="22"/>
        </w:rPr>
        <w:t>VII.</w:t>
      </w:r>
    </w:p>
    <w:p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rsidR="00953F0D" w:rsidRDefault="00953F0D" w:rsidP="00953F0D">
      <w:pPr>
        <w:tabs>
          <w:tab w:val="left" w:pos="709"/>
        </w:tabs>
        <w:ind w:firstLine="426"/>
        <w:jc w:val="both"/>
        <w:rPr>
          <w:rFonts w:ascii="Arial" w:hAnsi="Arial" w:cs="Arial"/>
          <w:sz w:val="22"/>
          <w:szCs w:val="22"/>
        </w:rPr>
      </w:pPr>
    </w:p>
    <w:p w:rsidR="00FE69EF" w:rsidRDefault="00FE69EF" w:rsidP="00FE69EF">
      <w:pPr>
        <w:pStyle w:val="para"/>
        <w:rPr>
          <w:rFonts w:ascii="Arial" w:hAnsi="Arial" w:cs="Arial"/>
          <w:sz w:val="22"/>
          <w:szCs w:val="22"/>
        </w:rPr>
      </w:pPr>
      <w:r>
        <w:rPr>
          <w:rFonts w:ascii="Arial" w:hAnsi="Arial" w:cs="Arial"/>
          <w:sz w:val="22"/>
          <w:szCs w:val="22"/>
        </w:rPr>
        <w:lastRenderedPageBreak/>
        <w:t>VIII.</w:t>
      </w:r>
    </w:p>
    <w:p w:rsidR="00612849" w:rsidRDefault="00612849" w:rsidP="00612849">
      <w:pPr>
        <w:tabs>
          <w:tab w:val="left" w:pos="709"/>
        </w:tabs>
        <w:ind w:firstLine="426"/>
        <w:jc w:val="both"/>
        <w:rPr>
          <w:rFonts w:ascii="Arial" w:hAnsi="Arial" w:cs="Arial"/>
          <w:sz w:val="22"/>
          <w:szCs w:val="22"/>
        </w:rPr>
      </w:pPr>
      <w:r>
        <w:rPr>
          <w:rFonts w:ascii="Arial" w:hAnsi="Arial" w:cs="Arial"/>
          <w:sz w:val="22"/>
          <w:szCs w:val="22"/>
        </w:rPr>
        <w:t>Nabyvatel je poplatníkem daně z nabytí nemovitých věcí ve smyslu zákonného opatření Senátu č. 340/2013 Sb. o dani z nabytí nemovitých věcí, ve znění pozdějších předpisů.  SPÚ a územní samosprávný celek jsou ve smyslu předpisu č. 340/2013 Sb., zákonné opatření Senátu o dani a nabytí nemovitých věcí, osvobozen</w:t>
      </w:r>
      <w:r w:rsidR="00323A66">
        <w:rPr>
          <w:rFonts w:ascii="Arial" w:hAnsi="Arial" w:cs="Arial"/>
          <w:sz w:val="22"/>
          <w:szCs w:val="22"/>
        </w:rPr>
        <w:t>y</w:t>
      </w:r>
      <w:r>
        <w:rPr>
          <w:rFonts w:ascii="Arial" w:hAnsi="Arial" w:cs="Arial"/>
          <w:sz w:val="22"/>
          <w:szCs w:val="22"/>
        </w:rPr>
        <w:t xml:space="preserve"> od daně z nabytí nemovitých věcí. </w:t>
      </w:r>
    </w:p>
    <w:p w:rsidR="00D4325F" w:rsidRPr="00C97FB5" w:rsidRDefault="00D4325F" w:rsidP="00D4325F">
      <w:pPr>
        <w:rPr>
          <w:rFonts w:ascii="Arial" w:hAnsi="Arial" w:cs="Arial"/>
          <w:sz w:val="22"/>
          <w:szCs w:val="22"/>
        </w:rPr>
      </w:pPr>
    </w:p>
    <w:p w:rsidR="00A431B4" w:rsidRDefault="00A431B4" w:rsidP="00A431B4">
      <w:pPr>
        <w:pStyle w:val="para"/>
        <w:rPr>
          <w:rFonts w:ascii="Arial" w:hAnsi="Arial" w:cs="Arial"/>
          <w:sz w:val="22"/>
          <w:szCs w:val="22"/>
        </w:rPr>
      </w:pPr>
      <w:r>
        <w:rPr>
          <w:rFonts w:ascii="Arial" w:hAnsi="Arial" w:cs="Arial"/>
          <w:sz w:val="22"/>
          <w:szCs w:val="22"/>
        </w:rPr>
        <w:t>IX.</w:t>
      </w:r>
    </w:p>
    <w:p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A431B4" w:rsidRDefault="00A431B4" w:rsidP="00A431B4">
      <w:pPr>
        <w:ind w:firstLine="360"/>
        <w:jc w:val="both"/>
        <w:rPr>
          <w:rFonts w:ascii="Arial" w:hAnsi="Arial" w:cs="Arial"/>
          <w:sz w:val="22"/>
          <w:szCs w:val="22"/>
        </w:rPr>
      </w:pPr>
    </w:p>
    <w:p w:rsidR="00A431B4" w:rsidRDefault="00A431B4" w:rsidP="00A431B4">
      <w:pPr>
        <w:pStyle w:val="para"/>
        <w:rPr>
          <w:rFonts w:ascii="Arial" w:hAnsi="Arial" w:cs="Arial"/>
          <w:sz w:val="22"/>
          <w:szCs w:val="22"/>
        </w:rPr>
      </w:pPr>
      <w:r>
        <w:rPr>
          <w:rFonts w:ascii="Arial" w:hAnsi="Arial" w:cs="Arial"/>
          <w:sz w:val="22"/>
          <w:szCs w:val="22"/>
        </w:rPr>
        <w:t>X.</w:t>
      </w:r>
    </w:p>
    <w:p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rsidR="00A431B4" w:rsidRDefault="00A431B4" w:rsidP="00A431B4">
      <w:pPr>
        <w:ind w:firstLine="360"/>
        <w:jc w:val="both"/>
        <w:rPr>
          <w:rFonts w:ascii="Arial" w:hAnsi="Arial" w:cs="Arial"/>
          <w:sz w:val="22"/>
          <w:szCs w:val="22"/>
        </w:rPr>
      </w:pPr>
    </w:p>
    <w:p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rsidR="00A431B4" w:rsidRDefault="00A431B4" w:rsidP="006069E5">
      <w:pPr>
        <w:pStyle w:val="para"/>
        <w:rPr>
          <w:rFonts w:ascii="Arial" w:hAnsi="Arial" w:cs="Arial"/>
          <w:sz w:val="22"/>
          <w:szCs w:val="22"/>
        </w:rPr>
      </w:pPr>
    </w:p>
    <w:p w:rsidR="00A431B4" w:rsidRPr="00F53661" w:rsidRDefault="00A431B4" w:rsidP="00A431B4">
      <w:pPr>
        <w:pStyle w:val="para"/>
        <w:rPr>
          <w:rFonts w:ascii="Arial" w:hAnsi="Arial" w:cs="Arial"/>
          <w:sz w:val="22"/>
          <w:szCs w:val="22"/>
        </w:rPr>
      </w:pPr>
      <w:r w:rsidRPr="00F53661">
        <w:rPr>
          <w:rFonts w:ascii="Arial" w:hAnsi="Arial" w:cs="Arial"/>
          <w:sz w:val="22"/>
          <w:szCs w:val="22"/>
        </w:rPr>
        <w:t>XI.</w:t>
      </w:r>
    </w:p>
    <w:p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rsidR="00181BC3" w:rsidRPr="00F53661" w:rsidRDefault="00181BC3" w:rsidP="00181BC3">
      <w:pPr>
        <w:tabs>
          <w:tab w:val="left" w:pos="709"/>
        </w:tabs>
        <w:ind w:firstLine="426"/>
        <w:jc w:val="both"/>
        <w:rPr>
          <w:rFonts w:ascii="Arial" w:hAnsi="Arial" w:cs="Arial"/>
          <w:sz w:val="22"/>
          <w:szCs w:val="22"/>
        </w:rPr>
      </w:pPr>
    </w:p>
    <w:p w:rsidR="005A709E" w:rsidRDefault="005A709E" w:rsidP="005A709E">
      <w:pPr>
        <w:pStyle w:val="para"/>
        <w:rPr>
          <w:rFonts w:ascii="Arial" w:hAnsi="Arial" w:cs="Arial"/>
          <w:sz w:val="22"/>
          <w:szCs w:val="22"/>
        </w:rPr>
      </w:pPr>
      <w:r>
        <w:rPr>
          <w:rFonts w:ascii="Arial" w:hAnsi="Arial" w:cs="Arial"/>
          <w:sz w:val="22"/>
          <w:szCs w:val="22"/>
        </w:rPr>
        <w:t>XII.</w:t>
      </w:r>
    </w:p>
    <w:p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rsidR="005A709E" w:rsidRDefault="005A709E" w:rsidP="005A709E">
      <w:pPr>
        <w:tabs>
          <w:tab w:val="left" w:pos="709"/>
        </w:tabs>
        <w:ind w:firstLine="426"/>
        <w:jc w:val="both"/>
        <w:rPr>
          <w:rFonts w:ascii="Arial" w:hAnsi="Arial" w:cs="Arial"/>
          <w:sz w:val="22"/>
          <w:szCs w:val="22"/>
        </w:rPr>
      </w:pPr>
    </w:p>
    <w:p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rsidR="005A709E" w:rsidRDefault="005A709E" w:rsidP="005A709E">
      <w:pPr>
        <w:tabs>
          <w:tab w:val="left" w:pos="709"/>
        </w:tabs>
        <w:ind w:firstLine="426"/>
        <w:jc w:val="both"/>
        <w:rPr>
          <w:rFonts w:ascii="Arial" w:hAnsi="Arial" w:cs="Arial"/>
          <w:sz w:val="22"/>
          <w:szCs w:val="22"/>
        </w:rPr>
      </w:pPr>
    </w:p>
    <w:p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rsidR="00BB01DC" w:rsidRDefault="00BB01DC" w:rsidP="005A709E">
      <w:pPr>
        <w:tabs>
          <w:tab w:val="left" w:pos="709"/>
        </w:tabs>
        <w:ind w:firstLine="426"/>
        <w:jc w:val="both"/>
        <w:rPr>
          <w:rFonts w:ascii="Arial" w:hAnsi="Arial" w:cs="Arial"/>
          <w:sz w:val="22"/>
          <w:szCs w:val="22"/>
        </w:rPr>
      </w:pPr>
    </w:p>
    <w:p w:rsidR="00BB01DC" w:rsidRDefault="00BB01DC" w:rsidP="00BB01DC">
      <w:pPr>
        <w:pStyle w:val="Normlnweb"/>
        <w:spacing w:before="0" w:beforeAutospacing="0" w:after="0" w:afterAutospacing="0"/>
        <w:jc w:val="both"/>
        <w:rPr>
          <w:rFonts w:ascii="Arial" w:hAnsi="Arial" w:cs="Arial"/>
          <w:color w:val="000000"/>
        </w:rPr>
      </w:pPr>
      <w:r>
        <w:rPr>
          <w:rFonts w:ascii="Arial" w:hAnsi="Arial" w:cs="Arial"/>
        </w:rPr>
        <w:t xml:space="preserve">       Nabyvatel prohlašuje, že směna pozemků podle této smlouvy byla schválena Zastupitelstvem obce Liberk na </w:t>
      </w:r>
      <w:r w:rsidR="00DD739A">
        <w:rPr>
          <w:rFonts w:ascii="Arial" w:hAnsi="Arial" w:cs="Arial"/>
        </w:rPr>
        <w:t>16</w:t>
      </w:r>
      <w:r>
        <w:rPr>
          <w:rFonts w:ascii="Arial" w:hAnsi="Arial" w:cs="Arial"/>
        </w:rPr>
        <w:t xml:space="preserve">. zasedání Zastupitelstva obce Liberk ze dne </w:t>
      </w:r>
      <w:r w:rsidR="00DD739A">
        <w:rPr>
          <w:rFonts w:ascii="Arial" w:hAnsi="Arial" w:cs="Arial"/>
        </w:rPr>
        <w:t>9</w:t>
      </w:r>
      <w:r>
        <w:rPr>
          <w:rFonts w:ascii="Arial" w:hAnsi="Arial" w:cs="Arial"/>
        </w:rPr>
        <w:t xml:space="preserve">. </w:t>
      </w:r>
      <w:r w:rsidR="00DD739A">
        <w:rPr>
          <w:rFonts w:ascii="Arial" w:hAnsi="Arial" w:cs="Arial"/>
        </w:rPr>
        <w:t>7</w:t>
      </w:r>
      <w:r>
        <w:rPr>
          <w:rFonts w:ascii="Arial" w:hAnsi="Arial" w:cs="Arial"/>
        </w:rPr>
        <w:t>. 20</w:t>
      </w:r>
      <w:r w:rsidR="00DD739A">
        <w:rPr>
          <w:rFonts w:ascii="Arial" w:hAnsi="Arial" w:cs="Arial"/>
        </w:rPr>
        <w:t>20</w:t>
      </w:r>
      <w:r>
        <w:rPr>
          <w:rFonts w:ascii="Arial" w:hAnsi="Arial" w:cs="Arial"/>
        </w:rPr>
        <w:t xml:space="preserve">, </w:t>
      </w:r>
      <w:r w:rsidR="00DD739A">
        <w:rPr>
          <w:rFonts w:ascii="Arial" w:hAnsi="Arial" w:cs="Arial"/>
        </w:rPr>
        <w:t>č. usnesení 16/2020/8</w:t>
      </w:r>
      <w:r>
        <w:rPr>
          <w:rFonts w:ascii="Arial" w:hAnsi="Arial" w:cs="Arial"/>
        </w:rPr>
        <w:t>.</w:t>
      </w:r>
    </w:p>
    <w:p w:rsidR="00BB01DC" w:rsidRDefault="00BB01DC" w:rsidP="005A709E">
      <w:pPr>
        <w:tabs>
          <w:tab w:val="left" w:pos="709"/>
        </w:tabs>
        <w:ind w:firstLine="426"/>
        <w:jc w:val="both"/>
        <w:rPr>
          <w:rFonts w:ascii="Arial" w:hAnsi="Arial" w:cs="Arial"/>
          <w:sz w:val="22"/>
          <w:szCs w:val="22"/>
        </w:rPr>
      </w:pPr>
    </w:p>
    <w:p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II.</w:t>
      </w:r>
    </w:p>
    <w:p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81BC3" w:rsidRDefault="00181BC3" w:rsidP="00181BC3">
      <w:pPr>
        <w:pStyle w:val="VnitrniText"/>
        <w:rPr>
          <w:sz w:val="22"/>
          <w:szCs w:val="22"/>
        </w:rPr>
      </w:pPr>
    </w:p>
    <w:p w:rsidR="00BB01DC" w:rsidRDefault="00BB01DC" w:rsidP="00181BC3">
      <w:pPr>
        <w:pStyle w:val="VnitrniText"/>
        <w:rPr>
          <w:sz w:val="22"/>
          <w:szCs w:val="22"/>
        </w:rPr>
      </w:pPr>
    </w:p>
    <w:p w:rsidR="00BB01DC" w:rsidRDefault="00BB01DC" w:rsidP="00181BC3">
      <w:pPr>
        <w:pStyle w:val="VnitrniText"/>
        <w:rPr>
          <w:sz w:val="22"/>
          <w:szCs w:val="22"/>
        </w:rPr>
      </w:pPr>
    </w:p>
    <w:p w:rsidR="00BB01DC" w:rsidRPr="00F53661" w:rsidRDefault="00BB01DC" w:rsidP="00181BC3">
      <w:pPr>
        <w:pStyle w:val="VnitrniText"/>
        <w:rPr>
          <w:sz w:val="22"/>
          <w:szCs w:val="22"/>
        </w:rPr>
      </w:pPr>
    </w:p>
    <w:p w:rsidR="00181BC3" w:rsidRPr="00F53661" w:rsidRDefault="00181BC3" w:rsidP="00181BC3">
      <w:pPr>
        <w:pStyle w:val="para"/>
        <w:rPr>
          <w:rFonts w:ascii="Arial" w:hAnsi="Arial" w:cs="Arial"/>
          <w:sz w:val="22"/>
          <w:szCs w:val="22"/>
        </w:rPr>
      </w:pPr>
      <w:r w:rsidRPr="00F53661">
        <w:rPr>
          <w:rFonts w:ascii="Arial" w:hAnsi="Arial" w:cs="Arial"/>
          <w:sz w:val="22"/>
          <w:szCs w:val="22"/>
        </w:rPr>
        <w:lastRenderedPageBreak/>
        <w:t>XI</w:t>
      </w:r>
      <w:r w:rsidR="000E4A4B">
        <w:rPr>
          <w:rFonts w:ascii="Arial" w:hAnsi="Arial" w:cs="Arial"/>
          <w:sz w:val="22"/>
          <w:szCs w:val="22"/>
        </w:rPr>
        <w:t>V</w:t>
      </w:r>
      <w:r w:rsidRPr="00F53661">
        <w:rPr>
          <w:rFonts w:ascii="Arial" w:hAnsi="Arial" w:cs="Arial"/>
          <w:sz w:val="22"/>
          <w:szCs w:val="22"/>
        </w:rPr>
        <w:t xml:space="preserve">. </w:t>
      </w:r>
    </w:p>
    <w:p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rsidR="003B4FF8" w:rsidRDefault="003B4FF8" w:rsidP="00181BC3">
      <w:pPr>
        <w:pStyle w:val="para"/>
        <w:tabs>
          <w:tab w:val="clear" w:pos="709"/>
        </w:tabs>
        <w:ind w:firstLine="426"/>
        <w:jc w:val="both"/>
        <w:rPr>
          <w:sz w:val="22"/>
          <w:szCs w:val="22"/>
        </w:rPr>
      </w:pPr>
    </w:p>
    <w:p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rsidTr="003468BE">
        <w:tc>
          <w:tcPr>
            <w:tcW w:w="4888" w:type="dxa"/>
            <w:hideMark/>
          </w:tcPr>
          <w:p w:rsidR="003468BE" w:rsidRDefault="003468BE">
            <w:pPr>
              <w:pStyle w:val="VnitrniText"/>
              <w:ind w:firstLine="0"/>
              <w:rPr>
                <w:sz w:val="22"/>
                <w:szCs w:val="22"/>
              </w:rPr>
            </w:pPr>
            <w:r>
              <w:rPr>
                <w:sz w:val="22"/>
                <w:szCs w:val="22"/>
              </w:rPr>
              <w:t xml:space="preserve">V Hradci Králové dne </w:t>
            </w:r>
            <w:r w:rsidR="00D62EB8">
              <w:rPr>
                <w:sz w:val="22"/>
                <w:szCs w:val="22"/>
              </w:rPr>
              <w:t>5.8.2020</w:t>
            </w:r>
          </w:p>
        </w:tc>
        <w:tc>
          <w:tcPr>
            <w:tcW w:w="4889" w:type="dxa"/>
            <w:hideMark/>
          </w:tcPr>
          <w:p w:rsidR="003468BE" w:rsidRDefault="003468BE">
            <w:pPr>
              <w:pStyle w:val="VnitrniText"/>
              <w:tabs>
                <w:tab w:val="left" w:pos="4820"/>
              </w:tabs>
              <w:ind w:firstLine="0"/>
              <w:rPr>
                <w:sz w:val="22"/>
                <w:szCs w:val="22"/>
              </w:rPr>
            </w:pPr>
            <w:r>
              <w:rPr>
                <w:sz w:val="22"/>
                <w:szCs w:val="22"/>
              </w:rPr>
              <w:t>V</w:t>
            </w:r>
            <w:r w:rsidR="00D62EB8">
              <w:rPr>
                <w:sz w:val="22"/>
                <w:szCs w:val="22"/>
              </w:rPr>
              <w:t xml:space="preserve"> Hradci Králové</w:t>
            </w:r>
            <w:r>
              <w:rPr>
                <w:sz w:val="22"/>
                <w:szCs w:val="22"/>
              </w:rPr>
              <w:t xml:space="preserve"> dne </w:t>
            </w:r>
            <w:r w:rsidR="00D62EB8">
              <w:rPr>
                <w:sz w:val="22"/>
                <w:szCs w:val="22"/>
              </w:rPr>
              <w:t>5.8.2020</w:t>
            </w:r>
            <w:bookmarkStart w:id="1" w:name="_GoBack"/>
            <w:bookmarkEnd w:id="1"/>
          </w:p>
        </w:tc>
      </w:tr>
    </w:tbl>
    <w:p w:rsidR="003468BE" w:rsidRDefault="003468BE" w:rsidP="003468BE">
      <w:pPr>
        <w:pStyle w:val="VnitrniText"/>
        <w:tabs>
          <w:tab w:val="left" w:pos="4820"/>
        </w:tabs>
        <w:ind w:firstLine="142"/>
        <w:rPr>
          <w:sz w:val="22"/>
          <w:szCs w:val="22"/>
        </w:rPr>
      </w:pPr>
      <w:r>
        <w:rPr>
          <w:sz w:val="22"/>
          <w:szCs w:val="22"/>
        </w:rPr>
        <w:tab/>
      </w:r>
    </w:p>
    <w:p w:rsidR="003468BE" w:rsidRDefault="003468BE" w:rsidP="003468BE">
      <w:pPr>
        <w:pStyle w:val="VnitrniText"/>
        <w:tabs>
          <w:tab w:val="left" w:pos="5103"/>
        </w:tabs>
        <w:ind w:firstLine="142"/>
        <w:rPr>
          <w:sz w:val="22"/>
          <w:szCs w:val="22"/>
        </w:rPr>
      </w:pPr>
    </w:p>
    <w:p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rsidTr="003468BE">
        <w:tc>
          <w:tcPr>
            <w:tcW w:w="4888" w:type="dxa"/>
          </w:tcPr>
          <w:p w:rsidR="003468BE" w:rsidRDefault="003468BE">
            <w:pPr>
              <w:pStyle w:val="VnitrniText"/>
              <w:ind w:firstLine="0"/>
              <w:rPr>
                <w:sz w:val="22"/>
                <w:szCs w:val="22"/>
              </w:rPr>
            </w:pPr>
          </w:p>
        </w:tc>
        <w:tc>
          <w:tcPr>
            <w:tcW w:w="4889" w:type="dxa"/>
          </w:tcPr>
          <w:p w:rsidR="003468BE" w:rsidRDefault="003468BE">
            <w:pPr>
              <w:pStyle w:val="VnitrniText"/>
              <w:tabs>
                <w:tab w:val="left" w:pos="5103"/>
              </w:tabs>
              <w:ind w:firstLine="0"/>
              <w:rPr>
                <w:sz w:val="22"/>
                <w:szCs w:val="22"/>
              </w:rPr>
            </w:pPr>
          </w:p>
        </w:tc>
      </w:tr>
      <w:tr w:rsidR="003468BE" w:rsidTr="003468BE">
        <w:tc>
          <w:tcPr>
            <w:tcW w:w="4888" w:type="dxa"/>
          </w:tcPr>
          <w:p w:rsidR="003468BE" w:rsidRDefault="003468BE" w:rsidP="003468BE">
            <w:pPr>
              <w:pStyle w:val="VnitrniText"/>
              <w:tabs>
                <w:tab w:val="left" w:pos="5103"/>
              </w:tabs>
              <w:ind w:firstLine="0"/>
              <w:jc w:val="left"/>
              <w:rPr>
                <w:sz w:val="22"/>
                <w:szCs w:val="22"/>
              </w:rPr>
            </w:pPr>
            <w:r>
              <w:rPr>
                <w:sz w:val="22"/>
                <w:szCs w:val="22"/>
              </w:rPr>
              <w:t>............................................</w:t>
            </w:r>
          </w:p>
        </w:tc>
        <w:tc>
          <w:tcPr>
            <w:tcW w:w="4889" w:type="dxa"/>
          </w:tcPr>
          <w:p w:rsidR="003468BE" w:rsidRDefault="003468BE" w:rsidP="003468BE">
            <w:pPr>
              <w:pStyle w:val="VnitrniText"/>
              <w:tabs>
                <w:tab w:val="left" w:pos="5103"/>
              </w:tabs>
              <w:ind w:firstLine="0"/>
              <w:jc w:val="left"/>
              <w:rPr>
                <w:sz w:val="22"/>
                <w:szCs w:val="22"/>
              </w:rPr>
            </w:pPr>
            <w:r>
              <w:rPr>
                <w:sz w:val="22"/>
                <w:szCs w:val="22"/>
              </w:rPr>
              <w:t>............................................</w:t>
            </w:r>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p w:rsidR="00BB01DC" w:rsidRDefault="00BB01DC">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OBEC LIBERK</w:t>
            </w:r>
            <w:r w:rsidR="00BB01DC">
              <w:rPr>
                <w:rFonts w:ascii="Arial" w:hAnsi="Arial" w:cs="Arial"/>
                <w:sz w:val="22"/>
                <w:szCs w:val="22"/>
              </w:rPr>
              <w:t>.</w:t>
            </w:r>
          </w:p>
          <w:p w:rsidR="00BB01DC" w:rsidRDefault="00BB01DC">
            <w:pPr>
              <w:suppressAutoHyphens w:val="0"/>
              <w:autoSpaceDE w:val="0"/>
              <w:autoSpaceDN w:val="0"/>
              <w:adjustRightInd w:val="0"/>
              <w:rPr>
                <w:rFonts w:ascii="Arial" w:hAnsi="Arial" w:cs="Arial"/>
                <w:sz w:val="22"/>
                <w:szCs w:val="22"/>
              </w:rPr>
            </w:pPr>
            <w:r>
              <w:rPr>
                <w:rFonts w:ascii="Arial" w:hAnsi="Arial" w:cs="Arial"/>
                <w:sz w:val="22"/>
                <w:szCs w:val="22"/>
              </w:rPr>
              <w:t>Jiří Šimerda, starosta obce</w:t>
            </w:r>
          </w:p>
        </w:tc>
      </w:tr>
      <w:tr w:rsidR="003468BE" w:rsidTr="003468BE">
        <w:tc>
          <w:tcPr>
            <w:tcW w:w="4888" w:type="dxa"/>
          </w:tcPr>
          <w:p w:rsidR="003468BE" w:rsidRDefault="00BB01DC">
            <w:pPr>
              <w:suppressAutoHyphens w:val="0"/>
              <w:autoSpaceDE w:val="0"/>
              <w:autoSpaceDN w:val="0"/>
              <w:adjustRightInd w:val="0"/>
              <w:rPr>
                <w:rFonts w:ascii="Arial" w:hAnsi="Arial" w:cs="Arial"/>
                <w:sz w:val="22"/>
                <w:szCs w:val="22"/>
              </w:rPr>
            </w:pPr>
            <w:r>
              <w:rPr>
                <w:rFonts w:ascii="Arial" w:hAnsi="Arial" w:cs="Arial"/>
                <w:sz w:val="22"/>
                <w:szCs w:val="22"/>
              </w:rPr>
              <w:t>Ing. Petr Lázňovský</w:t>
            </w:r>
          </w:p>
        </w:tc>
        <w:tc>
          <w:tcPr>
            <w:tcW w:w="4889"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p>
        </w:tc>
        <w:tc>
          <w:tcPr>
            <w:tcW w:w="4889" w:type="dxa"/>
          </w:tcPr>
          <w:p w:rsidR="003468BE" w:rsidRDefault="003468BE">
            <w:pPr>
              <w:suppressAutoHyphens w:val="0"/>
              <w:autoSpaceDE w:val="0"/>
              <w:autoSpaceDN w:val="0"/>
              <w:adjustRightInd w:val="0"/>
              <w:rPr>
                <w:rFonts w:ascii="Arial" w:hAnsi="Arial" w:cs="Arial"/>
                <w:sz w:val="22"/>
                <w:szCs w:val="22"/>
              </w:rPr>
            </w:pPr>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p>
        </w:tc>
        <w:tc>
          <w:tcPr>
            <w:tcW w:w="4889" w:type="dxa"/>
          </w:tcPr>
          <w:p w:rsidR="003468BE" w:rsidRDefault="003468BE">
            <w:pPr>
              <w:suppressAutoHyphens w:val="0"/>
              <w:autoSpaceDE w:val="0"/>
              <w:autoSpaceDN w:val="0"/>
              <w:adjustRightInd w:val="0"/>
              <w:rPr>
                <w:rFonts w:ascii="Arial" w:hAnsi="Arial" w:cs="Arial"/>
                <w:sz w:val="22"/>
                <w:szCs w:val="22"/>
              </w:rPr>
            </w:pPr>
          </w:p>
        </w:tc>
      </w:tr>
    </w:tbl>
    <w:p w:rsidR="003468BE" w:rsidRDefault="003468BE">
      <w:pPr>
        <w:suppressAutoHyphens w:val="0"/>
        <w:autoSpaceDE w:val="0"/>
        <w:autoSpaceDN w:val="0"/>
        <w:adjustRightInd w:val="0"/>
        <w:rPr>
          <w:rFonts w:ascii="Arial" w:hAnsi="Arial" w:cs="Arial"/>
          <w:sz w:val="22"/>
          <w:szCs w:val="22"/>
        </w:rPr>
      </w:pPr>
    </w:p>
    <w:p w:rsidR="00E82828" w:rsidRPr="00E82828" w:rsidRDefault="00E82828" w:rsidP="00E82828">
      <w:pPr>
        <w:pStyle w:val="VnitrniText"/>
        <w:ind w:firstLine="142"/>
        <w:rPr>
          <w:sz w:val="22"/>
          <w:szCs w:val="22"/>
        </w:rPr>
      </w:pPr>
    </w:p>
    <w:p w:rsidR="00F86E89" w:rsidRPr="00A2149C" w:rsidRDefault="00F86E89" w:rsidP="00F86E89">
      <w:pPr>
        <w:pStyle w:val="VnitrniText"/>
        <w:rPr>
          <w:sz w:val="22"/>
          <w:szCs w:val="22"/>
        </w:rPr>
      </w:pP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Datum registrace ………………………….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ID smlouvy ……………………………... </w:t>
      </w:r>
    </w:p>
    <w:p w:rsidR="00F86E89" w:rsidRPr="00A2149C" w:rsidRDefault="00F86E89" w:rsidP="00F86E89">
      <w:pPr>
        <w:pStyle w:val="VnitrniText"/>
        <w:ind w:firstLine="0"/>
        <w:rPr>
          <w:sz w:val="22"/>
          <w:szCs w:val="22"/>
        </w:rPr>
      </w:pPr>
    </w:p>
    <w:p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rsidR="00F86E89" w:rsidRPr="00EB1964"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Registraci provedl …………………………………………….. </w:t>
      </w:r>
    </w:p>
    <w:p w:rsidR="00F86E89" w:rsidRPr="00A2149C" w:rsidRDefault="00F86E89" w:rsidP="00F86E89">
      <w:pPr>
        <w:pStyle w:val="VnitrniText"/>
        <w:ind w:firstLine="0"/>
        <w:rPr>
          <w:sz w:val="22"/>
          <w:szCs w:val="22"/>
        </w:rPr>
      </w:pPr>
    </w:p>
    <w:p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rsidR="00D4325F" w:rsidRDefault="00D4325F" w:rsidP="00D4325F">
      <w:pPr>
        <w:rPr>
          <w:rFonts w:ascii="Arial" w:hAnsi="Arial" w:cs="Arial"/>
          <w:sz w:val="22"/>
          <w:szCs w:val="22"/>
        </w:rPr>
      </w:pPr>
    </w:p>
    <w:p w:rsidR="00950547" w:rsidRDefault="00950547" w:rsidP="00D4325F">
      <w:pPr>
        <w:rPr>
          <w:rFonts w:ascii="Arial" w:hAnsi="Arial" w:cs="Arial"/>
          <w:sz w:val="22"/>
          <w:szCs w:val="22"/>
        </w:rPr>
      </w:pPr>
    </w:p>
    <w:p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45B" w:rsidRDefault="0021045B">
      <w:r>
        <w:separator/>
      </w:r>
    </w:p>
  </w:endnote>
  <w:endnote w:type="continuationSeparator" w:id="0">
    <w:p w:rsidR="0021045B" w:rsidRDefault="0021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45B" w:rsidRDefault="0021045B">
      <w:r>
        <w:separator/>
      </w:r>
    </w:p>
  </w:footnote>
  <w:footnote w:type="continuationSeparator" w:id="0">
    <w:p w:rsidR="0021045B" w:rsidRDefault="00210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045B"/>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3443"/>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01DC"/>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2EB8"/>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D739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01FF"/>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F580D"/>
  <w14:defaultImageDpi w14:val="0"/>
  <w15:docId w15:val="{E38ABA1C-6CD8-4869-9111-1AE86425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styleId="Normlnweb">
    <w:name w:val="Normal (Web)"/>
    <w:basedOn w:val="Normln"/>
    <w:uiPriority w:val="99"/>
    <w:unhideWhenUsed/>
    <w:rsid w:val="0021045B"/>
    <w:pPr>
      <w:suppressAutoHyphens w:val="0"/>
      <w:spacing w:before="100" w:beforeAutospacing="1" w:after="100" w:afterAutospacing="1"/>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45406">
      <w:marLeft w:val="0"/>
      <w:marRight w:val="0"/>
      <w:marTop w:val="0"/>
      <w:marBottom w:val="0"/>
      <w:divBdr>
        <w:top w:val="none" w:sz="0" w:space="0" w:color="auto"/>
        <w:left w:val="none" w:sz="0" w:space="0" w:color="auto"/>
        <w:bottom w:val="none" w:sz="0" w:space="0" w:color="auto"/>
        <w:right w:val="none" w:sz="0" w:space="0" w:color="auto"/>
      </w:divBdr>
    </w:div>
    <w:div w:id="1188445407">
      <w:marLeft w:val="0"/>
      <w:marRight w:val="0"/>
      <w:marTop w:val="0"/>
      <w:marBottom w:val="0"/>
      <w:divBdr>
        <w:top w:val="none" w:sz="0" w:space="0" w:color="auto"/>
        <w:left w:val="none" w:sz="0" w:space="0" w:color="auto"/>
        <w:bottom w:val="none" w:sz="0" w:space="0" w:color="auto"/>
        <w:right w:val="none" w:sz="0" w:space="0" w:color="auto"/>
      </w:divBdr>
    </w:div>
    <w:div w:id="1188445408">
      <w:marLeft w:val="0"/>
      <w:marRight w:val="0"/>
      <w:marTop w:val="0"/>
      <w:marBottom w:val="0"/>
      <w:divBdr>
        <w:top w:val="none" w:sz="0" w:space="0" w:color="auto"/>
        <w:left w:val="none" w:sz="0" w:space="0" w:color="auto"/>
        <w:bottom w:val="none" w:sz="0" w:space="0" w:color="auto"/>
        <w:right w:val="none" w:sz="0" w:space="0" w:color="auto"/>
      </w:divBdr>
    </w:div>
    <w:div w:id="1188445409">
      <w:marLeft w:val="0"/>
      <w:marRight w:val="0"/>
      <w:marTop w:val="0"/>
      <w:marBottom w:val="0"/>
      <w:divBdr>
        <w:top w:val="none" w:sz="0" w:space="0" w:color="auto"/>
        <w:left w:val="none" w:sz="0" w:space="0" w:color="auto"/>
        <w:bottom w:val="none" w:sz="0" w:space="0" w:color="auto"/>
        <w:right w:val="none" w:sz="0" w:space="0" w:color="auto"/>
      </w:divBdr>
    </w:div>
    <w:div w:id="1188445410">
      <w:marLeft w:val="0"/>
      <w:marRight w:val="0"/>
      <w:marTop w:val="0"/>
      <w:marBottom w:val="0"/>
      <w:divBdr>
        <w:top w:val="none" w:sz="0" w:space="0" w:color="auto"/>
        <w:left w:val="none" w:sz="0" w:space="0" w:color="auto"/>
        <w:bottom w:val="none" w:sz="0" w:space="0" w:color="auto"/>
        <w:right w:val="none" w:sz="0" w:space="0" w:color="auto"/>
      </w:divBdr>
    </w:div>
    <w:div w:id="1188445411">
      <w:marLeft w:val="0"/>
      <w:marRight w:val="0"/>
      <w:marTop w:val="0"/>
      <w:marBottom w:val="0"/>
      <w:divBdr>
        <w:top w:val="none" w:sz="0" w:space="0" w:color="auto"/>
        <w:left w:val="none" w:sz="0" w:space="0" w:color="auto"/>
        <w:bottom w:val="none" w:sz="0" w:space="0" w:color="auto"/>
        <w:right w:val="none" w:sz="0" w:space="0" w:color="auto"/>
      </w:divBdr>
    </w:div>
    <w:div w:id="1188445412">
      <w:marLeft w:val="0"/>
      <w:marRight w:val="0"/>
      <w:marTop w:val="0"/>
      <w:marBottom w:val="0"/>
      <w:divBdr>
        <w:top w:val="none" w:sz="0" w:space="0" w:color="auto"/>
        <w:left w:val="none" w:sz="0" w:space="0" w:color="auto"/>
        <w:bottom w:val="none" w:sz="0" w:space="0" w:color="auto"/>
        <w:right w:val="none" w:sz="0" w:space="0" w:color="auto"/>
      </w:divBdr>
    </w:div>
    <w:div w:id="1188445413">
      <w:marLeft w:val="0"/>
      <w:marRight w:val="0"/>
      <w:marTop w:val="0"/>
      <w:marBottom w:val="0"/>
      <w:divBdr>
        <w:top w:val="none" w:sz="0" w:space="0" w:color="auto"/>
        <w:left w:val="none" w:sz="0" w:space="0" w:color="auto"/>
        <w:bottom w:val="none" w:sz="0" w:space="0" w:color="auto"/>
        <w:right w:val="none" w:sz="0" w:space="0" w:color="auto"/>
      </w:divBdr>
    </w:div>
    <w:div w:id="1188445414">
      <w:marLeft w:val="0"/>
      <w:marRight w:val="0"/>
      <w:marTop w:val="0"/>
      <w:marBottom w:val="0"/>
      <w:divBdr>
        <w:top w:val="none" w:sz="0" w:space="0" w:color="auto"/>
        <w:left w:val="none" w:sz="0" w:space="0" w:color="auto"/>
        <w:bottom w:val="none" w:sz="0" w:space="0" w:color="auto"/>
        <w:right w:val="none" w:sz="0" w:space="0" w:color="auto"/>
      </w:divBdr>
    </w:div>
    <w:div w:id="1188445415">
      <w:marLeft w:val="0"/>
      <w:marRight w:val="0"/>
      <w:marTop w:val="0"/>
      <w:marBottom w:val="0"/>
      <w:divBdr>
        <w:top w:val="none" w:sz="0" w:space="0" w:color="auto"/>
        <w:left w:val="none" w:sz="0" w:space="0" w:color="auto"/>
        <w:bottom w:val="none" w:sz="0" w:space="0" w:color="auto"/>
        <w:right w:val="none" w:sz="0" w:space="0" w:color="auto"/>
      </w:divBdr>
    </w:div>
    <w:div w:id="1188445416">
      <w:marLeft w:val="0"/>
      <w:marRight w:val="0"/>
      <w:marTop w:val="0"/>
      <w:marBottom w:val="0"/>
      <w:divBdr>
        <w:top w:val="none" w:sz="0" w:space="0" w:color="auto"/>
        <w:left w:val="none" w:sz="0" w:space="0" w:color="auto"/>
        <w:bottom w:val="none" w:sz="0" w:space="0" w:color="auto"/>
        <w:right w:val="none" w:sz="0" w:space="0" w:color="auto"/>
      </w:divBdr>
    </w:div>
    <w:div w:id="1188445417">
      <w:marLeft w:val="0"/>
      <w:marRight w:val="0"/>
      <w:marTop w:val="0"/>
      <w:marBottom w:val="0"/>
      <w:divBdr>
        <w:top w:val="none" w:sz="0" w:space="0" w:color="auto"/>
        <w:left w:val="none" w:sz="0" w:space="0" w:color="auto"/>
        <w:bottom w:val="none" w:sz="0" w:space="0" w:color="auto"/>
        <w:right w:val="none" w:sz="0" w:space="0" w:color="auto"/>
      </w:divBdr>
    </w:div>
    <w:div w:id="1188445418">
      <w:marLeft w:val="0"/>
      <w:marRight w:val="0"/>
      <w:marTop w:val="0"/>
      <w:marBottom w:val="0"/>
      <w:divBdr>
        <w:top w:val="none" w:sz="0" w:space="0" w:color="auto"/>
        <w:left w:val="none" w:sz="0" w:space="0" w:color="auto"/>
        <w:bottom w:val="none" w:sz="0" w:space="0" w:color="auto"/>
        <w:right w:val="none" w:sz="0" w:space="0" w:color="auto"/>
      </w:divBdr>
    </w:div>
    <w:div w:id="1188445419">
      <w:marLeft w:val="0"/>
      <w:marRight w:val="0"/>
      <w:marTop w:val="0"/>
      <w:marBottom w:val="0"/>
      <w:divBdr>
        <w:top w:val="none" w:sz="0" w:space="0" w:color="auto"/>
        <w:left w:val="none" w:sz="0" w:space="0" w:color="auto"/>
        <w:bottom w:val="none" w:sz="0" w:space="0" w:color="auto"/>
        <w:right w:val="none" w:sz="0" w:space="0" w:color="auto"/>
      </w:divBdr>
    </w:div>
    <w:div w:id="1188445420">
      <w:marLeft w:val="0"/>
      <w:marRight w:val="0"/>
      <w:marTop w:val="0"/>
      <w:marBottom w:val="0"/>
      <w:divBdr>
        <w:top w:val="none" w:sz="0" w:space="0" w:color="auto"/>
        <w:left w:val="none" w:sz="0" w:space="0" w:color="auto"/>
        <w:bottom w:val="none" w:sz="0" w:space="0" w:color="auto"/>
        <w:right w:val="none" w:sz="0" w:space="0" w:color="auto"/>
      </w:divBdr>
    </w:div>
    <w:div w:id="1188445421">
      <w:marLeft w:val="0"/>
      <w:marRight w:val="0"/>
      <w:marTop w:val="0"/>
      <w:marBottom w:val="0"/>
      <w:divBdr>
        <w:top w:val="none" w:sz="0" w:space="0" w:color="auto"/>
        <w:left w:val="none" w:sz="0" w:space="0" w:color="auto"/>
        <w:bottom w:val="none" w:sz="0" w:space="0" w:color="auto"/>
        <w:right w:val="none" w:sz="0" w:space="0" w:color="auto"/>
      </w:divBdr>
    </w:div>
    <w:div w:id="1188445422">
      <w:marLeft w:val="0"/>
      <w:marRight w:val="0"/>
      <w:marTop w:val="0"/>
      <w:marBottom w:val="0"/>
      <w:divBdr>
        <w:top w:val="none" w:sz="0" w:space="0" w:color="auto"/>
        <w:left w:val="none" w:sz="0" w:space="0" w:color="auto"/>
        <w:bottom w:val="none" w:sz="0" w:space="0" w:color="auto"/>
        <w:right w:val="none" w:sz="0" w:space="0" w:color="auto"/>
      </w:divBdr>
    </w:div>
    <w:div w:id="1188445423">
      <w:marLeft w:val="0"/>
      <w:marRight w:val="0"/>
      <w:marTop w:val="0"/>
      <w:marBottom w:val="0"/>
      <w:divBdr>
        <w:top w:val="none" w:sz="0" w:space="0" w:color="auto"/>
        <w:left w:val="none" w:sz="0" w:space="0" w:color="auto"/>
        <w:bottom w:val="none" w:sz="0" w:space="0" w:color="auto"/>
        <w:right w:val="none" w:sz="0" w:space="0" w:color="auto"/>
      </w:divBdr>
    </w:div>
    <w:div w:id="1188445424">
      <w:marLeft w:val="0"/>
      <w:marRight w:val="0"/>
      <w:marTop w:val="0"/>
      <w:marBottom w:val="0"/>
      <w:divBdr>
        <w:top w:val="none" w:sz="0" w:space="0" w:color="auto"/>
        <w:left w:val="none" w:sz="0" w:space="0" w:color="auto"/>
        <w:bottom w:val="none" w:sz="0" w:space="0" w:color="auto"/>
        <w:right w:val="none" w:sz="0" w:space="0" w:color="auto"/>
      </w:divBdr>
    </w:div>
    <w:div w:id="1188445425">
      <w:marLeft w:val="0"/>
      <w:marRight w:val="0"/>
      <w:marTop w:val="0"/>
      <w:marBottom w:val="0"/>
      <w:divBdr>
        <w:top w:val="none" w:sz="0" w:space="0" w:color="auto"/>
        <w:left w:val="none" w:sz="0" w:space="0" w:color="auto"/>
        <w:bottom w:val="none" w:sz="0" w:space="0" w:color="auto"/>
        <w:right w:val="none" w:sz="0" w:space="0" w:color="auto"/>
      </w:divBdr>
    </w:div>
    <w:div w:id="1188445426">
      <w:marLeft w:val="0"/>
      <w:marRight w:val="0"/>
      <w:marTop w:val="0"/>
      <w:marBottom w:val="0"/>
      <w:divBdr>
        <w:top w:val="none" w:sz="0" w:space="0" w:color="auto"/>
        <w:left w:val="none" w:sz="0" w:space="0" w:color="auto"/>
        <w:bottom w:val="none" w:sz="0" w:space="0" w:color="auto"/>
        <w:right w:val="none" w:sz="0" w:space="0" w:color="auto"/>
      </w:divBdr>
    </w:div>
    <w:div w:id="1188445427">
      <w:marLeft w:val="0"/>
      <w:marRight w:val="0"/>
      <w:marTop w:val="0"/>
      <w:marBottom w:val="0"/>
      <w:divBdr>
        <w:top w:val="none" w:sz="0" w:space="0" w:color="auto"/>
        <w:left w:val="none" w:sz="0" w:space="0" w:color="auto"/>
        <w:bottom w:val="none" w:sz="0" w:space="0" w:color="auto"/>
        <w:right w:val="none" w:sz="0" w:space="0" w:color="auto"/>
      </w:divBdr>
    </w:div>
    <w:div w:id="1188445428">
      <w:marLeft w:val="0"/>
      <w:marRight w:val="0"/>
      <w:marTop w:val="0"/>
      <w:marBottom w:val="0"/>
      <w:divBdr>
        <w:top w:val="none" w:sz="0" w:space="0" w:color="auto"/>
        <w:left w:val="none" w:sz="0" w:space="0" w:color="auto"/>
        <w:bottom w:val="none" w:sz="0" w:space="0" w:color="auto"/>
        <w:right w:val="none" w:sz="0" w:space="0" w:color="auto"/>
      </w:divBdr>
    </w:div>
    <w:div w:id="1188445429">
      <w:marLeft w:val="0"/>
      <w:marRight w:val="0"/>
      <w:marTop w:val="0"/>
      <w:marBottom w:val="0"/>
      <w:divBdr>
        <w:top w:val="none" w:sz="0" w:space="0" w:color="auto"/>
        <w:left w:val="none" w:sz="0" w:space="0" w:color="auto"/>
        <w:bottom w:val="none" w:sz="0" w:space="0" w:color="auto"/>
        <w:right w:val="none" w:sz="0" w:space="0" w:color="auto"/>
      </w:divBdr>
    </w:div>
    <w:div w:id="1188445430">
      <w:marLeft w:val="0"/>
      <w:marRight w:val="0"/>
      <w:marTop w:val="0"/>
      <w:marBottom w:val="0"/>
      <w:divBdr>
        <w:top w:val="none" w:sz="0" w:space="0" w:color="auto"/>
        <w:left w:val="none" w:sz="0" w:space="0" w:color="auto"/>
        <w:bottom w:val="none" w:sz="0" w:space="0" w:color="auto"/>
        <w:right w:val="none" w:sz="0" w:space="0" w:color="auto"/>
      </w:divBdr>
    </w:div>
    <w:div w:id="1188445431">
      <w:marLeft w:val="0"/>
      <w:marRight w:val="0"/>
      <w:marTop w:val="0"/>
      <w:marBottom w:val="0"/>
      <w:divBdr>
        <w:top w:val="none" w:sz="0" w:space="0" w:color="auto"/>
        <w:left w:val="none" w:sz="0" w:space="0" w:color="auto"/>
        <w:bottom w:val="none" w:sz="0" w:space="0" w:color="auto"/>
        <w:right w:val="none" w:sz="0" w:space="0" w:color="auto"/>
      </w:divBdr>
    </w:div>
    <w:div w:id="1188445432">
      <w:marLeft w:val="0"/>
      <w:marRight w:val="0"/>
      <w:marTop w:val="0"/>
      <w:marBottom w:val="0"/>
      <w:divBdr>
        <w:top w:val="none" w:sz="0" w:space="0" w:color="auto"/>
        <w:left w:val="none" w:sz="0" w:space="0" w:color="auto"/>
        <w:bottom w:val="none" w:sz="0" w:space="0" w:color="auto"/>
        <w:right w:val="none" w:sz="0" w:space="0" w:color="auto"/>
      </w:divBdr>
    </w:div>
    <w:div w:id="1188445433">
      <w:marLeft w:val="0"/>
      <w:marRight w:val="0"/>
      <w:marTop w:val="0"/>
      <w:marBottom w:val="0"/>
      <w:divBdr>
        <w:top w:val="none" w:sz="0" w:space="0" w:color="auto"/>
        <w:left w:val="none" w:sz="0" w:space="0" w:color="auto"/>
        <w:bottom w:val="none" w:sz="0" w:space="0" w:color="auto"/>
        <w:right w:val="none" w:sz="0" w:space="0" w:color="auto"/>
      </w:divBdr>
    </w:div>
    <w:div w:id="1188445434">
      <w:marLeft w:val="0"/>
      <w:marRight w:val="0"/>
      <w:marTop w:val="0"/>
      <w:marBottom w:val="0"/>
      <w:divBdr>
        <w:top w:val="none" w:sz="0" w:space="0" w:color="auto"/>
        <w:left w:val="none" w:sz="0" w:space="0" w:color="auto"/>
        <w:bottom w:val="none" w:sz="0" w:space="0" w:color="auto"/>
        <w:right w:val="none" w:sz="0" w:space="0" w:color="auto"/>
      </w:divBdr>
    </w:div>
    <w:div w:id="1188445435">
      <w:marLeft w:val="0"/>
      <w:marRight w:val="0"/>
      <w:marTop w:val="0"/>
      <w:marBottom w:val="0"/>
      <w:divBdr>
        <w:top w:val="none" w:sz="0" w:space="0" w:color="auto"/>
        <w:left w:val="none" w:sz="0" w:space="0" w:color="auto"/>
        <w:bottom w:val="none" w:sz="0" w:space="0" w:color="auto"/>
        <w:right w:val="none" w:sz="0" w:space="0" w:color="auto"/>
      </w:divBdr>
    </w:div>
    <w:div w:id="1188445436">
      <w:marLeft w:val="0"/>
      <w:marRight w:val="0"/>
      <w:marTop w:val="0"/>
      <w:marBottom w:val="0"/>
      <w:divBdr>
        <w:top w:val="none" w:sz="0" w:space="0" w:color="auto"/>
        <w:left w:val="none" w:sz="0" w:space="0" w:color="auto"/>
        <w:bottom w:val="none" w:sz="0" w:space="0" w:color="auto"/>
        <w:right w:val="none" w:sz="0" w:space="0" w:color="auto"/>
      </w:divBdr>
    </w:div>
    <w:div w:id="1188445437">
      <w:marLeft w:val="0"/>
      <w:marRight w:val="0"/>
      <w:marTop w:val="0"/>
      <w:marBottom w:val="0"/>
      <w:divBdr>
        <w:top w:val="none" w:sz="0" w:space="0" w:color="auto"/>
        <w:left w:val="none" w:sz="0" w:space="0" w:color="auto"/>
        <w:bottom w:val="none" w:sz="0" w:space="0" w:color="auto"/>
        <w:right w:val="none" w:sz="0" w:space="0" w:color="auto"/>
      </w:divBdr>
    </w:div>
    <w:div w:id="1188445438">
      <w:marLeft w:val="0"/>
      <w:marRight w:val="0"/>
      <w:marTop w:val="0"/>
      <w:marBottom w:val="0"/>
      <w:divBdr>
        <w:top w:val="none" w:sz="0" w:space="0" w:color="auto"/>
        <w:left w:val="none" w:sz="0" w:space="0" w:color="auto"/>
        <w:bottom w:val="none" w:sz="0" w:space="0" w:color="auto"/>
        <w:right w:val="none" w:sz="0" w:space="0" w:color="auto"/>
      </w:divBdr>
    </w:div>
    <w:div w:id="1188445439">
      <w:marLeft w:val="0"/>
      <w:marRight w:val="0"/>
      <w:marTop w:val="0"/>
      <w:marBottom w:val="0"/>
      <w:divBdr>
        <w:top w:val="none" w:sz="0" w:space="0" w:color="auto"/>
        <w:left w:val="none" w:sz="0" w:space="0" w:color="auto"/>
        <w:bottom w:val="none" w:sz="0" w:space="0" w:color="auto"/>
        <w:right w:val="none" w:sz="0" w:space="0" w:color="auto"/>
      </w:divBdr>
    </w:div>
    <w:div w:id="1188445440">
      <w:marLeft w:val="0"/>
      <w:marRight w:val="0"/>
      <w:marTop w:val="0"/>
      <w:marBottom w:val="0"/>
      <w:divBdr>
        <w:top w:val="none" w:sz="0" w:space="0" w:color="auto"/>
        <w:left w:val="none" w:sz="0" w:space="0" w:color="auto"/>
        <w:bottom w:val="none" w:sz="0" w:space="0" w:color="auto"/>
        <w:right w:val="none" w:sz="0" w:space="0" w:color="auto"/>
      </w:divBdr>
    </w:div>
    <w:div w:id="1188445441">
      <w:marLeft w:val="0"/>
      <w:marRight w:val="0"/>
      <w:marTop w:val="0"/>
      <w:marBottom w:val="0"/>
      <w:divBdr>
        <w:top w:val="none" w:sz="0" w:space="0" w:color="auto"/>
        <w:left w:val="none" w:sz="0" w:space="0" w:color="auto"/>
        <w:bottom w:val="none" w:sz="0" w:space="0" w:color="auto"/>
        <w:right w:val="none" w:sz="0" w:space="0" w:color="auto"/>
      </w:divBdr>
    </w:div>
    <w:div w:id="1188445442">
      <w:marLeft w:val="0"/>
      <w:marRight w:val="0"/>
      <w:marTop w:val="0"/>
      <w:marBottom w:val="0"/>
      <w:divBdr>
        <w:top w:val="none" w:sz="0" w:space="0" w:color="auto"/>
        <w:left w:val="none" w:sz="0" w:space="0" w:color="auto"/>
        <w:bottom w:val="none" w:sz="0" w:space="0" w:color="auto"/>
        <w:right w:val="none" w:sz="0" w:space="0" w:color="auto"/>
      </w:divBdr>
    </w:div>
    <w:div w:id="1188445443">
      <w:marLeft w:val="0"/>
      <w:marRight w:val="0"/>
      <w:marTop w:val="0"/>
      <w:marBottom w:val="0"/>
      <w:divBdr>
        <w:top w:val="none" w:sz="0" w:space="0" w:color="auto"/>
        <w:left w:val="none" w:sz="0" w:space="0" w:color="auto"/>
        <w:bottom w:val="none" w:sz="0" w:space="0" w:color="auto"/>
        <w:right w:val="none" w:sz="0" w:space="0" w:color="auto"/>
      </w:divBdr>
    </w:div>
    <w:div w:id="1188445444">
      <w:marLeft w:val="0"/>
      <w:marRight w:val="0"/>
      <w:marTop w:val="0"/>
      <w:marBottom w:val="0"/>
      <w:divBdr>
        <w:top w:val="none" w:sz="0" w:space="0" w:color="auto"/>
        <w:left w:val="none" w:sz="0" w:space="0" w:color="auto"/>
        <w:bottom w:val="none" w:sz="0" w:space="0" w:color="auto"/>
        <w:right w:val="none" w:sz="0" w:space="0" w:color="auto"/>
      </w:divBdr>
    </w:div>
    <w:div w:id="1188445445">
      <w:marLeft w:val="0"/>
      <w:marRight w:val="0"/>
      <w:marTop w:val="0"/>
      <w:marBottom w:val="0"/>
      <w:divBdr>
        <w:top w:val="none" w:sz="0" w:space="0" w:color="auto"/>
        <w:left w:val="none" w:sz="0" w:space="0" w:color="auto"/>
        <w:bottom w:val="none" w:sz="0" w:space="0" w:color="auto"/>
        <w:right w:val="none" w:sz="0" w:space="0" w:color="auto"/>
      </w:divBdr>
    </w:div>
    <w:div w:id="118844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1314</Words>
  <Characters>8304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Vašíčková Martina</dc:creator>
  <cp:keywords/>
  <dc:description/>
  <cp:lastModifiedBy>Vašíčková Martina Ing.</cp:lastModifiedBy>
  <cp:revision>4</cp:revision>
  <cp:lastPrinted>2004-12-15T14:06:00Z</cp:lastPrinted>
  <dcterms:created xsi:type="dcterms:W3CDTF">2020-07-03T10:33:00Z</dcterms:created>
  <dcterms:modified xsi:type="dcterms:W3CDTF">2020-08-05T08:23:00Z</dcterms:modified>
</cp:coreProperties>
</file>