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7C958" w14:textId="77777777" w:rsidR="00CF7A80" w:rsidRPr="00C6703C" w:rsidRDefault="00CF7A80" w:rsidP="00631AB2">
      <w:pPr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POVĚŘENÍ K POSKYTOVÁNÍ SLUŽEB OBECNÉHO HOSPODÁŘSKÉHO ZÁJMU</w:t>
      </w:r>
    </w:p>
    <w:p w14:paraId="5F043252" w14:textId="77777777" w:rsidR="00CF7A80" w:rsidRPr="00C6703C" w:rsidRDefault="00CF7A80" w:rsidP="00631AB2">
      <w:pPr>
        <w:jc w:val="center"/>
        <w:rPr>
          <w:rFonts w:eastAsiaTheme="minorHAnsi"/>
          <w:b/>
          <w:szCs w:val="24"/>
          <w:lang w:eastAsia="en-US"/>
        </w:rPr>
      </w:pPr>
    </w:p>
    <w:p w14:paraId="34C41094" w14:textId="77777777" w:rsidR="00CF7A80" w:rsidRPr="00C6703C" w:rsidRDefault="00CF7A80" w:rsidP="00631AB2">
      <w:pPr>
        <w:tabs>
          <w:tab w:val="left" w:pos="1276"/>
        </w:tabs>
        <w:rPr>
          <w:rFonts w:eastAsiaTheme="minorHAnsi"/>
          <w:b/>
          <w:szCs w:val="24"/>
          <w:lang w:eastAsia="en-US"/>
        </w:rPr>
      </w:pPr>
    </w:p>
    <w:p w14:paraId="60BCBDC1" w14:textId="77777777" w:rsidR="00CF7A80" w:rsidRPr="00C6703C" w:rsidRDefault="00CF7A80" w:rsidP="00631AB2">
      <w:pPr>
        <w:tabs>
          <w:tab w:val="left" w:pos="1276"/>
        </w:tabs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statutární město Liberec</w:t>
      </w:r>
    </w:p>
    <w:p w14:paraId="43C87399" w14:textId="6CF81436" w:rsidR="00CF7A80" w:rsidRPr="00C6703C" w:rsidRDefault="00CF7A80" w:rsidP="00631AB2">
      <w:pPr>
        <w:tabs>
          <w:tab w:val="left" w:pos="1276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se sídlem nám. Dr. E. Beneše 1, </w:t>
      </w:r>
      <w:r w:rsidR="00904588" w:rsidRPr="00C6703C">
        <w:rPr>
          <w:rFonts w:eastAsiaTheme="minorHAnsi"/>
          <w:szCs w:val="24"/>
          <w:lang w:eastAsia="en-US"/>
        </w:rPr>
        <w:t>Liberec 1, PSČ 460 59</w:t>
      </w:r>
      <w:r w:rsidRPr="00C6703C">
        <w:rPr>
          <w:rFonts w:eastAsiaTheme="minorHAnsi"/>
          <w:szCs w:val="24"/>
          <w:lang w:eastAsia="en-US"/>
        </w:rPr>
        <w:t xml:space="preserve"> </w:t>
      </w:r>
    </w:p>
    <w:p w14:paraId="7C07904A" w14:textId="77777777" w:rsidR="00CF7A80" w:rsidRPr="00C6703C" w:rsidRDefault="00CF7A80" w:rsidP="00631AB2">
      <w:pPr>
        <w:tabs>
          <w:tab w:val="left" w:pos="1276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IČ: 00262978</w:t>
      </w:r>
    </w:p>
    <w:p w14:paraId="493773AC" w14:textId="77777777" w:rsidR="00CF7A80" w:rsidRPr="00C6703C" w:rsidRDefault="00CF7A80" w:rsidP="00631AB2">
      <w:pPr>
        <w:tabs>
          <w:tab w:val="left" w:pos="1276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zastoupené panem Tiborem </w:t>
      </w:r>
      <w:proofErr w:type="spellStart"/>
      <w:r w:rsidRPr="00C6703C">
        <w:rPr>
          <w:rFonts w:eastAsiaTheme="minorHAnsi"/>
          <w:szCs w:val="24"/>
          <w:lang w:eastAsia="en-US"/>
        </w:rPr>
        <w:t>Batthyánym</w:t>
      </w:r>
      <w:proofErr w:type="spellEnd"/>
      <w:r w:rsidRPr="00C6703C">
        <w:rPr>
          <w:rFonts w:eastAsiaTheme="minorHAnsi"/>
          <w:szCs w:val="24"/>
          <w:lang w:eastAsia="en-US"/>
        </w:rPr>
        <w:t>, primátorem města</w:t>
      </w:r>
    </w:p>
    <w:p w14:paraId="6F5D7302" w14:textId="77777777" w:rsidR="00CF7A80" w:rsidRPr="00C6703C" w:rsidRDefault="00CF7A80" w:rsidP="00631AB2">
      <w:pPr>
        <w:tabs>
          <w:tab w:val="left" w:pos="1276"/>
        </w:tabs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jako pověřovatel</w:t>
      </w:r>
    </w:p>
    <w:p w14:paraId="6F1218A6" w14:textId="77777777" w:rsidR="00CF7A80" w:rsidRPr="00C6703C" w:rsidRDefault="00CF7A80" w:rsidP="00631AB2">
      <w:pPr>
        <w:tabs>
          <w:tab w:val="left" w:pos="1276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(dále jen „</w:t>
      </w:r>
      <w:r w:rsidRPr="00C6703C">
        <w:rPr>
          <w:rFonts w:eastAsiaTheme="minorHAnsi"/>
          <w:b/>
          <w:szCs w:val="24"/>
          <w:lang w:eastAsia="en-US"/>
        </w:rPr>
        <w:t>SML</w:t>
      </w:r>
      <w:r w:rsidRPr="00C6703C">
        <w:rPr>
          <w:rFonts w:eastAsiaTheme="minorHAnsi"/>
          <w:szCs w:val="24"/>
          <w:lang w:eastAsia="en-US"/>
        </w:rPr>
        <w:t>“)</w:t>
      </w:r>
    </w:p>
    <w:p w14:paraId="24487B23" w14:textId="77777777" w:rsidR="00CF7A80" w:rsidRPr="00C6703C" w:rsidRDefault="00CF7A80" w:rsidP="00631AB2">
      <w:pPr>
        <w:tabs>
          <w:tab w:val="left" w:pos="1560"/>
        </w:tabs>
        <w:ind w:left="360"/>
        <w:rPr>
          <w:rFonts w:eastAsiaTheme="minorHAnsi"/>
          <w:szCs w:val="24"/>
          <w:lang w:eastAsia="en-US"/>
        </w:rPr>
      </w:pPr>
    </w:p>
    <w:p w14:paraId="0BA8B7AC" w14:textId="77777777" w:rsidR="00CF7A80" w:rsidRPr="00C6703C" w:rsidRDefault="00CF7A80" w:rsidP="00631AB2">
      <w:pPr>
        <w:tabs>
          <w:tab w:val="left" w:pos="1276"/>
          <w:tab w:val="left" w:pos="1560"/>
        </w:tabs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Komunitní práce Liberec, o.p.s.</w:t>
      </w:r>
    </w:p>
    <w:p w14:paraId="629AFFAC" w14:textId="74AFFD1F" w:rsidR="00CF7A80" w:rsidRPr="00C6703C" w:rsidRDefault="00CF7A80" w:rsidP="00631AB2">
      <w:pPr>
        <w:tabs>
          <w:tab w:val="left" w:pos="1276"/>
          <w:tab w:val="left" w:pos="1560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se sídlem nám</w:t>
      </w:r>
      <w:r w:rsidR="00904588" w:rsidRPr="00C6703C">
        <w:rPr>
          <w:rFonts w:eastAsiaTheme="minorHAnsi"/>
          <w:szCs w:val="24"/>
          <w:lang w:eastAsia="en-US"/>
        </w:rPr>
        <w:t>.</w:t>
      </w:r>
      <w:r w:rsidR="00312110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 xml:space="preserve">Dr. E. Beneše 1, </w:t>
      </w:r>
      <w:r w:rsidR="00904588" w:rsidRPr="00C6703C">
        <w:rPr>
          <w:rFonts w:eastAsiaTheme="minorHAnsi"/>
          <w:szCs w:val="24"/>
          <w:lang w:eastAsia="en-US"/>
        </w:rPr>
        <w:t xml:space="preserve">Liberec 1, </w:t>
      </w:r>
      <w:r w:rsidRPr="00C6703C">
        <w:rPr>
          <w:rFonts w:eastAsiaTheme="minorHAnsi"/>
          <w:szCs w:val="24"/>
          <w:lang w:eastAsia="en-US"/>
        </w:rPr>
        <w:t>PSČ 460 59</w:t>
      </w:r>
    </w:p>
    <w:p w14:paraId="345E1DF4" w14:textId="4E6F07A0" w:rsidR="00904588" w:rsidRPr="00C6703C" w:rsidRDefault="00B948C1" w:rsidP="00631AB2">
      <w:pPr>
        <w:tabs>
          <w:tab w:val="left" w:pos="1276"/>
          <w:tab w:val="left" w:pos="1560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doručovací adresa: </w:t>
      </w:r>
      <w:proofErr w:type="spellStart"/>
      <w:r w:rsidR="00904588" w:rsidRPr="00C6703C">
        <w:rPr>
          <w:rFonts w:eastAsiaTheme="minorHAnsi"/>
          <w:szCs w:val="24"/>
          <w:lang w:eastAsia="en-US"/>
        </w:rPr>
        <w:t>Josefinino</w:t>
      </w:r>
      <w:proofErr w:type="spellEnd"/>
      <w:r w:rsidR="00904588" w:rsidRPr="00C6703C">
        <w:rPr>
          <w:rFonts w:eastAsiaTheme="minorHAnsi"/>
          <w:szCs w:val="24"/>
          <w:lang w:eastAsia="en-US"/>
        </w:rPr>
        <w:t xml:space="preserve"> údolí 9/9, Liberec V – </w:t>
      </w:r>
      <w:proofErr w:type="spellStart"/>
      <w:r w:rsidR="00904588" w:rsidRPr="00C6703C">
        <w:rPr>
          <w:rFonts w:eastAsiaTheme="minorHAnsi"/>
          <w:szCs w:val="24"/>
          <w:lang w:eastAsia="en-US"/>
        </w:rPr>
        <w:t>Kristiánov</w:t>
      </w:r>
      <w:proofErr w:type="spellEnd"/>
      <w:r w:rsidR="00904588" w:rsidRPr="00C6703C">
        <w:rPr>
          <w:rFonts w:eastAsiaTheme="minorHAnsi"/>
          <w:szCs w:val="24"/>
          <w:lang w:eastAsia="en-US"/>
        </w:rPr>
        <w:t>, PSČ 460 05</w:t>
      </w:r>
    </w:p>
    <w:p w14:paraId="6F4F608B" w14:textId="77777777" w:rsidR="00CF7A80" w:rsidRPr="00C6703C" w:rsidRDefault="00CF7A80" w:rsidP="00631AB2">
      <w:pPr>
        <w:tabs>
          <w:tab w:val="left" w:pos="1276"/>
          <w:tab w:val="left" w:pos="1560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IČ: 27275558</w:t>
      </w:r>
    </w:p>
    <w:p w14:paraId="5337A663" w14:textId="5A13E9FB" w:rsidR="00CF7A80" w:rsidRPr="00C6703C" w:rsidRDefault="00CF7A80" w:rsidP="00631AB2">
      <w:pPr>
        <w:tabs>
          <w:tab w:val="left" w:pos="1276"/>
          <w:tab w:val="left" w:pos="1560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za</w:t>
      </w:r>
      <w:r w:rsidR="00312110">
        <w:rPr>
          <w:rFonts w:eastAsiaTheme="minorHAnsi"/>
          <w:szCs w:val="24"/>
          <w:lang w:eastAsia="en-US"/>
        </w:rPr>
        <w:t xml:space="preserve">stoupená Bc. Klárou </w:t>
      </w:r>
      <w:proofErr w:type="spellStart"/>
      <w:r w:rsidR="00312110">
        <w:rPr>
          <w:rFonts w:eastAsiaTheme="minorHAnsi"/>
          <w:szCs w:val="24"/>
          <w:lang w:eastAsia="en-US"/>
        </w:rPr>
        <w:t>Tekelyovou</w:t>
      </w:r>
      <w:proofErr w:type="spellEnd"/>
      <w:r w:rsidR="00312110">
        <w:rPr>
          <w:rFonts w:eastAsiaTheme="minorHAnsi"/>
          <w:szCs w:val="24"/>
          <w:lang w:eastAsia="en-US"/>
        </w:rPr>
        <w:t xml:space="preserve">, </w:t>
      </w:r>
      <w:proofErr w:type="spellStart"/>
      <w:r w:rsidRPr="00C6703C">
        <w:rPr>
          <w:rFonts w:eastAsiaTheme="minorHAnsi"/>
          <w:szCs w:val="24"/>
          <w:lang w:eastAsia="en-US"/>
        </w:rPr>
        <w:t>DiS</w:t>
      </w:r>
      <w:proofErr w:type="spellEnd"/>
      <w:r w:rsidRPr="00C6703C">
        <w:rPr>
          <w:rFonts w:eastAsiaTheme="minorHAnsi"/>
          <w:szCs w:val="24"/>
          <w:lang w:eastAsia="en-US"/>
        </w:rPr>
        <w:t>., ředitelkou</w:t>
      </w:r>
    </w:p>
    <w:p w14:paraId="18F70167" w14:textId="7A6E36EE" w:rsidR="00CF7A80" w:rsidRPr="00C6703C" w:rsidRDefault="00CF7A80" w:rsidP="00631AB2">
      <w:pPr>
        <w:tabs>
          <w:tab w:val="left" w:pos="1276"/>
        </w:tabs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jako pověřený</w:t>
      </w:r>
      <w:r w:rsidR="000B7076" w:rsidRPr="00C6703C">
        <w:rPr>
          <w:rFonts w:eastAsiaTheme="minorHAnsi"/>
          <w:b/>
          <w:szCs w:val="24"/>
          <w:lang w:eastAsia="en-US"/>
        </w:rPr>
        <w:t xml:space="preserve"> podnik</w:t>
      </w:r>
    </w:p>
    <w:p w14:paraId="56FD934D" w14:textId="7F820402" w:rsidR="00CF7A80" w:rsidRPr="00C6703C" w:rsidRDefault="00CF7A80" w:rsidP="00631AB2">
      <w:pPr>
        <w:tabs>
          <w:tab w:val="left" w:pos="1276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(dále jen „</w:t>
      </w:r>
      <w:r w:rsidRPr="00C6703C">
        <w:rPr>
          <w:rFonts w:eastAsiaTheme="minorHAnsi"/>
          <w:b/>
          <w:szCs w:val="24"/>
          <w:lang w:eastAsia="en-US"/>
        </w:rPr>
        <w:t>Podnik</w:t>
      </w:r>
      <w:r w:rsidRPr="00C6703C">
        <w:rPr>
          <w:rFonts w:eastAsiaTheme="minorHAnsi"/>
          <w:szCs w:val="24"/>
          <w:lang w:eastAsia="en-US"/>
        </w:rPr>
        <w:t>“)</w:t>
      </w:r>
    </w:p>
    <w:p w14:paraId="5908C45E" w14:textId="77777777" w:rsidR="00CF7A80" w:rsidRPr="00C6703C" w:rsidRDefault="00CF7A80" w:rsidP="00631AB2">
      <w:pPr>
        <w:ind w:left="360"/>
        <w:rPr>
          <w:rFonts w:eastAsiaTheme="minorHAnsi"/>
          <w:szCs w:val="24"/>
          <w:lang w:eastAsia="en-US"/>
        </w:rPr>
      </w:pPr>
    </w:p>
    <w:p w14:paraId="40622A5B" w14:textId="77777777" w:rsidR="00CF7A80" w:rsidRPr="00C6703C" w:rsidRDefault="00CF7A80" w:rsidP="00631AB2">
      <w:pPr>
        <w:ind w:left="360"/>
        <w:rPr>
          <w:rFonts w:eastAsiaTheme="minorHAnsi"/>
          <w:szCs w:val="24"/>
          <w:lang w:eastAsia="en-US"/>
        </w:rPr>
      </w:pPr>
    </w:p>
    <w:p w14:paraId="2FF2E119" w14:textId="77777777" w:rsidR="00A24DCE" w:rsidRPr="00C6703C" w:rsidRDefault="00A24DCE" w:rsidP="00631AB2">
      <w:pPr>
        <w:ind w:left="360"/>
        <w:rPr>
          <w:rFonts w:eastAsiaTheme="minorHAnsi"/>
          <w:szCs w:val="24"/>
          <w:lang w:eastAsia="en-US"/>
        </w:rPr>
      </w:pPr>
    </w:p>
    <w:p w14:paraId="10FFC798" w14:textId="5615F445" w:rsidR="00CF7A80" w:rsidRPr="00C6703C" w:rsidRDefault="00631AB2" w:rsidP="00312110">
      <w:pPr>
        <w:numPr>
          <w:ilvl w:val="0"/>
          <w:numId w:val="2"/>
        </w:numPr>
        <w:jc w:val="center"/>
        <w:rPr>
          <w:rFonts w:eastAsiaTheme="minorHAnsi"/>
          <w:b/>
          <w:color w:val="000000" w:themeColor="text1"/>
          <w:szCs w:val="24"/>
          <w:lang w:eastAsia="en-US"/>
        </w:rPr>
      </w:pPr>
      <w:r w:rsidRPr="00C6703C">
        <w:rPr>
          <w:rFonts w:eastAsiaTheme="minorHAnsi"/>
          <w:b/>
          <w:color w:val="000000" w:themeColor="text1"/>
          <w:szCs w:val="24"/>
          <w:lang w:eastAsia="en-US"/>
        </w:rPr>
        <w:t>PŘEDMĚT A ÚČEL</w:t>
      </w:r>
    </w:p>
    <w:p w14:paraId="3F98C03A" w14:textId="77777777" w:rsidR="00CF7A80" w:rsidRPr="00C6703C" w:rsidRDefault="00CF7A80" w:rsidP="00631AB2">
      <w:pPr>
        <w:ind w:left="360"/>
        <w:rPr>
          <w:rFonts w:eastAsiaTheme="minorHAnsi"/>
          <w:color w:val="000000" w:themeColor="text1"/>
          <w:szCs w:val="24"/>
          <w:lang w:eastAsia="en-US"/>
        </w:rPr>
      </w:pPr>
    </w:p>
    <w:p w14:paraId="621338C6" w14:textId="1DCE9FBD" w:rsidR="00CF7A80" w:rsidRPr="00C6703C" w:rsidRDefault="00CF7A80" w:rsidP="00631AB2">
      <w:pPr>
        <w:numPr>
          <w:ilvl w:val="0"/>
          <w:numId w:val="5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Komunitní práce Liberec, o.p.s. byly založeny </w:t>
      </w:r>
      <w:r w:rsidR="00441F2C" w:rsidRPr="00C6703C">
        <w:rPr>
          <w:rFonts w:eastAsiaTheme="minorHAnsi"/>
          <w:color w:val="000000" w:themeColor="text1"/>
          <w:szCs w:val="24"/>
          <w:lang w:eastAsia="en-US"/>
        </w:rPr>
        <w:t xml:space="preserve">statutárním městem Liberec 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za účelem poskytování obecně prospěšných služeb veřejnosti spočívajících ve vytváření časově omezených pracovních příležitostí pro dlouhodobě nezaměstnané uchazeče o zaměstnání vedené v evidenci Úřadu práce v Liberci, a to i opakovaně, a v poskytování společensky účelných pracovních míst v souladu se zákonem č. 435/2004 Sb., o zaměstnanosti, ve znění pozdějších předpisů. Tato pracovní místa jsou vytvářena </w:t>
      </w:r>
      <w:r w:rsidR="00F82B66" w:rsidRPr="00C6703C">
        <w:rPr>
          <w:rFonts w:eastAsiaTheme="minorHAnsi"/>
          <w:color w:val="000000" w:themeColor="text1"/>
          <w:szCs w:val="24"/>
          <w:lang w:eastAsia="en-US"/>
        </w:rPr>
        <w:t xml:space="preserve">Podnikem 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v součinnosti se SML a </w:t>
      </w:r>
      <w:r w:rsidRPr="00C6703C">
        <w:rPr>
          <w:color w:val="000000" w:themeColor="text1"/>
          <w:szCs w:val="24"/>
        </w:rPr>
        <w:t xml:space="preserve">dalšími </w:t>
      </w:r>
      <w:r w:rsidR="00441F2C" w:rsidRPr="00C6703C">
        <w:rPr>
          <w:color w:val="000000" w:themeColor="text1"/>
          <w:szCs w:val="24"/>
        </w:rPr>
        <w:t>městskými organizacemi</w:t>
      </w:r>
      <w:r w:rsidRPr="00C6703C">
        <w:rPr>
          <w:color w:val="000000" w:themeColor="text1"/>
          <w:szCs w:val="24"/>
        </w:rPr>
        <w:t xml:space="preserve"> a 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jsou zaměřena na úklid a údržbu veřejných prostranství a zeleně, veřejných budov a komunikací a jiných obdobných činností ve prospěch </w:t>
      </w:r>
      <w:r w:rsidR="00F82B66" w:rsidRPr="00C6703C">
        <w:rPr>
          <w:rFonts w:eastAsiaTheme="minorHAnsi"/>
          <w:color w:val="000000" w:themeColor="text1"/>
          <w:szCs w:val="24"/>
          <w:lang w:eastAsia="en-US"/>
        </w:rPr>
        <w:t xml:space="preserve">města Liberec </w:t>
      </w:r>
      <w:r w:rsidR="00C17197" w:rsidRPr="00C6703C">
        <w:rPr>
          <w:rFonts w:eastAsiaTheme="minorHAnsi"/>
          <w:color w:val="000000" w:themeColor="text1"/>
          <w:szCs w:val="24"/>
          <w:lang w:eastAsia="en-US"/>
        </w:rPr>
        <w:t>nebo ve prospěch státních nebo jiných obecně prospěšných institucí na území města Liberec</w:t>
      </w:r>
      <w:r w:rsidR="00F82B66" w:rsidRPr="00C6703C">
        <w:rPr>
          <w:rFonts w:eastAsiaTheme="minorHAnsi"/>
          <w:color w:val="000000" w:themeColor="text1"/>
          <w:szCs w:val="24"/>
          <w:lang w:eastAsia="en-US"/>
        </w:rPr>
        <w:t xml:space="preserve">.  </w:t>
      </w:r>
      <w:r w:rsidRPr="00C6703C">
        <w:rPr>
          <w:rFonts w:eastAsiaTheme="minorHAnsi"/>
          <w:szCs w:val="24"/>
          <w:lang w:eastAsia="en-US"/>
        </w:rPr>
        <w:t xml:space="preserve"> </w:t>
      </w:r>
    </w:p>
    <w:p w14:paraId="1675FD9E" w14:textId="77777777" w:rsidR="00CF7A80" w:rsidRPr="00C6703C" w:rsidRDefault="00CF7A80" w:rsidP="00631AB2">
      <w:pPr>
        <w:ind w:left="284"/>
        <w:rPr>
          <w:rFonts w:eastAsiaTheme="minorHAnsi"/>
          <w:szCs w:val="24"/>
          <w:lang w:eastAsia="en-US"/>
        </w:rPr>
      </w:pPr>
    </w:p>
    <w:p w14:paraId="478F4946" w14:textId="1AD2E649" w:rsidR="00CF7A80" w:rsidRPr="00C6703C" w:rsidRDefault="00CF7A80" w:rsidP="00631AB2">
      <w:pPr>
        <w:numPr>
          <w:ilvl w:val="0"/>
          <w:numId w:val="5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Tímto Pověřením pověřuje statutární město Liberec Komunitní práce Liberec, o.p.s., k poskytování služeb obecného hospodářského zájmu vymezených v čl. II tohoto Pověření. Toto Pověření dále stanoví rozsah, dobu a podmínky, za nichž bude </w:t>
      </w:r>
      <w:r w:rsidR="00441F2C" w:rsidRPr="00C6703C">
        <w:rPr>
          <w:rFonts w:eastAsiaTheme="minorHAnsi"/>
          <w:szCs w:val="24"/>
          <w:lang w:eastAsia="en-US"/>
        </w:rPr>
        <w:t xml:space="preserve">Podnik </w:t>
      </w:r>
      <w:r w:rsidRPr="00C6703C">
        <w:rPr>
          <w:rFonts w:eastAsiaTheme="minorHAnsi"/>
          <w:szCs w:val="24"/>
          <w:lang w:eastAsia="en-US"/>
        </w:rPr>
        <w:t xml:space="preserve">tyto služby obecného hospodářského zájmu poskytovat (závazek veřejné služby), a podmínky pro poskytnutí vyrovnávací platby. </w:t>
      </w:r>
    </w:p>
    <w:p w14:paraId="5EFAE914" w14:textId="77777777" w:rsidR="00F82B66" w:rsidRPr="00C6703C" w:rsidRDefault="00F82B66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5ACC9E9F" w14:textId="4E2C43BE" w:rsidR="00F82B66" w:rsidRPr="00C6703C" w:rsidRDefault="00F82B66" w:rsidP="00631AB2">
      <w:pPr>
        <w:numPr>
          <w:ilvl w:val="0"/>
          <w:numId w:val="5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Vyrovnávací platbou se rozumí poskytnutí finančních prostředků z veřejných zdrojů na krytí </w:t>
      </w:r>
      <w:r w:rsidR="00CF4D55" w:rsidRPr="00C6703C">
        <w:rPr>
          <w:rFonts w:eastAsiaTheme="minorHAnsi"/>
          <w:szCs w:val="24"/>
          <w:lang w:eastAsia="en-US"/>
        </w:rPr>
        <w:t xml:space="preserve">nezbytně nutných </w:t>
      </w:r>
      <w:r w:rsidRPr="00C6703C">
        <w:rPr>
          <w:rFonts w:eastAsiaTheme="minorHAnsi"/>
          <w:szCs w:val="24"/>
          <w:lang w:eastAsia="en-US"/>
        </w:rPr>
        <w:t>nákladů vzniklých Podniku při poskytování služby obecného hospodářského zájmu dle tohoto Pověření. Vyrovnávací platbu může zcela nebo zčásti poskytnout SML ze svého rozpočtu za podmínek uvedených v čl. III tohoto Pověření.</w:t>
      </w:r>
    </w:p>
    <w:p w14:paraId="76EE2B5A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2A02039F" w14:textId="77777777" w:rsidR="00CF7A80" w:rsidRPr="00C6703C" w:rsidRDefault="00CF7A80" w:rsidP="00631AB2">
      <w:pPr>
        <w:numPr>
          <w:ilvl w:val="0"/>
          <w:numId w:val="5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Toto Pověření k poskytování služeb obecného hospodářského zájmu je vydáno v souladu a za podmínek stanovených Rozhodnutím Komise ze dne 20. prosince 2011 o použití článku 106 odst. 2 Smlouvy o fungování Evropské unie na státní podporu ve formě vyrovnávací platby za závazek veřejné služby udělené určitým podnikům pověřeným poskytováním </w:t>
      </w:r>
      <w:r w:rsidRPr="00C6703C">
        <w:rPr>
          <w:rFonts w:eastAsiaTheme="minorHAnsi"/>
          <w:szCs w:val="24"/>
          <w:lang w:eastAsia="en-US"/>
        </w:rPr>
        <w:lastRenderedPageBreak/>
        <w:t xml:space="preserve">služby obecného hospodářského zájmu, zveřejněným v Úředním věstníku Evropské unie dne 11. 1. 2012 (dále jen „Rozhodnutí SOHZ“), a poskytnutí finančních prostředků Podniku v souladu a za podmínek stanovených tímto Pověřením je veřejnou podporou slučitelnou s vnitřním trhem a nepodléhá oznamovací povinnosti dle čl. 108 odst. 3 Smlouvy o fungování EU. </w:t>
      </w:r>
    </w:p>
    <w:p w14:paraId="2A51C234" w14:textId="77777777" w:rsidR="00CF7A80" w:rsidRPr="00C6703C" w:rsidRDefault="00CF7A80" w:rsidP="00631AB2">
      <w:pPr>
        <w:ind w:left="360"/>
        <w:rPr>
          <w:rFonts w:eastAsiaTheme="minorHAnsi"/>
          <w:szCs w:val="24"/>
          <w:lang w:eastAsia="en-US"/>
        </w:rPr>
      </w:pPr>
    </w:p>
    <w:p w14:paraId="1D941DC2" w14:textId="77777777" w:rsidR="00CF7A80" w:rsidRPr="00C6703C" w:rsidRDefault="00CF7A80" w:rsidP="00631AB2">
      <w:pPr>
        <w:ind w:left="360"/>
        <w:rPr>
          <w:rFonts w:eastAsiaTheme="minorHAnsi"/>
          <w:szCs w:val="24"/>
          <w:lang w:eastAsia="en-US"/>
        </w:rPr>
      </w:pPr>
    </w:p>
    <w:p w14:paraId="56465F49" w14:textId="3DB58002" w:rsidR="00CF7A80" w:rsidRPr="00C6703C" w:rsidRDefault="00631AB2" w:rsidP="00631AB2">
      <w:pPr>
        <w:pStyle w:val="Odstavecseseznamem"/>
        <w:numPr>
          <w:ilvl w:val="0"/>
          <w:numId w:val="2"/>
        </w:numPr>
        <w:contextualSpacing w:val="0"/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ZÁVAZEK VEŘEJNÉ SLUŽBY</w:t>
      </w:r>
    </w:p>
    <w:p w14:paraId="64C25C1E" w14:textId="77777777" w:rsidR="00CF7A80" w:rsidRPr="00C6703C" w:rsidRDefault="00CF7A80" w:rsidP="00631AB2">
      <w:pPr>
        <w:ind w:left="1080"/>
        <w:rPr>
          <w:rFonts w:eastAsiaTheme="minorHAnsi"/>
          <w:b/>
          <w:color w:val="000000" w:themeColor="text1"/>
          <w:szCs w:val="24"/>
          <w:lang w:eastAsia="en-US"/>
        </w:rPr>
      </w:pPr>
    </w:p>
    <w:p w14:paraId="235B3680" w14:textId="0842A40B" w:rsidR="00CF7A80" w:rsidRPr="00C6703C" w:rsidRDefault="00CF7A80" w:rsidP="00631AB2">
      <w:pPr>
        <w:numPr>
          <w:ilvl w:val="0"/>
          <w:numId w:val="3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Statutární město Liberec pověřuje Komunitní práce Liberec, o.p.s. k poskytování </w:t>
      </w:r>
      <w:r w:rsidR="00C0149F" w:rsidRPr="00C6703C">
        <w:rPr>
          <w:rFonts w:eastAsiaTheme="minorHAnsi"/>
          <w:szCs w:val="24"/>
          <w:lang w:eastAsia="en-US"/>
        </w:rPr>
        <w:t xml:space="preserve">služby </w:t>
      </w:r>
      <w:r w:rsidRPr="00C6703C">
        <w:rPr>
          <w:rFonts w:eastAsiaTheme="minorHAnsi"/>
          <w:szCs w:val="24"/>
          <w:lang w:eastAsia="en-US"/>
        </w:rPr>
        <w:t>obecného hospodářského zájmu spočívající ve vytváření a udržování časově omezených pracovních příležitostí pro dlouhodobě nezaměstnané uchazeče o zaměstnání, jejichž obsahovou pracovní náplní je provádění úklidu a údržby veřejných prostranství a zeleně, veřejných budov a komunikací a jiných obdobných obecně prospěšných činností ve prospěch města Liberec</w:t>
      </w:r>
      <w:r w:rsidR="004665C3" w:rsidRPr="00C6703C">
        <w:rPr>
          <w:rFonts w:eastAsiaTheme="minorHAnsi"/>
          <w:szCs w:val="24"/>
          <w:lang w:eastAsia="en-US"/>
        </w:rPr>
        <w:t xml:space="preserve"> a městských organizací</w:t>
      </w:r>
      <w:r w:rsidRPr="00C6703C">
        <w:rPr>
          <w:rFonts w:eastAsiaTheme="minorHAnsi"/>
          <w:szCs w:val="24"/>
          <w:lang w:eastAsia="en-US"/>
        </w:rPr>
        <w:t xml:space="preserve"> (veřejně prospěšné práce „</w:t>
      </w:r>
      <w:r w:rsidRPr="00C6703C">
        <w:rPr>
          <w:rFonts w:eastAsiaTheme="minorHAnsi"/>
          <w:b/>
          <w:szCs w:val="24"/>
          <w:lang w:eastAsia="en-US"/>
        </w:rPr>
        <w:t>VPP</w:t>
      </w:r>
      <w:r w:rsidRPr="00C6703C">
        <w:rPr>
          <w:rFonts w:eastAsiaTheme="minorHAnsi"/>
          <w:szCs w:val="24"/>
          <w:lang w:eastAsia="en-US"/>
        </w:rPr>
        <w:t xml:space="preserve">“), </w:t>
      </w:r>
      <w:r w:rsidR="009B702A" w:rsidRPr="00C6703C">
        <w:rPr>
          <w:rFonts w:eastAsiaTheme="minorHAnsi"/>
          <w:szCs w:val="24"/>
          <w:lang w:eastAsia="en-US"/>
        </w:rPr>
        <w:t xml:space="preserve">a to </w:t>
      </w:r>
      <w:r w:rsidRPr="00C6703C">
        <w:rPr>
          <w:rFonts w:eastAsiaTheme="minorHAnsi"/>
          <w:szCs w:val="24"/>
          <w:lang w:eastAsia="en-US"/>
        </w:rPr>
        <w:t>v následujícím rozsahu</w:t>
      </w:r>
      <w:r w:rsidR="00D030B4" w:rsidRPr="00C6703C">
        <w:rPr>
          <w:rFonts w:eastAsiaTheme="minorHAnsi"/>
          <w:szCs w:val="24"/>
          <w:lang w:eastAsia="en-US"/>
        </w:rPr>
        <w:t xml:space="preserve"> a za </w:t>
      </w:r>
      <w:r w:rsidR="00102ABE" w:rsidRPr="00C6703C">
        <w:rPr>
          <w:rFonts w:eastAsiaTheme="minorHAnsi"/>
          <w:szCs w:val="24"/>
          <w:lang w:eastAsia="en-US"/>
        </w:rPr>
        <w:t>následujících podmínek</w:t>
      </w:r>
      <w:r w:rsidRPr="00C6703C">
        <w:rPr>
          <w:rFonts w:eastAsiaTheme="minorHAnsi"/>
          <w:szCs w:val="24"/>
          <w:lang w:eastAsia="en-US"/>
        </w:rPr>
        <w:t>:</w:t>
      </w:r>
    </w:p>
    <w:p w14:paraId="7D469FBE" w14:textId="725857A6" w:rsidR="009A692F" w:rsidRPr="00C6703C" w:rsidRDefault="00071FCC" w:rsidP="00631AB2">
      <w:pPr>
        <w:pStyle w:val="Odstavecseseznamem"/>
        <w:numPr>
          <w:ilvl w:val="1"/>
          <w:numId w:val="14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>V součinnosti se SML</w:t>
      </w:r>
      <w:r w:rsidR="004665C3" w:rsidRPr="00C6703C">
        <w:rPr>
          <w:rFonts w:eastAsiaTheme="minorHAnsi"/>
          <w:color w:val="000000" w:themeColor="text1"/>
          <w:szCs w:val="24"/>
          <w:lang w:eastAsia="en-US"/>
        </w:rPr>
        <w:t xml:space="preserve"> a městskými organizacemi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CF7A80" w:rsidRPr="00C6703C">
        <w:rPr>
          <w:rFonts w:eastAsiaTheme="minorHAnsi"/>
          <w:color w:val="000000" w:themeColor="text1"/>
          <w:szCs w:val="24"/>
          <w:lang w:eastAsia="en-US"/>
        </w:rPr>
        <w:t xml:space="preserve">Podnik vytvoří a bude udržovat </w:t>
      </w:r>
      <w:r w:rsidR="003C735E" w:rsidRPr="00C6703C">
        <w:rPr>
          <w:rFonts w:eastAsiaTheme="minorHAnsi"/>
          <w:color w:val="000000" w:themeColor="text1"/>
          <w:szCs w:val="24"/>
          <w:lang w:eastAsia="en-US"/>
        </w:rPr>
        <w:t>maximálně</w:t>
      </w:r>
      <w:r w:rsidR="00CF7A80" w:rsidRPr="00C6703C">
        <w:rPr>
          <w:rFonts w:eastAsiaTheme="minorHAnsi"/>
          <w:color w:val="000000" w:themeColor="text1"/>
          <w:szCs w:val="24"/>
          <w:lang w:eastAsia="en-US"/>
        </w:rPr>
        <w:t xml:space="preserve"> 85 pracovních míst</w:t>
      </w:r>
      <w:r w:rsidR="003C735E" w:rsidRPr="00C6703C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441F2C" w:rsidRPr="00C6703C">
        <w:rPr>
          <w:rFonts w:eastAsiaTheme="minorHAnsi"/>
          <w:color w:val="000000" w:themeColor="text1"/>
          <w:szCs w:val="24"/>
          <w:lang w:eastAsia="en-US"/>
        </w:rPr>
        <w:t>VPP</w:t>
      </w:r>
      <w:r w:rsidR="004030ED" w:rsidRPr="00C6703C">
        <w:rPr>
          <w:rFonts w:eastAsiaTheme="minorHAnsi"/>
          <w:color w:val="000000" w:themeColor="text1"/>
          <w:szCs w:val="24"/>
          <w:lang w:eastAsia="en-US"/>
        </w:rPr>
        <w:t xml:space="preserve">, která bude obsazovat </w:t>
      </w:r>
      <w:r w:rsidR="00D030B4" w:rsidRPr="00C6703C">
        <w:rPr>
          <w:rFonts w:eastAsiaTheme="minorHAnsi"/>
          <w:color w:val="000000" w:themeColor="text1"/>
          <w:szCs w:val="24"/>
          <w:lang w:eastAsia="en-US"/>
        </w:rPr>
        <w:t>dlouhodobě nezaměstnanými uchazeči o zaměstnání vedenými v evidenci Úřadu práce v Liberci (dále jen „klienti“)</w:t>
      </w:r>
      <w:r w:rsidR="009A692F" w:rsidRPr="00C6703C">
        <w:rPr>
          <w:rFonts w:eastAsiaTheme="minorHAnsi"/>
          <w:color w:val="000000" w:themeColor="text1"/>
          <w:szCs w:val="24"/>
          <w:lang w:eastAsia="en-US"/>
        </w:rPr>
        <w:t>,</w:t>
      </w:r>
      <w:r w:rsidR="00D030B4" w:rsidRPr="00C6703C">
        <w:rPr>
          <w:rFonts w:eastAsiaTheme="minorHAnsi"/>
          <w:color w:val="000000" w:themeColor="text1"/>
          <w:szCs w:val="24"/>
          <w:lang w:eastAsia="en-US"/>
        </w:rPr>
        <w:t xml:space="preserve"> a to ve spolupráci a dle možností Úřadu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práce.</w:t>
      </w:r>
    </w:p>
    <w:p w14:paraId="196B34A9" w14:textId="32B77067" w:rsidR="00071FCC" w:rsidRPr="00C6703C" w:rsidRDefault="00071FCC" w:rsidP="00631AB2">
      <w:pPr>
        <w:pStyle w:val="Odstavecseseznamem"/>
        <w:numPr>
          <w:ilvl w:val="1"/>
          <w:numId w:val="14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>Celkový počet klientů zaměstnaných na VPP v každém jednotlivém okamžiku nesm</w:t>
      </w:r>
      <w:r w:rsidR="004030ED" w:rsidRPr="00C6703C">
        <w:rPr>
          <w:rFonts w:eastAsiaTheme="minorHAnsi"/>
          <w:color w:val="000000" w:themeColor="text1"/>
          <w:szCs w:val="24"/>
          <w:lang w:eastAsia="en-US"/>
        </w:rPr>
        <w:t>í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poklesnout pod </w:t>
      </w:r>
      <w:r w:rsidR="003C735E" w:rsidRPr="00C6703C">
        <w:rPr>
          <w:rFonts w:eastAsiaTheme="minorHAnsi"/>
          <w:color w:val="000000" w:themeColor="text1"/>
          <w:szCs w:val="24"/>
          <w:lang w:eastAsia="en-US"/>
        </w:rPr>
        <w:t>50</w:t>
      </w:r>
      <w:r w:rsidRPr="00C6703C">
        <w:rPr>
          <w:rFonts w:eastAsiaTheme="minorHAnsi"/>
          <w:color w:val="000000" w:themeColor="text1"/>
          <w:szCs w:val="24"/>
          <w:lang w:eastAsia="en-US"/>
        </w:rPr>
        <w:t>.</w:t>
      </w:r>
    </w:p>
    <w:p w14:paraId="40CFFBF4" w14:textId="1A627E9C" w:rsidR="00071FCC" w:rsidRPr="00C6703C" w:rsidRDefault="004030ED" w:rsidP="00631AB2">
      <w:pPr>
        <w:pStyle w:val="Odstavecseseznamem"/>
        <w:numPr>
          <w:ilvl w:val="1"/>
          <w:numId w:val="14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V rámci vytvořených pracovních míst VPP bude Podnik aktivně pracovat s klienty </w:t>
      </w:r>
      <w:r w:rsidR="00071FCC" w:rsidRPr="00C6703C">
        <w:rPr>
          <w:rFonts w:eastAsiaTheme="minorHAnsi"/>
          <w:color w:val="000000" w:themeColor="text1"/>
          <w:szCs w:val="24"/>
          <w:lang w:eastAsia="en-US"/>
        </w:rPr>
        <w:t xml:space="preserve">s cílem zvýšení jejich sociálních 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a pracovních </w:t>
      </w:r>
      <w:r w:rsidR="00071FCC" w:rsidRPr="00C6703C">
        <w:rPr>
          <w:rFonts w:eastAsiaTheme="minorHAnsi"/>
          <w:color w:val="000000" w:themeColor="text1"/>
          <w:szCs w:val="24"/>
          <w:lang w:eastAsia="en-US"/>
        </w:rPr>
        <w:t>kompetencí, zapojení do pracovního procesu</w:t>
      </w:r>
      <w:r w:rsidR="00C513FB" w:rsidRPr="00C6703C">
        <w:rPr>
          <w:rFonts w:eastAsiaTheme="minorHAnsi"/>
          <w:color w:val="000000" w:themeColor="text1"/>
          <w:szCs w:val="24"/>
          <w:lang w:eastAsia="en-US"/>
        </w:rPr>
        <w:t xml:space="preserve">, </w:t>
      </w:r>
      <w:r w:rsidR="00071FCC" w:rsidRPr="00C6703C">
        <w:rPr>
          <w:rFonts w:eastAsiaTheme="minorHAnsi"/>
          <w:color w:val="000000" w:themeColor="text1"/>
          <w:szCs w:val="24"/>
          <w:lang w:eastAsia="en-US"/>
        </w:rPr>
        <w:t>získá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ní </w:t>
      </w:r>
      <w:r w:rsidR="00D1545D" w:rsidRPr="00C6703C">
        <w:rPr>
          <w:rFonts w:eastAsiaTheme="minorHAnsi"/>
          <w:color w:val="000000" w:themeColor="text1"/>
          <w:szCs w:val="24"/>
          <w:lang w:eastAsia="en-US"/>
        </w:rPr>
        <w:t xml:space="preserve">a rozvoje 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základních pracovních návyků. Za tím účelem Podnik </w:t>
      </w:r>
      <w:r w:rsidR="00B948C1" w:rsidRPr="00C6703C">
        <w:rPr>
          <w:rFonts w:eastAsiaTheme="minorHAnsi"/>
          <w:color w:val="000000" w:themeColor="text1"/>
          <w:szCs w:val="24"/>
          <w:lang w:eastAsia="en-US"/>
        </w:rPr>
        <w:t xml:space="preserve">zavede 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a bude udržovat </w:t>
      </w:r>
      <w:proofErr w:type="gramStart"/>
      <w:r w:rsidRPr="00C6703C">
        <w:rPr>
          <w:rFonts w:eastAsiaTheme="minorHAnsi"/>
          <w:color w:val="000000" w:themeColor="text1"/>
          <w:szCs w:val="24"/>
          <w:lang w:eastAsia="en-US"/>
        </w:rPr>
        <w:t>následující 3-stupňový</w:t>
      </w:r>
      <w:proofErr w:type="gramEnd"/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systém zaměstnávání klientů na VPP:</w:t>
      </w:r>
    </w:p>
    <w:p w14:paraId="0601A133" w14:textId="77777777" w:rsidR="004030ED" w:rsidRPr="00C6703C" w:rsidRDefault="008C059D" w:rsidP="00631AB2">
      <w:pPr>
        <w:pStyle w:val="Odstavecseseznamem"/>
        <w:numPr>
          <w:ilvl w:val="0"/>
          <w:numId w:val="9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stupeň </w:t>
      </w:r>
      <w:r w:rsidR="00360547" w:rsidRPr="00C6703C">
        <w:rPr>
          <w:rFonts w:eastAsiaTheme="minorHAnsi"/>
          <w:color w:val="000000" w:themeColor="text1"/>
          <w:szCs w:val="24"/>
          <w:lang w:eastAsia="en-US"/>
        </w:rPr>
        <w:t>–</w:t>
      </w:r>
      <w:r w:rsidR="00854EF0" w:rsidRPr="00C6703C">
        <w:rPr>
          <w:rFonts w:eastAsiaTheme="minorHAnsi"/>
          <w:color w:val="000000" w:themeColor="text1"/>
          <w:szCs w:val="24"/>
          <w:lang w:eastAsia="en-US"/>
        </w:rPr>
        <w:t xml:space="preserve"> zaměstnávání klientů s cílem získání základních pracovních návyků;</w:t>
      </w:r>
    </w:p>
    <w:p w14:paraId="0791E80A" w14:textId="42276687" w:rsidR="00854EF0" w:rsidRPr="00C6703C" w:rsidRDefault="00854EF0" w:rsidP="00631AB2">
      <w:pPr>
        <w:pStyle w:val="Odstavecseseznamem"/>
        <w:numPr>
          <w:ilvl w:val="0"/>
          <w:numId w:val="9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>stupeň – zaměstnávání klientů, kteří si osvojili základní pracovní návyky</w:t>
      </w:r>
      <w:r w:rsidR="00D1545D" w:rsidRPr="00C6703C">
        <w:rPr>
          <w:rFonts w:eastAsiaTheme="minorHAnsi"/>
          <w:color w:val="000000" w:themeColor="text1"/>
          <w:szCs w:val="24"/>
          <w:lang w:eastAsia="en-US"/>
        </w:rPr>
        <w:t>,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a jejich socializace v pracovním kolektivu organizací SML</w:t>
      </w:r>
      <w:r w:rsidR="008C059D" w:rsidRPr="00C6703C">
        <w:rPr>
          <w:rFonts w:eastAsiaTheme="minorHAnsi"/>
          <w:color w:val="000000" w:themeColor="text1"/>
          <w:szCs w:val="24"/>
          <w:lang w:eastAsia="en-US"/>
        </w:rPr>
        <w:t xml:space="preserve">; </w:t>
      </w:r>
    </w:p>
    <w:p w14:paraId="037F7831" w14:textId="0E030A2E" w:rsidR="00854EF0" w:rsidRPr="00C6703C" w:rsidRDefault="00854EF0" w:rsidP="00631AB2">
      <w:pPr>
        <w:pStyle w:val="Odstavecseseznamem"/>
        <w:numPr>
          <w:ilvl w:val="0"/>
          <w:numId w:val="9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>stupeň – zaměstnávání klientů s cílem získání základních organizačních</w:t>
      </w:r>
      <w:r w:rsidR="00655323" w:rsidRPr="00C6703C">
        <w:rPr>
          <w:rFonts w:eastAsiaTheme="minorHAnsi"/>
          <w:color w:val="000000" w:themeColor="text1"/>
          <w:szCs w:val="24"/>
          <w:lang w:eastAsia="en-US"/>
        </w:rPr>
        <w:t xml:space="preserve"> a řídích schopností, osvojení si dovedností vedení pracovního kolektivu či týmu</w:t>
      </w:r>
      <w:r w:rsidR="004665C3" w:rsidRPr="00C6703C">
        <w:rPr>
          <w:rFonts w:eastAsiaTheme="minorHAnsi"/>
          <w:color w:val="000000" w:themeColor="text1"/>
          <w:szCs w:val="24"/>
          <w:lang w:eastAsia="en-US"/>
        </w:rPr>
        <w:t xml:space="preserve"> (terénní koordinátor)</w:t>
      </w:r>
      <w:r w:rsidR="008C059D" w:rsidRPr="00C6703C">
        <w:rPr>
          <w:rFonts w:eastAsiaTheme="minorHAnsi"/>
          <w:color w:val="000000" w:themeColor="text1"/>
          <w:szCs w:val="24"/>
          <w:lang w:eastAsia="en-US"/>
        </w:rPr>
        <w:t xml:space="preserve">; počet klientů zaměstnaných ve 3. stupni bude </w:t>
      </w:r>
      <w:r w:rsidR="00001C0E" w:rsidRPr="00C6703C">
        <w:rPr>
          <w:rFonts w:eastAsiaTheme="minorHAnsi"/>
          <w:color w:val="000000" w:themeColor="text1"/>
          <w:szCs w:val="24"/>
          <w:lang w:eastAsia="en-US"/>
        </w:rPr>
        <w:t>v každém okamžiku min. 1 a max. 3 klienti.</w:t>
      </w:r>
    </w:p>
    <w:p w14:paraId="4C3297E3" w14:textId="77777777" w:rsidR="00001C0E" w:rsidRPr="00C6703C" w:rsidRDefault="00001C0E" w:rsidP="00631AB2">
      <w:pPr>
        <w:pStyle w:val="Odstavecseseznamem"/>
        <w:tabs>
          <w:tab w:val="left" w:pos="1560"/>
        </w:tabs>
        <w:ind w:left="2280"/>
        <w:contextualSpacing w:val="0"/>
        <w:rPr>
          <w:rFonts w:eastAsiaTheme="minorHAnsi"/>
          <w:color w:val="000000" w:themeColor="text1"/>
          <w:szCs w:val="24"/>
          <w:lang w:eastAsia="en-US"/>
        </w:rPr>
      </w:pPr>
    </w:p>
    <w:p w14:paraId="4BF9C01F" w14:textId="6DB34CDC" w:rsidR="008C059D" w:rsidRPr="00C6703C" w:rsidRDefault="008C059D" w:rsidP="00631AB2">
      <w:pPr>
        <w:pStyle w:val="Odstavecseseznamem"/>
        <w:numPr>
          <w:ilvl w:val="1"/>
          <w:numId w:val="14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Pro každého klienta zaměstnaného na VPP ve 2. a 3. stupni Podnik povede kartu činnosti pracovníka</w:t>
      </w:r>
      <w:r w:rsidR="00B948C1" w:rsidRPr="00C6703C">
        <w:rPr>
          <w:rFonts w:eastAsiaTheme="minorHAnsi"/>
          <w:color w:val="000000" w:themeColor="text1"/>
          <w:szCs w:val="24"/>
          <w:lang w:eastAsia="en-US"/>
        </w:rPr>
        <w:t>, která bude obsahovat min. přehled o pracovní docházce klienta a čtvrtletní hodnocení pracovní činnosti klienta</w:t>
      </w:r>
      <w:r w:rsidR="00891F92" w:rsidRPr="00C6703C">
        <w:rPr>
          <w:rFonts w:eastAsiaTheme="minorHAnsi"/>
          <w:color w:val="000000" w:themeColor="text1"/>
          <w:szCs w:val="24"/>
          <w:lang w:eastAsia="en-US"/>
        </w:rPr>
        <w:t>.</w:t>
      </w: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 </w:t>
      </w:r>
    </w:p>
    <w:p w14:paraId="474C4B3D" w14:textId="77777777" w:rsidR="008C059D" w:rsidRPr="00C6703C" w:rsidRDefault="008C059D" w:rsidP="00631AB2">
      <w:pPr>
        <w:pStyle w:val="Odstavecseseznamem"/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</w:p>
    <w:p w14:paraId="54EF452A" w14:textId="420DBAA6" w:rsidR="00071FCC" w:rsidRPr="00C6703C" w:rsidRDefault="00D1545D" w:rsidP="00631AB2">
      <w:pPr>
        <w:pStyle w:val="Odstavecseseznamem"/>
        <w:numPr>
          <w:ilvl w:val="1"/>
          <w:numId w:val="14"/>
        </w:numPr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  <w:r w:rsidRPr="00C6703C">
        <w:rPr>
          <w:rFonts w:eastAsiaTheme="minorHAnsi"/>
          <w:color w:val="000000" w:themeColor="text1"/>
          <w:szCs w:val="24"/>
          <w:lang w:eastAsia="en-US"/>
        </w:rPr>
        <w:t xml:space="preserve">Podnik bude klientům poskytovat základní poradenství a podporu </w:t>
      </w:r>
      <w:r w:rsidR="004665C3" w:rsidRPr="00C6703C">
        <w:rPr>
          <w:rFonts w:eastAsiaTheme="minorHAnsi"/>
          <w:color w:val="000000" w:themeColor="text1"/>
          <w:szCs w:val="24"/>
          <w:lang w:eastAsia="en-US"/>
        </w:rPr>
        <w:t>při </w:t>
      </w:r>
      <w:r w:rsidRPr="00C6703C">
        <w:rPr>
          <w:rFonts w:eastAsiaTheme="minorHAnsi"/>
          <w:color w:val="000000" w:themeColor="text1"/>
          <w:szCs w:val="24"/>
          <w:lang w:eastAsia="en-US"/>
        </w:rPr>
        <w:t>řešení životních situací</w:t>
      </w:r>
      <w:r w:rsidR="00C513FB" w:rsidRPr="00C6703C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C6703C">
        <w:rPr>
          <w:rFonts w:eastAsiaTheme="minorHAnsi"/>
          <w:color w:val="000000" w:themeColor="text1"/>
          <w:szCs w:val="24"/>
          <w:lang w:eastAsia="en-US"/>
        </w:rPr>
        <w:t>zejm. v oblasti práce a trhu práce, řešení rodinných vztahů, pracovních záležitostí, zadlužení apod.</w:t>
      </w:r>
      <w:r w:rsidR="00891F92" w:rsidRPr="00C6703C">
        <w:rPr>
          <w:rFonts w:eastAsiaTheme="minorHAnsi"/>
          <w:color w:val="000000" w:themeColor="text1"/>
          <w:szCs w:val="24"/>
          <w:lang w:eastAsia="en-US"/>
        </w:rPr>
        <w:t xml:space="preserve">, nikoliv však ve smyslu poskytování sociálních služeb dle zákona č. 108/2006 </w:t>
      </w:r>
      <w:proofErr w:type="spellStart"/>
      <w:proofErr w:type="gramStart"/>
      <w:r w:rsidR="00891F92" w:rsidRPr="00C6703C">
        <w:rPr>
          <w:rFonts w:eastAsiaTheme="minorHAnsi"/>
          <w:color w:val="000000" w:themeColor="text1"/>
          <w:szCs w:val="24"/>
          <w:lang w:eastAsia="en-US"/>
        </w:rPr>
        <w:t>Sb</w:t>
      </w:r>
      <w:proofErr w:type="spellEnd"/>
      <w:r w:rsidR="00891F92" w:rsidRPr="00C6703C">
        <w:rPr>
          <w:rFonts w:eastAsiaTheme="minorHAnsi"/>
          <w:color w:val="000000" w:themeColor="text1"/>
          <w:szCs w:val="24"/>
          <w:lang w:eastAsia="en-US"/>
        </w:rPr>
        <w:t>,. o sociálních</w:t>
      </w:r>
      <w:proofErr w:type="gramEnd"/>
      <w:r w:rsidR="00891F92" w:rsidRPr="00C6703C">
        <w:rPr>
          <w:rFonts w:eastAsiaTheme="minorHAnsi"/>
          <w:color w:val="000000" w:themeColor="text1"/>
          <w:szCs w:val="24"/>
          <w:lang w:eastAsia="en-US"/>
        </w:rPr>
        <w:t xml:space="preserve"> službách, ve znění pozdějších předpisů.</w:t>
      </w:r>
    </w:p>
    <w:p w14:paraId="320D7FDF" w14:textId="77777777" w:rsidR="00891F92" w:rsidRPr="00C6703C" w:rsidRDefault="00891F92" w:rsidP="00891F92">
      <w:pPr>
        <w:pStyle w:val="Odstavecseseznamem"/>
        <w:tabs>
          <w:tab w:val="left" w:pos="1560"/>
        </w:tabs>
        <w:contextualSpacing w:val="0"/>
        <w:rPr>
          <w:rFonts w:eastAsiaTheme="minorHAnsi"/>
          <w:color w:val="000000" w:themeColor="text1"/>
          <w:szCs w:val="24"/>
          <w:lang w:eastAsia="en-US"/>
        </w:rPr>
      </w:pPr>
    </w:p>
    <w:p w14:paraId="782E6E7C" w14:textId="30EA4D0E" w:rsidR="00CF7A80" w:rsidRPr="00C6703C" w:rsidRDefault="0086137A" w:rsidP="00631AB2">
      <w:pPr>
        <w:tabs>
          <w:tab w:val="left" w:pos="1134"/>
        </w:tabs>
        <w:ind w:left="284" w:hanging="284"/>
        <w:rPr>
          <w:rFonts w:eastAsiaTheme="minorHAnsi"/>
          <w:szCs w:val="24"/>
          <w:lang w:eastAsia="en-US"/>
        </w:rPr>
      </w:pPr>
      <w:r w:rsidRPr="00C6703C" w:rsidDel="00A554BE">
        <w:rPr>
          <w:rFonts w:eastAsiaTheme="minorHAnsi"/>
          <w:szCs w:val="24"/>
          <w:lang w:eastAsia="en-US"/>
        </w:rPr>
        <w:t xml:space="preserve"> </w:t>
      </w:r>
      <w:r w:rsidR="00CF7A80" w:rsidRPr="00C6703C">
        <w:rPr>
          <w:rFonts w:eastAsiaTheme="minorHAnsi"/>
          <w:szCs w:val="24"/>
          <w:lang w:eastAsia="en-US"/>
        </w:rPr>
        <w:t>(dále jen „</w:t>
      </w:r>
      <w:r w:rsidR="00CF7A80" w:rsidRPr="00C6703C">
        <w:rPr>
          <w:rFonts w:eastAsiaTheme="minorHAnsi"/>
          <w:b/>
          <w:szCs w:val="24"/>
          <w:lang w:eastAsia="en-US"/>
        </w:rPr>
        <w:t>závazek veřejné služby</w:t>
      </w:r>
      <w:r w:rsidR="00CF7A80" w:rsidRPr="00C6703C">
        <w:rPr>
          <w:rFonts w:eastAsiaTheme="minorHAnsi"/>
          <w:szCs w:val="24"/>
          <w:lang w:eastAsia="en-US"/>
        </w:rPr>
        <w:t>“ nebo</w:t>
      </w:r>
      <w:r w:rsidR="00F260DC">
        <w:rPr>
          <w:rFonts w:eastAsiaTheme="minorHAnsi"/>
          <w:szCs w:val="24"/>
          <w:lang w:eastAsia="en-US"/>
        </w:rPr>
        <w:t xml:space="preserve"> </w:t>
      </w:r>
      <w:r w:rsidR="00F260DC">
        <w:rPr>
          <w:rFonts w:eastAsiaTheme="minorHAnsi"/>
          <w:b/>
          <w:szCs w:val="24"/>
          <w:lang w:eastAsia="en-US"/>
        </w:rPr>
        <w:t>„</w:t>
      </w:r>
      <w:r w:rsidR="00BC5A99" w:rsidRPr="00C6703C">
        <w:rPr>
          <w:rFonts w:eastAsiaTheme="minorHAnsi"/>
          <w:b/>
          <w:szCs w:val="24"/>
          <w:lang w:eastAsia="en-US"/>
        </w:rPr>
        <w:t>služba</w:t>
      </w:r>
      <w:r w:rsidR="00CF7A80" w:rsidRPr="00C6703C">
        <w:rPr>
          <w:rFonts w:eastAsiaTheme="minorHAnsi"/>
          <w:szCs w:val="24"/>
          <w:lang w:eastAsia="en-US"/>
        </w:rPr>
        <w:t xml:space="preserve">“). </w:t>
      </w:r>
    </w:p>
    <w:p w14:paraId="28517DC4" w14:textId="77777777" w:rsidR="00CF7A80" w:rsidRPr="00C6703C" w:rsidRDefault="00CF7A80" w:rsidP="00631AB2">
      <w:pPr>
        <w:tabs>
          <w:tab w:val="left" w:pos="1560"/>
        </w:tabs>
        <w:ind w:left="284" w:hanging="284"/>
        <w:rPr>
          <w:rFonts w:eastAsiaTheme="minorHAnsi"/>
          <w:szCs w:val="24"/>
          <w:lang w:eastAsia="en-US"/>
        </w:rPr>
      </w:pPr>
    </w:p>
    <w:p w14:paraId="59527F46" w14:textId="05A3F9E1" w:rsidR="00CF7A80" w:rsidRPr="00C6703C" w:rsidRDefault="00CF7A80" w:rsidP="00631AB2">
      <w:pPr>
        <w:numPr>
          <w:ilvl w:val="0"/>
          <w:numId w:val="3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se pověřuje závazkem veřejné služby na dobu od </w:t>
      </w:r>
      <w:r w:rsidRPr="00C6703C">
        <w:rPr>
          <w:rFonts w:eastAsiaTheme="minorHAnsi"/>
          <w:b/>
          <w:szCs w:val="24"/>
          <w:lang w:eastAsia="en-US"/>
        </w:rPr>
        <w:t xml:space="preserve">1. 1. </w:t>
      </w:r>
      <w:r w:rsidR="009A692F" w:rsidRPr="00C6703C">
        <w:rPr>
          <w:rFonts w:eastAsiaTheme="minorHAnsi"/>
          <w:b/>
          <w:szCs w:val="24"/>
          <w:lang w:eastAsia="en-US"/>
        </w:rPr>
        <w:t xml:space="preserve">2017 </w:t>
      </w:r>
      <w:r w:rsidRPr="00C6703C">
        <w:rPr>
          <w:rFonts w:eastAsiaTheme="minorHAnsi"/>
          <w:b/>
          <w:szCs w:val="24"/>
          <w:lang w:eastAsia="en-US"/>
        </w:rPr>
        <w:t xml:space="preserve">do 31. 12. </w:t>
      </w:r>
      <w:r w:rsidR="009A692F" w:rsidRPr="00C6703C">
        <w:rPr>
          <w:rFonts w:eastAsiaTheme="minorHAnsi"/>
          <w:b/>
          <w:szCs w:val="24"/>
          <w:lang w:eastAsia="en-US"/>
        </w:rPr>
        <w:t>201</w:t>
      </w:r>
      <w:r w:rsidR="00891F92" w:rsidRPr="00C6703C">
        <w:rPr>
          <w:rFonts w:eastAsiaTheme="minorHAnsi"/>
          <w:b/>
          <w:szCs w:val="24"/>
          <w:lang w:eastAsia="en-US"/>
        </w:rPr>
        <w:t>9</w:t>
      </w:r>
      <w:r w:rsidRPr="00C6703C">
        <w:rPr>
          <w:rFonts w:eastAsiaTheme="minorHAnsi"/>
          <w:szCs w:val="24"/>
          <w:lang w:eastAsia="en-US"/>
        </w:rPr>
        <w:t>.</w:t>
      </w:r>
    </w:p>
    <w:p w14:paraId="4CE98DAD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36ECF93E" w14:textId="23BE5716" w:rsidR="00CF7A80" w:rsidRPr="00C6703C" w:rsidRDefault="009A692F" w:rsidP="00631AB2">
      <w:pPr>
        <w:numPr>
          <w:ilvl w:val="0"/>
          <w:numId w:val="3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Pověřený </w:t>
      </w:r>
      <w:r w:rsidR="00CF7A80" w:rsidRPr="00C6703C">
        <w:rPr>
          <w:rFonts w:eastAsiaTheme="minorHAnsi"/>
          <w:szCs w:val="24"/>
          <w:lang w:eastAsia="en-US"/>
        </w:rPr>
        <w:t xml:space="preserve">Podnik </w:t>
      </w:r>
      <w:r w:rsidRPr="00C6703C">
        <w:rPr>
          <w:rFonts w:eastAsiaTheme="minorHAnsi"/>
          <w:szCs w:val="24"/>
          <w:lang w:eastAsia="en-US"/>
        </w:rPr>
        <w:t xml:space="preserve">bude poskytovat </w:t>
      </w:r>
      <w:r w:rsidR="00BC5A99" w:rsidRPr="00C6703C">
        <w:rPr>
          <w:rFonts w:eastAsiaTheme="minorHAnsi"/>
          <w:szCs w:val="24"/>
          <w:lang w:eastAsia="en-US"/>
        </w:rPr>
        <w:t xml:space="preserve">službu </w:t>
      </w:r>
      <w:r w:rsidR="00CF7A80" w:rsidRPr="00C6703C">
        <w:rPr>
          <w:rFonts w:eastAsiaTheme="minorHAnsi"/>
          <w:szCs w:val="24"/>
          <w:lang w:eastAsia="en-US"/>
        </w:rPr>
        <w:t xml:space="preserve">obecného hospodářského zájmu </w:t>
      </w:r>
      <w:r w:rsidR="00BC5A99" w:rsidRPr="00C6703C">
        <w:rPr>
          <w:rFonts w:eastAsiaTheme="minorHAnsi"/>
          <w:szCs w:val="24"/>
          <w:lang w:eastAsia="en-US"/>
        </w:rPr>
        <w:t xml:space="preserve">vymezenou </w:t>
      </w:r>
      <w:r w:rsidR="00C3761B" w:rsidRPr="00C6703C">
        <w:rPr>
          <w:rFonts w:eastAsiaTheme="minorHAnsi"/>
          <w:szCs w:val="24"/>
          <w:lang w:eastAsia="en-US"/>
        </w:rPr>
        <w:t>v</w:t>
      </w:r>
      <w:r w:rsidR="00CF7A80" w:rsidRPr="00C6703C">
        <w:rPr>
          <w:rFonts w:eastAsiaTheme="minorHAnsi"/>
          <w:szCs w:val="24"/>
          <w:lang w:eastAsia="en-US"/>
        </w:rPr>
        <w:t xml:space="preserve"> čl. II odst. 1 tohoto Pověření na území města Liberec.</w:t>
      </w:r>
    </w:p>
    <w:p w14:paraId="3C229FBB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1756AB78" w14:textId="14665DEE" w:rsidR="00CF7A80" w:rsidRPr="00C6703C" w:rsidRDefault="00CF7A80" w:rsidP="00631AB2">
      <w:pPr>
        <w:numPr>
          <w:ilvl w:val="0"/>
          <w:numId w:val="3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Ostatní činnosti vykonávané Podnikem, které nejsou vymezeny v čl. II odst. 1 tohoto </w:t>
      </w:r>
      <w:r w:rsidR="00C3761B" w:rsidRPr="00C6703C">
        <w:rPr>
          <w:rFonts w:eastAsiaTheme="minorHAnsi"/>
          <w:szCs w:val="24"/>
          <w:lang w:eastAsia="en-US"/>
        </w:rPr>
        <w:t>P</w:t>
      </w:r>
      <w:r w:rsidRPr="00C6703C">
        <w:rPr>
          <w:rFonts w:eastAsiaTheme="minorHAnsi"/>
          <w:szCs w:val="24"/>
          <w:lang w:eastAsia="en-US"/>
        </w:rPr>
        <w:t xml:space="preserve">ověření, nejsou předmětem závazku veřejné služby a nebude na ně poskytnuta vyrovnávací platba ve smyslu tohoto </w:t>
      </w:r>
      <w:r w:rsidR="00B948C1" w:rsidRPr="00C6703C">
        <w:rPr>
          <w:rFonts w:eastAsiaTheme="minorHAnsi"/>
          <w:szCs w:val="24"/>
          <w:lang w:eastAsia="en-US"/>
        </w:rPr>
        <w:t>P</w:t>
      </w:r>
      <w:r w:rsidRPr="00C6703C">
        <w:rPr>
          <w:rFonts w:eastAsiaTheme="minorHAnsi"/>
          <w:szCs w:val="24"/>
          <w:lang w:eastAsia="en-US"/>
        </w:rPr>
        <w:t>ověření (dále jen „</w:t>
      </w:r>
      <w:r w:rsidRPr="00C6703C">
        <w:rPr>
          <w:rFonts w:eastAsiaTheme="minorHAnsi"/>
          <w:b/>
          <w:szCs w:val="24"/>
          <w:lang w:eastAsia="en-US"/>
        </w:rPr>
        <w:t>doplňková činnost</w:t>
      </w:r>
      <w:r w:rsidRPr="00C6703C">
        <w:rPr>
          <w:rFonts w:eastAsiaTheme="minorHAnsi"/>
          <w:szCs w:val="24"/>
          <w:lang w:eastAsia="en-US"/>
        </w:rPr>
        <w:t>“).</w:t>
      </w:r>
    </w:p>
    <w:p w14:paraId="72FCC899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66A883A6" w14:textId="1870EC3A" w:rsidR="00CF7A80" w:rsidRPr="00C6703C" w:rsidRDefault="00CF7A80" w:rsidP="00631AB2">
      <w:pPr>
        <w:numPr>
          <w:ilvl w:val="0"/>
          <w:numId w:val="3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závazek veřejné služby přijímá a zavazuje se, že bude poskytovat </w:t>
      </w:r>
      <w:r w:rsidR="00CB7004" w:rsidRPr="00C6703C">
        <w:rPr>
          <w:rFonts w:eastAsiaTheme="minorHAnsi"/>
          <w:szCs w:val="24"/>
          <w:lang w:eastAsia="en-US"/>
        </w:rPr>
        <w:t xml:space="preserve">službu </w:t>
      </w:r>
      <w:r w:rsidRPr="00C6703C">
        <w:rPr>
          <w:rFonts w:eastAsiaTheme="minorHAnsi"/>
          <w:szCs w:val="24"/>
          <w:lang w:eastAsia="en-US"/>
        </w:rPr>
        <w:t xml:space="preserve">obecného hospodářského zájmu </w:t>
      </w:r>
      <w:r w:rsidR="00C3761B" w:rsidRPr="00C6703C">
        <w:rPr>
          <w:rFonts w:eastAsiaTheme="minorHAnsi"/>
          <w:szCs w:val="24"/>
          <w:lang w:eastAsia="en-US"/>
        </w:rPr>
        <w:t xml:space="preserve">dle </w:t>
      </w:r>
      <w:r w:rsidR="007143B0" w:rsidRPr="00C6703C">
        <w:rPr>
          <w:rFonts w:eastAsiaTheme="minorHAnsi"/>
          <w:szCs w:val="24"/>
          <w:lang w:eastAsia="en-US"/>
        </w:rPr>
        <w:t>odst. 1</w:t>
      </w:r>
      <w:r w:rsidR="00B948C1" w:rsidRPr="00C6703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 xml:space="preserve">v rozsahu a za podmínek stanovených tímto </w:t>
      </w:r>
      <w:r w:rsidR="007143B0" w:rsidRPr="00C6703C">
        <w:rPr>
          <w:rFonts w:eastAsiaTheme="minorHAnsi"/>
          <w:szCs w:val="24"/>
          <w:lang w:eastAsia="en-US"/>
        </w:rPr>
        <w:t>P</w:t>
      </w:r>
      <w:r w:rsidRPr="00C6703C">
        <w:rPr>
          <w:rFonts w:eastAsiaTheme="minorHAnsi"/>
          <w:szCs w:val="24"/>
          <w:lang w:eastAsia="en-US"/>
        </w:rPr>
        <w:t>ověřením, zakládací listinou Podniku a v souladu s příslušnými právními předpisy.</w:t>
      </w:r>
    </w:p>
    <w:p w14:paraId="69CF7110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</w:p>
    <w:p w14:paraId="61C2062E" w14:textId="77777777" w:rsidR="00C0149F" w:rsidRPr="00C6703C" w:rsidRDefault="00C0149F" w:rsidP="00631AB2">
      <w:pPr>
        <w:rPr>
          <w:rFonts w:eastAsiaTheme="minorHAnsi"/>
          <w:szCs w:val="24"/>
          <w:lang w:eastAsia="en-US"/>
        </w:rPr>
      </w:pPr>
    </w:p>
    <w:p w14:paraId="31BA1D8A" w14:textId="77777777" w:rsidR="0086137A" w:rsidRPr="00C6703C" w:rsidRDefault="0086137A" w:rsidP="00631AB2">
      <w:pPr>
        <w:rPr>
          <w:rFonts w:eastAsiaTheme="minorHAnsi"/>
          <w:szCs w:val="24"/>
          <w:lang w:eastAsia="en-US"/>
        </w:rPr>
      </w:pPr>
    </w:p>
    <w:p w14:paraId="56315305" w14:textId="24EBC79A" w:rsidR="00CF7A80" w:rsidRPr="00C6703C" w:rsidRDefault="00CF7A80" w:rsidP="00631AB2">
      <w:pPr>
        <w:numPr>
          <w:ilvl w:val="0"/>
          <w:numId w:val="2"/>
        </w:numPr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VYROVNÁVACÍ PLATBA ZA</w:t>
      </w:r>
      <w:r w:rsidR="00C513FB" w:rsidRPr="00C6703C">
        <w:rPr>
          <w:rFonts w:eastAsiaTheme="minorHAnsi"/>
          <w:b/>
          <w:szCs w:val="24"/>
          <w:lang w:eastAsia="en-US"/>
        </w:rPr>
        <w:t xml:space="preserve"> </w:t>
      </w:r>
      <w:r w:rsidRPr="00C6703C">
        <w:rPr>
          <w:rFonts w:eastAsiaTheme="minorHAnsi"/>
          <w:b/>
          <w:szCs w:val="24"/>
          <w:lang w:eastAsia="en-US"/>
        </w:rPr>
        <w:t>POSKYTOVÁNÍ SLUŽEB OBECNÉHO HOSPODÁŘSKÉHO ZÁJMU</w:t>
      </w:r>
    </w:p>
    <w:p w14:paraId="3D4AC959" w14:textId="77777777" w:rsidR="00CF7A80" w:rsidRPr="00C6703C" w:rsidRDefault="00CF7A80" w:rsidP="00631AB2">
      <w:pPr>
        <w:ind w:left="1080"/>
        <w:rPr>
          <w:rFonts w:eastAsiaTheme="minorHAnsi"/>
          <w:b/>
          <w:szCs w:val="24"/>
          <w:lang w:eastAsia="en-US"/>
        </w:rPr>
      </w:pPr>
    </w:p>
    <w:p w14:paraId="791B2FB3" w14:textId="60E9C52C" w:rsidR="00CF7A80" w:rsidRPr="00C6703C" w:rsidRDefault="00CF7A80" w:rsidP="00631AB2">
      <w:pPr>
        <w:numPr>
          <w:ilvl w:val="0"/>
          <w:numId w:val="4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Vyrovnávací platbou se rozumí poskytnutí finančních prostředků (dotace) z veřejných zdrojů na úhradu </w:t>
      </w:r>
      <w:r w:rsidR="0027566B" w:rsidRPr="00C6703C">
        <w:rPr>
          <w:rFonts w:eastAsiaTheme="minorHAnsi"/>
          <w:b/>
          <w:szCs w:val="24"/>
          <w:lang w:eastAsia="en-US"/>
        </w:rPr>
        <w:t>nezbytně nutných</w:t>
      </w:r>
      <w:r w:rsidR="0027566B" w:rsidRPr="00C6703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>nákladů vynaložených Podnikem při plnění závazku veřejné služby dle tohoto Pověření. Vyrovnávací platbu ke krytí nákladů nezbytn</w:t>
      </w:r>
      <w:r w:rsidR="00CF4D55" w:rsidRPr="00C6703C">
        <w:rPr>
          <w:rFonts w:eastAsiaTheme="minorHAnsi"/>
          <w:szCs w:val="24"/>
          <w:lang w:eastAsia="en-US"/>
        </w:rPr>
        <w:t>ě nutných</w:t>
      </w:r>
      <w:r w:rsidRPr="00C6703C">
        <w:rPr>
          <w:rFonts w:eastAsiaTheme="minorHAnsi"/>
          <w:szCs w:val="24"/>
          <w:lang w:eastAsia="en-US"/>
        </w:rPr>
        <w:t xml:space="preserve"> na poskytování </w:t>
      </w:r>
      <w:r w:rsidR="00CB7004" w:rsidRPr="00C6703C">
        <w:rPr>
          <w:rFonts w:eastAsiaTheme="minorHAnsi"/>
          <w:szCs w:val="24"/>
          <w:lang w:eastAsia="en-US"/>
        </w:rPr>
        <w:t xml:space="preserve">služby </w:t>
      </w:r>
      <w:r w:rsidR="00D92053" w:rsidRPr="00C6703C">
        <w:rPr>
          <w:rFonts w:eastAsiaTheme="minorHAnsi"/>
          <w:szCs w:val="24"/>
          <w:lang w:eastAsia="en-US"/>
        </w:rPr>
        <w:t>dle</w:t>
      </w:r>
      <w:r w:rsidRPr="00C6703C">
        <w:rPr>
          <w:rFonts w:eastAsiaTheme="minorHAnsi"/>
          <w:szCs w:val="24"/>
          <w:lang w:eastAsia="en-US"/>
        </w:rPr>
        <w:t xml:space="preserve"> čl. II tohoto Pověření může zcela nebo zčásti poskytnout </w:t>
      </w:r>
      <w:r w:rsidR="004665C3" w:rsidRPr="00C6703C">
        <w:rPr>
          <w:rFonts w:eastAsiaTheme="minorHAnsi"/>
          <w:szCs w:val="24"/>
          <w:lang w:eastAsia="en-US"/>
        </w:rPr>
        <w:t>SML</w:t>
      </w:r>
      <w:r w:rsidRPr="00C6703C">
        <w:rPr>
          <w:rFonts w:eastAsiaTheme="minorHAnsi"/>
          <w:szCs w:val="24"/>
          <w:lang w:eastAsia="en-US"/>
        </w:rPr>
        <w:t xml:space="preserve"> ze svého rozpočtu za podmínek uvedených v tomto Pověření a veřejnoprávní smlouvě o poskytnutí dotace.</w:t>
      </w:r>
    </w:p>
    <w:p w14:paraId="27E9A30C" w14:textId="77777777" w:rsidR="000B7076" w:rsidRPr="00C6703C" w:rsidRDefault="000B7076" w:rsidP="00631AB2">
      <w:pPr>
        <w:ind w:left="284"/>
        <w:rPr>
          <w:rFonts w:eastAsiaTheme="minorHAnsi"/>
          <w:szCs w:val="24"/>
          <w:lang w:eastAsia="en-US"/>
        </w:rPr>
      </w:pPr>
    </w:p>
    <w:p w14:paraId="67C3A687" w14:textId="4E7AC9B5" w:rsidR="00CF7A80" w:rsidRPr="00C6703C" w:rsidRDefault="0027566B" w:rsidP="00631AB2">
      <w:pPr>
        <w:numPr>
          <w:ilvl w:val="0"/>
          <w:numId w:val="4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Celková </w:t>
      </w:r>
      <w:r w:rsidR="00CF7A80" w:rsidRPr="00C6703C">
        <w:rPr>
          <w:rFonts w:eastAsiaTheme="minorHAnsi"/>
          <w:szCs w:val="24"/>
          <w:lang w:eastAsia="en-US"/>
        </w:rPr>
        <w:t>výše vyrovnávací platby, kterou může Podnik obdržet</w:t>
      </w:r>
      <w:r w:rsidR="00CA1B65" w:rsidRPr="00C6703C">
        <w:rPr>
          <w:rFonts w:eastAsiaTheme="minorHAnsi"/>
          <w:szCs w:val="24"/>
          <w:lang w:eastAsia="en-US"/>
        </w:rPr>
        <w:t xml:space="preserve"> z veřejných zdrojů</w:t>
      </w:r>
      <w:r w:rsidR="00CF7A80" w:rsidRPr="00C6703C">
        <w:rPr>
          <w:rFonts w:eastAsiaTheme="minorHAnsi"/>
          <w:szCs w:val="24"/>
          <w:lang w:eastAsia="en-US"/>
        </w:rPr>
        <w:t xml:space="preserve">, nesmí přesáhnout rozsah nezbytný k pokrytí čistých nákladů vynaložených při plnění závazku veřejné služby dle tohoto Pověření. </w:t>
      </w:r>
      <w:r w:rsidRPr="00C6703C">
        <w:rPr>
          <w:rFonts w:eastAsiaTheme="minorHAnsi"/>
          <w:szCs w:val="24"/>
          <w:lang w:eastAsia="en-US"/>
        </w:rPr>
        <w:t>Vzhledem k tomu, že Podnik poskytuje služb</w:t>
      </w:r>
      <w:r w:rsidR="00CB7004" w:rsidRPr="00C6703C">
        <w:rPr>
          <w:rFonts w:eastAsiaTheme="minorHAnsi"/>
          <w:szCs w:val="24"/>
          <w:lang w:eastAsia="en-US"/>
        </w:rPr>
        <w:t>u</w:t>
      </w:r>
      <w:r w:rsidRPr="00C6703C">
        <w:rPr>
          <w:rFonts w:eastAsiaTheme="minorHAnsi"/>
          <w:szCs w:val="24"/>
          <w:lang w:eastAsia="en-US"/>
        </w:rPr>
        <w:t xml:space="preserve"> bezúplatně, </w:t>
      </w:r>
      <w:r w:rsidR="00D96B3D" w:rsidRPr="00C6703C">
        <w:rPr>
          <w:rFonts w:eastAsiaTheme="minorHAnsi"/>
          <w:szCs w:val="24"/>
          <w:lang w:eastAsia="en-US"/>
        </w:rPr>
        <w:t>představují čisté</w:t>
      </w:r>
      <w:r w:rsidR="00CF7A80" w:rsidRPr="00C6703C">
        <w:rPr>
          <w:rFonts w:eastAsiaTheme="minorHAnsi"/>
          <w:szCs w:val="24"/>
          <w:lang w:eastAsia="en-US"/>
        </w:rPr>
        <w:t xml:space="preserve"> náklady </w:t>
      </w:r>
      <w:r w:rsidR="00D96B3D" w:rsidRPr="00C6703C">
        <w:rPr>
          <w:rFonts w:eastAsiaTheme="minorHAnsi"/>
          <w:szCs w:val="24"/>
          <w:lang w:eastAsia="en-US"/>
        </w:rPr>
        <w:t>veškeré náklady Podniku nezbytně nutné na zajišťování a poskytování služ</w:t>
      </w:r>
      <w:r w:rsidR="00CB7004" w:rsidRPr="00C6703C">
        <w:rPr>
          <w:rFonts w:eastAsiaTheme="minorHAnsi"/>
          <w:szCs w:val="24"/>
          <w:lang w:eastAsia="en-US"/>
        </w:rPr>
        <w:t>by</w:t>
      </w:r>
      <w:r w:rsidR="00D96B3D" w:rsidRPr="00C6703C">
        <w:rPr>
          <w:rFonts w:eastAsiaTheme="minorHAnsi"/>
          <w:szCs w:val="24"/>
          <w:lang w:eastAsia="en-US"/>
        </w:rPr>
        <w:t xml:space="preserve"> dle tohoto Pověření. </w:t>
      </w:r>
    </w:p>
    <w:p w14:paraId="24102858" w14:textId="77777777" w:rsidR="000B7076" w:rsidRPr="00C6703C" w:rsidRDefault="000B7076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57D86B93" w14:textId="507C7637" w:rsidR="00CF7A80" w:rsidRPr="00C6703C" w:rsidRDefault="00CF7A80" w:rsidP="00631AB2">
      <w:pPr>
        <w:numPr>
          <w:ilvl w:val="0"/>
          <w:numId w:val="4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Pro stanovení vyrovnávací platby na příslušný kalendářní rok se vychází z údajů </w:t>
      </w:r>
      <w:r w:rsidR="00C513FB" w:rsidRPr="00C6703C">
        <w:rPr>
          <w:rFonts w:eastAsiaTheme="minorHAnsi"/>
          <w:szCs w:val="24"/>
          <w:lang w:eastAsia="en-US"/>
        </w:rPr>
        <w:t xml:space="preserve">uzavřených účetních </w:t>
      </w:r>
      <w:r w:rsidRPr="00C6703C">
        <w:rPr>
          <w:rFonts w:eastAsiaTheme="minorHAnsi"/>
          <w:szCs w:val="24"/>
          <w:lang w:eastAsia="en-US"/>
        </w:rPr>
        <w:t>období předchozích let, doplněných o předpokládané náklady a výnosy na realizaci závazku veřejné služby pro další rozpočtové období. Bližší pravidla pro stanovení vyrovnávací platby včetně popisu kompenzačního mechanismu a parametrů pro stanovení, kontrolu a přezkoumání vyrovnávací platby</w:t>
      </w:r>
      <w:r w:rsidR="00C436F2" w:rsidRPr="00C6703C">
        <w:rPr>
          <w:rFonts w:eastAsiaTheme="minorHAnsi"/>
          <w:szCs w:val="24"/>
          <w:lang w:eastAsia="en-US"/>
        </w:rPr>
        <w:t xml:space="preserve"> a uznatelnost nákladů</w:t>
      </w:r>
      <w:r w:rsidRPr="00C6703C">
        <w:rPr>
          <w:rFonts w:eastAsiaTheme="minorHAnsi"/>
          <w:szCs w:val="24"/>
          <w:lang w:eastAsia="en-US"/>
        </w:rPr>
        <w:t xml:space="preserve"> jsou upraveny v příloze č. 1 tohoto Pověření.</w:t>
      </w:r>
    </w:p>
    <w:p w14:paraId="24A3BAC6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384105A3" w14:textId="1E8F8577" w:rsidR="00CF7A80" w:rsidRPr="00C6703C" w:rsidRDefault="006D0463" w:rsidP="00631AB2">
      <w:pPr>
        <w:numPr>
          <w:ilvl w:val="0"/>
          <w:numId w:val="4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Předpokládaná výše roční</w:t>
      </w:r>
      <w:r w:rsidR="00D96B3D" w:rsidRPr="00C6703C">
        <w:rPr>
          <w:rFonts w:eastAsiaTheme="minorHAnsi"/>
          <w:szCs w:val="24"/>
          <w:lang w:eastAsia="en-US"/>
        </w:rPr>
        <w:t xml:space="preserve"> </w:t>
      </w:r>
      <w:r w:rsidR="00CF7A80" w:rsidRPr="00C6703C">
        <w:rPr>
          <w:rFonts w:eastAsiaTheme="minorHAnsi"/>
          <w:szCs w:val="24"/>
          <w:lang w:eastAsia="en-US"/>
        </w:rPr>
        <w:t>vyrovnávací platb</w:t>
      </w:r>
      <w:r w:rsidRPr="00C6703C">
        <w:rPr>
          <w:rFonts w:eastAsiaTheme="minorHAnsi"/>
          <w:szCs w:val="24"/>
          <w:lang w:eastAsia="en-US"/>
        </w:rPr>
        <w:t>y</w:t>
      </w:r>
      <w:r w:rsidR="00CF7A80" w:rsidRPr="00C6703C">
        <w:rPr>
          <w:rFonts w:eastAsiaTheme="minorHAnsi"/>
          <w:szCs w:val="24"/>
          <w:lang w:eastAsia="en-US"/>
        </w:rPr>
        <w:t xml:space="preserve"> na pokrytí nákladů na plnění závazku veřejné služby je stanovena</w:t>
      </w:r>
      <w:r w:rsidRPr="00C6703C">
        <w:rPr>
          <w:rFonts w:eastAsiaTheme="minorHAnsi"/>
          <w:szCs w:val="24"/>
          <w:lang w:eastAsia="en-US"/>
        </w:rPr>
        <w:t xml:space="preserve"> na částku</w:t>
      </w:r>
      <w:r w:rsidR="00CF7A80" w:rsidRPr="00C6703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>15.</w:t>
      </w:r>
      <w:r w:rsidR="005279BA">
        <w:rPr>
          <w:rFonts w:eastAsiaTheme="minorHAnsi"/>
          <w:szCs w:val="24"/>
          <w:lang w:eastAsia="en-US"/>
        </w:rPr>
        <w:t>319</w:t>
      </w:r>
      <w:r w:rsidR="00A9355D" w:rsidRPr="00C6703C">
        <w:rPr>
          <w:rFonts w:eastAsiaTheme="minorHAnsi"/>
          <w:szCs w:val="24"/>
          <w:lang w:eastAsia="en-US"/>
        </w:rPr>
        <w:t>.</w:t>
      </w:r>
      <w:r w:rsidR="005279BA">
        <w:rPr>
          <w:rFonts w:eastAsiaTheme="minorHAnsi"/>
          <w:szCs w:val="24"/>
          <w:lang w:eastAsia="en-US"/>
        </w:rPr>
        <w:t>748</w:t>
      </w:r>
      <w:r w:rsidR="00CF7A80" w:rsidRPr="00C6703C">
        <w:rPr>
          <w:rFonts w:eastAsiaTheme="minorHAnsi"/>
          <w:szCs w:val="24"/>
          <w:lang w:eastAsia="en-US"/>
        </w:rPr>
        <w:t xml:space="preserve"> Kč a bude případně upravena na základě vyúčtování skutečných nákladů a výnosů </w:t>
      </w:r>
      <w:r w:rsidRPr="00C6703C">
        <w:rPr>
          <w:rFonts w:eastAsiaTheme="minorHAnsi"/>
          <w:szCs w:val="24"/>
          <w:lang w:eastAsia="en-US"/>
        </w:rPr>
        <w:t xml:space="preserve">vzniklých </w:t>
      </w:r>
      <w:r w:rsidR="00CF7A80" w:rsidRPr="00C6703C">
        <w:rPr>
          <w:rFonts w:eastAsiaTheme="minorHAnsi"/>
          <w:szCs w:val="24"/>
          <w:lang w:eastAsia="en-US"/>
        </w:rPr>
        <w:t>Podniku při plnění závazku veřejné služby dle tohoto Pověření</w:t>
      </w:r>
      <w:r w:rsidRPr="00C6703C">
        <w:rPr>
          <w:rFonts w:eastAsiaTheme="minorHAnsi"/>
          <w:szCs w:val="24"/>
          <w:lang w:eastAsia="en-US"/>
        </w:rPr>
        <w:t xml:space="preserve"> v příslušném roce</w:t>
      </w:r>
      <w:r w:rsidR="00CF7A80" w:rsidRPr="00C6703C">
        <w:rPr>
          <w:rFonts w:eastAsiaTheme="minorHAnsi"/>
          <w:szCs w:val="24"/>
          <w:lang w:eastAsia="en-US"/>
        </w:rPr>
        <w:t xml:space="preserve">. Část </w:t>
      </w:r>
      <w:r w:rsidRPr="00C6703C">
        <w:rPr>
          <w:rFonts w:eastAsiaTheme="minorHAnsi"/>
          <w:szCs w:val="24"/>
          <w:lang w:eastAsia="en-US"/>
        </w:rPr>
        <w:t xml:space="preserve">roční </w:t>
      </w:r>
      <w:r w:rsidR="00CF7A80" w:rsidRPr="00C6703C">
        <w:rPr>
          <w:rFonts w:eastAsiaTheme="minorHAnsi"/>
          <w:szCs w:val="24"/>
          <w:lang w:eastAsia="en-US"/>
        </w:rPr>
        <w:t>vyrovnávací platby bude Podniku poskytnuta z rozpočtu SML formou dotace na základě veřejnoprávní smlouvy o poskytnutí dotace.</w:t>
      </w:r>
    </w:p>
    <w:p w14:paraId="31821189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4CE33457" w14:textId="77777777" w:rsidR="00631AB2" w:rsidRPr="00C6703C" w:rsidRDefault="00631AB2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2071645B" w14:textId="160F47E3" w:rsidR="00C436F2" w:rsidRPr="00C6703C" w:rsidRDefault="00C436F2" w:rsidP="00631AB2">
      <w:pPr>
        <w:pStyle w:val="Odstavecseseznamem"/>
        <w:numPr>
          <w:ilvl w:val="0"/>
          <w:numId w:val="2"/>
        </w:numPr>
        <w:contextualSpacing w:val="0"/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PODMÍNKY POUŽITÍ VYROVNÁVACÍ PLATBY</w:t>
      </w:r>
    </w:p>
    <w:p w14:paraId="0AD94971" w14:textId="77777777" w:rsidR="00631AB2" w:rsidRPr="00C6703C" w:rsidRDefault="00631AB2" w:rsidP="00631AB2">
      <w:pPr>
        <w:pStyle w:val="Odstavecseseznamem"/>
        <w:ind w:left="1080"/>
        <w:contextualSpacing w:val="0"/>
        <w:rPr>
          <w:rFonts w:eastAsiaTheme="minorHAnsi"/>
          <w:b/>
          <w:szCs w:val="24"/>
          <w:lang w:eastAsia="en-US"/>
        </w:rPr>
      </w:pPr>
    </w:p>
    <w:p w14:paraId="678336B6" w14:textId="4515CA22" w:rsidR="00CB7004" w:rsidRPr="00C6703C" w:rsidRDefault="002733C0" w:rsidP="00631AB2">
      <w:pPr>
        <w:numPr>
          <w:ilvl w:val="0"/>
          <w:numId w:val="10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Finanční prostředky poskytnuté Podniku jako vyrovnávací platba </w:t>
      </w:r>
      <w:r w:rsidR="00CB7004" w:rsidRPr="00C6703C">
        <w:rPr>
          <w:rFonts w:eastAsiaTheme="minorHAnsi"/>
          <w:szCs w:val="24"/>
          <w:lang w:eastAsia="en-US"/>
        </w:rPr>
        <w:t>ve smyslu tohoto</w:t>
      </w:r>
      <w:r w:rsidRPr="00C6703C">
        <w:rPr>
          <w:rFonts w:eastAsiaTheme="minorHAnsi"/>
          <w:szCs w:val="24"/>
          <w:lang w:eastAsia="en-US"/>
        </w:rPr>
        <w:t xml:space="preserve"> Pověření smí být použity pouze a výhradně na úhradu </w:t>
      </w:r>
      <w:r w:rsidR="000B7076" w:rsidRPr="00C6703C">
        <w:rPr>
          <w:rFonts w:eastAsiaTheme="minorHAnsi"/>
          <w:szCs w:val="24"/>
          <w:lang w:eastAsia="en-US"/>
        </w:rPr>
        <w:t>nezbytně nutných</w:t>
      </w:r>
      <w:r w:rsidRPr="00C6703C">
        <w:rPr>
          <w:rFonts w:eastAsiaTheme="minorHAnsi"/>
          <w:szCs w:val="24"/>
          <w:lang w:eastAsia="en-US"/>
        </w:rPr>
        <w:t xml:space="preserve"> nákladů vzniklých</w:t>
      </w:r>
      <w:r w:rsidR="000B7076" w:rsidRPr="00C6703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>při poskytování služ</w:t>
      </w:r>
      <w:r w:rsidR="00CB7004" w:rsidRPr="00C6703C">
        <w:rPr>
          <w:rFonts w:eastAsiaTheme="minorHAnsi"/>
          <w:szCs w:val="24"/>
          <w:lang w:eastAsia="en-US"/>
        </w:rPr>
        <w:t>by</w:t>
      </w:r>
      <w:r w:rsidRPr="00C6703C">
        <w:rPr>
          <w:rFonts w:eastAsiaTheme="minorHAnsi"/>
          <w:szCs w:val="24"/>
          <w:lang w:eastAsia="en-US"/>
        </w:rPr>
        <w:t xml:space="preserve"> obecného hospodářského zájmu dle tohoto Pověření.</w:t>
      </w:r>
      <w:r w:rsidR="00BC5A99" w:rsidRPr="00C6703C">
        <w:rPr>
          <w:rFonts w:eastAsiaTheme="minorHAnsi"/>
          <w:szCs w:val="24"/>
          <w:lang w:eastAsia="en-US"/>
        </w:rPr>
        <w:t xml:space="preserve"> </w:t>
      </w:r>
    </w:p>
    <w:p w14:paraId="5DFCDDC2" w14:textId="77777777" w:rsidR="00CB7004" w:rsidRPr="00C6703C" w:rsidRDefault="00CB7004" w:rsidP="00631AB2">
      <w:pPr>
        <w:ind w:left="284"/>
        <w:rPr>
          <w:rFonts w:eastAsiaTheme="minorHAnsi"/>
          <w:szCs w:val="24"/>
          <w:lang w:eastAsia="en-US"/>
        </w:rPr>
      </w:pPr>
    </w:p>
    <w:p w14:paraId="18EE850C" w14:textId="48D44666" w:rsidR="002733C0" w:rsidRPr="00C6703C" w:rsidRDefault="00BC5A99" w:rsidP="00631AB2">
      <w:pPr>
        <w:numPr>
          <w:ilvl w:val="0"/>
          <w:numId w:val="10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Náklady na poskytování služ</w:t>
      </w:r>
      <w:r w:rsidR="00CB7004" w:rsidRPr="00C6703C">
        <w:rPr>
          <w:rFonts w:eastAsiaTheme="minorHAnsi"/>
          <w:szCs w:val="24"/>
          <w:lang w:eastAsia="en-US"/>
        </w:rPr>
        <w:t>by</w:t>
      </w:r>
      <w:r w:rsidRPr="00C6703C">
        <w:rPr>
          <w:rFonts w:eastAsiaTheme="minorHAnsi"/>
          <w:szCs w:val="24"/>
          <w:lang w:eastAsia="en-US"/>
        </w:rPr>
        <w:t xml:space="preserve"> zahrnují </w:t>
      </w:r>
      <w:r w:rsidR="00CB7004" w:rsidRPr="00C6703C">
        <w:rPr>
          <w:rFonts w:eastAsiaTheme="minorHAnsi"/>
          <w:szCs w:val="24"/>
          <w:lang w:eastAsia="en-US"/>
        </w:rPr>
        <w:t xml:space="preserve">všechny přímé a nepřímé náklady na službu a příslušnou část režijních nákladů Podniku připadajících na plnění závazku veřejné služby. </w:t>
      </w:r>
    </w:p>
    <w:p w14:paraId="32F60576" w14:textId="77777777" w:rsidR="006D0463" w:rsidRPr="00C6703C" w:rsidRDefault="006D0463" w:rsidP="006D0463">
      <w:pPr>
        <w:pStyle w:val="Odstavecseseznamem"/>
        <w:rPr>
          <w:rFonts w:eastAsiaTheme="minorHAnsi"/>
          <w:szCs w:val="24"/>
          <w:lang w:eastAsia="en-US"/>
        </w:rPr>
      </w:pPr>
    </w:p>
    <w:p w14:paraId="3923C12A" w14:textId="457FFD58" w:rsidR="00C436F2" w:rsidRPr="00C6703C" w:rsidRDefault="00810158" w:rsidP="00631AB2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Nezbytnost nákladů bude posuzována jednak z hlediska uznatelnosti jednotlivých </w:t>
      </w:r>
      <w:r w:rsidR="006D0463" w:rsidRPr="00C6703C">
        <w:rPr>
          <w:rFonts w:eastAsiaTheme="minorHAnsi"/>
          <w:szCs w:val="24"/>
          <w:lang w:eastAsia="en-US"/>
        </w:rPr>
        <w:t>nákladů</w:t>
      </w:r>
      <w:r w:rsidRPr="00C6703C">
        <w:rPr>
          <w:rFonts w:eastAsiaTheme="minorHAnsi"/>
          <w:szCs w:val="24"/>
          <w:lang w:eastAsia="en-US"/>
        </w:rPr>
        <w:t xml:space="preserve">, jak je stanoveno v příloze č. 1 tohoto Pověření, a dále z hlediska </w:t>
      </w:r>
      <w:r w:rsidR="00BC5A99" w:rsidRPr="00C6703C">
        <w:rPr>
          <w:rFonts w:eastAsiaTheme="minorHAnsi"/>
          <w:szCs w:val="24"/>
          <w:lang w:eastAsia="en-US"/>
        </w:rPr>
        <w:t xml:space="preserve">potřebnosti jejich vynaložení </w:t>
      </w:r>
      <w:r w:rsidR="000B7076" w:rsidRPr="00C6703C">
        <w:rPr>
          <w:rFonts w:eastAsiaTheme="minorHAnsi"/>
          <w:szCs w:val="24"/>
          <w:lang w:eastAsia="en-US"/>
        </w:rPr>
        <w:t>k</w:t>
      </w:r>
      <w:r w:rsidR="00BC5A99" w:rsidRPr="00C6703C">
        <w:rPr>
          <w:rFonts w:eastAsiaTheme="minorHAnsi"/>
          <w:szCs w:val="24"/>
          <w:lang w:eastAsia="en-US"/>
        </w:rPr>
        <w:t xml:space="preserve"> plnění závazku veřejné služby dle čl. II tohoto Pověření.</w:t>
      </w:r>
    </w:p>
    <w:p w14:paraId="1EC1FA18" w14:textId="77777777" w:rsidR="00BC5A99" w:rsidRPr="00C6703C" w:rsidRDefault="00BC5A99" w:rsidP="00631AB2">
      <w:pPr>
        <w:pStyle w:val="Odstavecseseznamem"/>
        <w:ind w:left="284"/>
        <w:contextualSpacing w:val="0"/>
        <w:rPr>
          <w:rFonts w:eastAsiaTheme="minorHAnsi"/>
          <w:szCs w:val="24"/>
          <w:lang w:eastAsia="en-US"/>
        </w:rPr>
      </w:pPr>
    </w:p>
    <w:p w14:paraId="20BD658E" w14:textId="42A31568" w:rsidR="00BC5A99" w:rsidRPr="00C6703C" w:rsidRDefault="00D62A98" w:rsidP="00631AB2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je povinen </w:t>
      </w:r>
      <w:r w:rsidR="000B7076" w:rsidRPr="00C6703C">
        <w:rPr>
          <w:rFonts w:eastAsiaTheme="minorHAnsi"/>
          <w:szCs w:val="24"/>
          <w:lang w:eastAsia="en-US"/>
        </w:rPr>
        <w:t>po</w:t>
      </w:r>
      <w:r w:rsidRPr="00C6703C">
        <w:rPr>
          <w:rFonts w:eastAsiaTheme="minorHAnsi"/>
          <w:szCs w:val="24"/>
          <w:lang w:eastAsia="en-US"/>
        </w:rPr>
        <w:t>užít finanční prostředky poskytnuté jako vyrovnávací platba hospodárně, efektivně a účelně s ohledem na co nejnižší vynaložení prostředků při dodržení odpovídající</w:t>
      </w:r>
      <w:r w:rsidR="001574DE" w:rsidRPr="00C6703C">
        <w:rPr>
          <w:rFonts w:eastAsiaTheme="minorHAnsi"/>
          <w:szCs w:val="24"/>
          <w:lang w:eastAsia="en-US"/>
        </w:rPr>
        <w:t>ho</w:t>
      </w:r>
      <w:r w:rsidRPr="00C6703C">
        <w:rPr>
          <w:rFonts w:eastAsiaTheme="minorHAnsi"/>
          <w:szCs w:val="24"/>
          <w:lang w:eastAsia="en-US"/>
        </w:rPr>
        <w:t xml:space="preserve"> rozsahu a kvalit</w:t>
      </w:r>
      <w:r w:rsidR="001574DE" w:rsidRPr="00C6703C">
        <w:rPr>
          <w:rFonts w:eastAsiaTheme="minorHAnsi"/>
          <w:szCs w:val="24"/>
          <w:lang w:eastAsia="en-US"/>
        </w:rPr>
        <w:t>y</w:t>
      </w:r>
      <w:r w:rsidRPr="00C6703C">
        <w:rPr>
          <w:rFonts w:eastAsiaTheme="minorHAnsi"/>
          <w:szCs w:val="24"/>
          <w:lang w:eastAsia="en-US"/>
        </w:rPr>
        <w:t xml:space="preserve"> služby.</w:t>
      </w:r>
    </w:p>
    <w:p w14:paraId="6110BA49" w14:textId="77777777" w:rsidR="00D62A98" w:rsidRPr="00C6703C" w:rsidRDefault="00D62A98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4C132F1A" w14:textId="5471E01E" w:rsidR="00D62A98" w:rsidRPr="00C6703C" w:rsidRDefault="00D62A98" w:rsidP="00631AB2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Podnik nesmí poskytovat prostředky poskytnuté jako vyrovnávací platba jiným osobám, pokud se nejedná o úhradu spojenou s plněním závazku veřejné služby.</w:t>
      </w:r>
    </w:p>
    <w:p w14:paraId="02046B35" w14:textId="77777777" w:rsidR="00D62A98" w:rsidRPr="00C6703C" w:rsidRDefault="00D62A98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2FAFB01F" w14:textId="5A26EA57" w:rsidR="00D62A98" w:rsidRPr="00C6703C" w:rsidRDefault="0085440F" w:rsidP="00631AB2">
      <w:pPr>
        <w:pStyle w:val="Odstavecseseznamem"/>
        <w:numPr>
          <w:ilvl w:val="0"/>
          <w:numId w:val="10"/>
        </w:numPr>
        <w:ind w:left="284" w:hanging="284"/>
        <w:contextualSpacing w:val="0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je povinen nejméně 3 měsíce předem projednat se SML veškerá rozhodnutí, jednání a kroky zamýšlené ze strany orgánů Podniku (správní a dozorčí rada, ředitel), které mohou mít přímý nebo nepřímý dopad na výši vyrovnávací platby nebo mohou mít vliv na rozpočítávání nákladů mezi službu a doplňkovou činnost. </w:t>
      </w:r>
    </w:p>
    <w:p w14:paraId="2BB63463" w14:textId="3250EAD9" w:rsidR="00C436F2" w:rsidRPr="00C6703C" w:rsidRDefault="00CB7004" w:rsidP="00631AB2">
      <w:pPr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 xml:space="preserve"> </w:t>
      </w:r>
    </w:p>
    <w:p w14:paraId="0804826D" w14:textId="77777777" w:rsidR="00C436F2" w:rsidRPr="00C6703C" w:rsidRDefault="00C436F2" w:rsidP="00631AB2">
      <w:pPr>
        <w:jc w:val="center"/>
        <w:rPr>
          <w:rFonts w:eastAsiaTheme="minorHAnsi"/>
          <w:b/>
          <w:szCs w:val="24"/>
          <w:lang w:eastAsia="en-US"/>
        </w:rPr>
      </w:pPr>
    </w:p>
    <w:p w14:paraId="435BC19A" w14:textId="77777777" w:rsidR="00631AB2" w:rsidRPr="00C6703C" w:rsidRDefault="00631AB2" w:rsidP="00631AB2">
      <w:pPr>
        <w:jc w:val="center"/>
        <w:rPr>
          <w:rFonts w:eastAsiaTheme="minorHAnsi"/>
          <w:b/>
          <w:szCs w:val="24"/>
          <w:lang w:eastAsia="en-US"/>
        </w:rPr>
      </w:pPr>
    </w:p>
    <w:p w14:paraId="4D1D623C" w14:textId="77777777" w:rsidR="00CF7A80" w:rsidRPr="00C6703C" w:rsidRDefault="00CF7A80" w:rsidP="00631AB2">
      <w:pPr>
        <w:numPr>
          <w:ilvl w:val="0"/>
          <w:numId w:val="2"/>
        </w:numPr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OPATŘENÍ K ZAMEZENÍ A VRÁCENÍ NADMĚRNÉ VYROVNÁVACÍ PLATBY</w:t>
      </w:r>
    </w:p>
    <w:p w14:paraId="093CA4FB" w14:textId="77777777" w:rsidR="00CF7A80" w:rsidRPr="00C6703C" w:rsidRDefault="00CF7A80" w:rsidP="00631AB2">
      <w:pPr>
        <w:ind w:left="709"/>
        <w:rPr>
          <w:rFonts w:eastAsiaTheme="minorHAnsi"/>
          <w:szCs w:val="24"/>
          <w:lang w:eastAsia="en-US"/>
        </w:rPr>
      </w:pPr>
    </w:p>
    <w:p w14:paraId="7691DE10" w14:textId="67C012F8" w:rsidR="00CF7A80" w:rsidRPr="00C6703C" w:rsidRDefault="00CF7A80" w:rsidP="00631AB2">
      <w:pPr>
        <w:numPr>
          <w:ilvl w:val="0"/>
          <w:numId w:val="1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Pověřený Podnik je povinen vést oddělené účetnictví pro </w:t>
      </w:r>
      <w:r w:rsidR="006D0463" w:rsidRPr="00C6703C">
        <w:rPr>
          <w:rFonts w:eastAsiaTheme="minorHAnsi"/>
          <w:szCs w:val="24"/>
          <w:lang w:eastAsia="en-US"/>
        </w:rPr>
        <w:t xml:space="preserve">službu </w:t>
      </w:r>
      <w:r w:rsidRPr="00C6703C">
        <w:rPr>
          <w:rFonts w:eastAsiaTheme="minorHAnsi"/>
          <w:szCs w:val="24"/>
          <w:lang w:eastAsia="en-US"/>
        </w:rPr>
        <w:t xml:space="preserve">dle čl. II odst. 1 Pověření, a pro doplňkovou činnost, a to v souladu s obecně platnými účetními předpisy, zejm. zákonem č. 563/1991 Sb., o účetnictví, ve znění pozdějších předpisů, a vyhláškou č. 504/2002 Sb., kterou se provádějí některá ustanovení zákona č. 563/1991 Sb., o účetnictví, ve znění pozdějších předpisů. </w:t>
      </w:r>
    </w:p>
    <w:p w14:paraId="55010472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4EB0205C" w14:textId="2166AC08" w:rsidR="00371E9A" w:rsidRPr="00C6703C" w:rsidRDefault="00CF7A80" w:rsidP="00631AB2">
      <w:pPr>
        <w:numPr>
          <w:ilvl w:val="0"/>
          <w:numId w:val="1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odpovídá za řádné </w:t>
      </w:r>
      <w:r w:rsidR="001574DE" w:rsidRPr="00C6703C">
        <w:rPr>
          <w:rFonts w:eastAsiaTheme="minorHAnsi"/>
          <w:szCs w:val="24"/>
          <w:lang w:eastAsia="en-US"/>
        </w:rPr>
        <w:t xml:space="preserve">a </w:t>
      </w:r>
      <w:r w:rsidR="00545857" w:rsidRPr="00C6703C">
        <w:rPr>
          <w:rFonts w:eastAsiaTheme="minorHAnsi"/>
          <w:szCs w:val="24"/>
          <w:lang w:eastAsia="en-US"/>
        </w:rPr>
        <w:t xml:space="preserve">správné účtování a vyúčtování obdržené vyrovnávací platby </w:t>
      </w:r>
      <w:r w:rsidRPr="00C6703C">
        <w:rPr>
          <w:rFonts w:eastAsiaTheme="minorHAnsi"/>
          <w:szCs w:val="24"/>
          <w:lang w:eastAsia="en-US"/>
        </w:rPr>
        <w:t>a</w:t>
      </w:r>
      <w:r w:rsidR="00545857" w:rsidRPr="00C6703C">
        <w:rPr>
          <w:rFonts w:eastAsiaTheme="minorHAnsi"/>
          <w:szCs w:val="24"/>
          <w:lang w:eastAsia="en-US"/>
        </w:rPr>
        <w:t xml:space="preserve"> za</w:t>
      </w:r>
      <w:r w:rsidRPr="00C6703C">
        <w:rPr>
          <w:rFonts w:eastAsiaTheme="minorHAnsi"/>
          <w:szCs w:val="24"/>
          <w:lang w:eastAsia="en-US"/>
        </w:rPr>
        <w:t xml:space="preserve"> oddělené sledování použití finančních prostředků poskytnutých jako vyrovnávací platba v</w:t>
      </w:r>
      <w:r w:rsidR="00545857" w:rsidRPr="00C6703C">
        <w:rPr>
          <w:rFonts w:eastAsiaTheme="minorHAnsi"/>
          <w:szCs w:val="24"/>
          <w:lang w:eastAsia="en-US"/>
        </w:rPr>
        <w:t> </w:t>
      </w:r>
      <w:r w:rsidRPr="00C6703C">
        <w:rPr>
          <w:rFonts w:eastAsiaTheme="minorHAnsi"/>
          <w:szCs w:val="24"/>
          <w:lang w:eastAsia="en-US"/>
        </w:rPr>
        <w:t>účetnictví</w:t>
      </w:r>
      <w:r w:rsidR="00545857" w:rsidRPr="00C6703C">
        <w:rPr>
          <w:rFonts w:eastAsiaTheme="minorHAnsi"/>
          <w:szCs w:val="24"/>
          <w:lang w:eastAsia="en-US"/>
        </w:rPr>
        <w:t xml:space="preserve"> tak, aby v každém okamžiku byla jednoznačně zřetelná a kontrolovatelná výše obdržené vyrovnávací platby, výše jejího čerpání a případně výše vrácení nadměrné vyrovnávací platby. </w:t>
      </w:r>
      <w:r w:rsidRPr="00C6703C">
        <w:rPr>
          <w:rFonts w:eastAsiaTheme="minorHAnsi"/>
          <w:szCs w:val="24"/>
          <w:lang w:eastAsia="en-US"/>
        </w:rPr>
        <w:t>Podnik ve svém účetnictví zajistí řádné</w:t>
      </w:r>
      <w:r w:rsidR="00545857" w:rsidRPr="00C6703C">
        <w:rPr>
          <w:rFonts w:eastAsiaTheme="minorHAnsi"/>
          <w:szCs w:val="24"/>
          <w:lang w:eastAsia="en-US"/>
        </w:rPr>
        <w:t xml:space="preserve"> a důsledné</w:t>
      </w:r>
      <w:r w:rsidRPr="00C6703C">
        <w:rPr>
          <w:rFonts w:eastAsiaTheme="minorHAnsi"/>
          <w:szCs w:val="24"/>
          <w:lang w:eastAsia="en-US"/>
        </w:rPr>
        <w:t xml:space="preserve"> evidování nákladů a výnosů prokazatelně vzniklých v souvislosti s plněním závazku veřejné služby a dále evidování nákladů a výnosů vzniklých v souvislosti s výkonem doplňkových činností.</w:t>
      </w:r>
      <w:r w:rsidR="008B1F01" w:rsidRPr="00C6703C">
        <w:rPr>
          <w:rFonts w:eastAsiaTheme="minorHAnsi"/>
          <w:szCs w:val="24"/>
          <w:lang w:eastAsia="en-US"/>
        </w:rPr>
        <w:t xml:space="preserve"> Podnik je dále povinen vést ve svém účetnictví odděleně výnosy ze soukromých zdrojů (např. soukromé dary a příspěvky) a</w:t>
      </w:r>
      <w:r w:rsidR="00371E9A" w:rsidRPr="00C6703C">
        <w:rPr>
          <w:rFonts w:eastAsiaTheme="minorHAnsi"/>
          <w:szCs w:val="24"/>
          <w:lang w:eastAsia="en-US"/>
        </w:rPr>
        <w:t xml:space="preserve"> výnosy z veřejných rozpočtů. </w:t>
      </w:r>
    </w:p>
    <w:p w14:paraId="69FCB06E" w14:textId="77777777" w:rsidR="00181CFF" w:rsidRPr="00C6703C" w:rsidRDefault="00181CFF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0AD6B57A" w14:textId="3F0E7985" w:rsidR="00181CFF" w:rsidRPr="00C6703C" w:rsidRDefault="00181CFF" w:rsidP="00631AB2">
      <w:pPr>
        <w:numPr>
          <w:ilvl w:val="0"/>
          <w:numId w:val="1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V případě, že Podnik obdrží veřejnou podporu na službu vymezenou v čl. II tohoto Pověření jako podporu de </w:t>
      </w:r>
      <w:proofErr w:type="spellStart"/>
      <w:r w:rsidRPr="00C6703C">
        <w:rPr>
          <w:rFonts w:eastAsiaTheme="minorHAnsi"/>
          <w:szCs w:val="24"/>
          <w:lang w:eastAsia="en-US"/>
        </w:rPr>
        <w:t>minimis</w:t>
      </w:r>
      <w:proofErr w:type="spellEnd"/>
      <w:r w:rsidRPr="00C6703C">
        <w:rPr>
          <w:rFonts w:eastAsiaTheme="minorHAnsi"/>
          <w:szCs w:val="24"/>
          <w:lang w:eastAsia="en-US"/>
        </w:rPr>
        <w:t xml:space="preserve"> ve smyslu Nařízení </w:t>
      </w:r>
      <w:r w:rsidRPr="00C6703C">
        <w:t xml:space="preserve">Komise (EU) č. 1407/2013 ze dne </w:t>
      </w:r>
      <w:proofErr w:type="gramStart"/>
      <w:r w:rsidRPr="00C6703C">
        <w:t>18.12.2013</w:t>
      </w:r>
      <w:proofErr w:type="gramEnd"/>
      <w:r w:rsidRPr="00C6703C">
        <w:t xml:space="preserve"> o použití článků 107 a 108 Smlouvy o fungování Evropské unie na podporu de </w:t>
      </w:r>
      <w:proofErr w:type="spellStart"/>
      <w:r w:rsidRPr="00C6703C">
        <w:t>minimis</w:t>
      </w:r>
      <w:proofErr w:type="spellEnd"/>
      <w:r w:rsidRPr="00C6703C">
        <w:t xml:space="preserve"> (dále jen „podpora de </w:t>
      </w:r>
      <w:proofErr w:type="spellStart"/>
      <w:r w:rsidRPr="00C6703C">
        <w:t>minimis</w:t>
      </w:r>
      <w:proofErr w:type="spellEnd"/>
      <w:r w:rsidRPr="00C6703C">
        <w:t xml:space="preserve">“), je povinen zajistit oddělené účetní evidování nákladů a výnosů spojených s takto přijatou podporou de </w:t>
      </w:r>
      <w:proofErr w:type="spellStart"/>
      <w:r w:rsidRPr="00C6703C">
        <w:t>minimis</w:t>
      </w:r>
      <w:proofErr w:type="spellEnd"/>
      <w:r w:rsidRPr="00C6703C">
        <w:t xml:space="preserve">. </w:t>
      </w:r>
      <w:r w:rsidRPr="00C6703C">
        <w:rPr>
          <w:i/>
        </w:rPr>
        <w:t xml:space="preserve">SML tímto výslovně upozorňuje Podnik, že poskytnutí podpory de </w:t>
      </w:r>
      <w:proofErr w:type="spellStart"/>
      <w:r w:rsidRPr="00C6703C">
        <w:rPr>
          <w:i/>
        </w:rPr>
        <w:t>minimis</w:t>
      </w:r>
      <w:proofErr w:type="spellEnd"/>
      <w:r w:rsidRPr="00C6703C">
        <w:rPr>
          <w:i/>
        </w:rPr>
        <w:t xml:space="preserve"> dle Nařízení Komise (EU) č. 360/2012 ze dne </w:t>
      </w:r>
      <w:proofErr w:type="gramStart"/>
      <w:r w:rsidRPr="00C6703C">
        <w:rPr>
          <w:i/>
        </w:rPr>
        <w:t>25.4.2012</w:t>
      </w:r>
      <w:proofErr w:type="gramEnd"/>
      <w:r w:rsidRPr="00C6703C">
        <w:rPr>
          <w:i/>
        </w:rPr>
        <w:t xml:space="preserve"> o použití článků 107 a 108 Smlouvy o fungování Evropské unie na podporu de </w:t>
      </w:r>
      <w:proofErr w:type="spellStart"/>
      <w:r w:rsidRPr="00C6703C">
        <w:rPr>
          <w:i/>
        </w:rPr>
        <w:t>minimis</w:t>
      </w:r>
      <w:proofErr w:type="spellEnd"/>
      <w:r w:rsidRPr="00C6703C">
        <w:rPr>
          <w:i/>
        </w:rPr>
        <w:t xml:space="preserve"> udílenou podnikům poskytujícím služby obecného hospodářského zájmu, je s tímto Pověřením a vyrovnávací platbou neslučitelné.</w:t>
      </w:r>
    </w:p>
    <w:p w14:paraId="3E87234F" w14:textId="77777777" w:rsidR="00213695" w:rsidRPr="00C6703C" w:rsidRDefault="00213695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3572F967" w14:textId="77777777" w:rsidR="00A24DCE" w:rsidRPr="00C6703C" w:rsidRDefault="00A24DCE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16D6AF20" w14:textId="77777777" w:rsidR="00A24DCE" w:rsidRPr="00C6703C" w:rsidRDefault="00A24DCE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450915C6" w14:textId="77777777" w:rsidR="00A24DCE" w:rsidRPr="00C6703C" w:rsidRDefault="00A24DCE" w:rsidP="00631AB2">
      <w:pPr>
        <w:pStyle w:val="Odstavecseseznamem"/>
        <w:contextualSpacing w:val="0"/>
        <w:rPr>
          <w:rFonts w:eastAsiaTheme="minorHAnsi"/>
          <w:szCs w:val="24"/>
          <w:lang w:eastAsia="en-US"/>
        </w:rPr>
      </w:pPr>
    </w:p>
    <w:p w14:paraId="2FA74176" w14:textId="63024F84" w:rsidR="00213695" w:rsidRPr="00C6703C" w:rsidRDefault="00213695" w:rsidP="00631AB2">
      <w:pPr>
        <w:numPr>
          <w:ilvl w:val="0"/>
          <w:numId w:val="1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je povinen informovat SML </w:t>
      </w:r>
      <w:r w:rsidR="000B7076" w:rsidRPr="00C6703C">
        <w:rPr>
          <w:rFonts w:eastAsiaTheme="minorHAnsi"/>
          <w:szCs w:val="24"/>
          <w:lang w:eastAsia="en-US"/>
        </w:rPr>
        <w:t xml:space="preserve">do 10 pracovních dnů od zjištění </w:t>
      </w:r>
      <w:r w:rsidRPr="00C6703C">
        <w:rPr>
          <w:rFonts w:eastAsiaTheme="minorHAnsi"/>
          <w:szCs w:val="24"/>
          <w:lang w:eastAsia="en-US"/>
        </w:rPr>
        <w:t>o:</w:t>
      </w:r>
    </w:p>
    <w:p w14:paraId="09686C92" w14:textId="181681CB" w:rsidR="00213695" w:rsidRPr="00C6703C" w:rsidRDefault="00213695" w:rsidP="00631AB2">
      <w:pPr>
        <w:numPr>
          <w:ilvl w:val="1"/>
          <w:numId w:val="1"/>
        </w:numPr>
        <w:ind w:left="851" w:hanging="567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všech příjmech</w:t>
      </w:r>
      <w:r w:rsidR="000B7076" w:rsidRPr="00C6703C">
        <w:rPr>
          <w:rFonts w:eastAsiaTheme="minorHAnsi"/>
          <w:szCs w:val="24"/>
          <w:lang w:eastAsia="en-US"/>
        </w:rPr>
        <w:t xml:space="preserve"> a výdajích vzniklých Podniku </w:t>
      </w:r>
      <w:r w:rsidRPr="00C6703C">
        <w:rPr>
          <w:rFonts w:eastAsiaTheme="minorHAnsi"/>
          <w:szCs w:val="24"/>
          <w:lang w:eastAsia="en-US"/>
        </w:rPr>
        <w:t xml:space="preserve">mimo původní kalkulaci předpokládané výše vyrovnávací platby pro příslušný kalendářní rok (tj. veškeré odchylky od očekávaných příjmů a výdajů, které mohou ovlivnit vyrovnávací platbu), </w:t>
      </w:r>
    </w:p>
    <w:p w14:paraId="0CA850A5" w14:textId="4D54ED2A" w:rsidR="00213695" w:rsidRPr="00C6703C" w:rsidRDefault="000B7076" w:rsidP="00631AB2">
      <w:pPr>
        <w:numPr>
          <w:ilvl w:val="1"/>
          <w:numId w:val="1"/>
        </w:numPr>
        <w:ind w:left="851" w:hanging="567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o </w:t>
      </w:r>
      <w:r w:rsidR="00213695" w:rsidRPr="00C6703C">
        <w:rPr>
          <w:rFonts w:eastAsiaTheme="minorHAnsi"/>
          <w:szCs w:val="24"/>
          <w:lang w:eastAsia="en-US"/>
        </w:rPr>
        <w:t xml:space="preserve">všech </w:t>
      </w:r>
      <w:r w:rsidRPr="00C6703C">
        <w:rPr>
          <w:rFonts w:eastAsiaTheme="minorHAnsi"/>
          <w:szCs w:val="24"/>
          <w:lang w:eastAsia="en-US"/>
        </w:rPr>
        <w:t>příjmech</w:t>
      </w:r>
      <w:r w:rsidR="00213695" w:rsidRPr="00C6703C">
        <w:rPr>
          <w:rFonts w:eastAsiaTheme="minorHAnsi"/>
          <w:szCs w:val="24"/>
          <w:lang w:eastAsia="en-US"/>
        </w:rPr>
        <w:t xml:space="preserve"> od jiných subjektů, zejm. jedná-li se o platby z veřejných rozpočtů, </w:t>
      </w:r>
      <w:r w:rsidRPr="00C6703C">
        <w:rPr>
          <w:rFonts w:eastAsiaTheme="minorHAnsi"/>
          <w:szCs w:val="24"/>
          <w:lang w:eastAsia="en-US"/>
        </w:rPr>
        <w:t xml:space="preserve">a o nákladech těmto příjmům odpovídajícím, </w:t>
      </w:r>
    </w:p>
    <w:p w14:paraId="16F93D5C" w14:textId="6325F2C6" w:rsidR="00371E9A" w:rsidRPr="00C6703C" w:rsidRDefault="000A0DAD" w:rsidP="00631AB2">
      <w:pPr>
        <w:numPr>
          <w:ilvl w:val="1"/>
          <w:numId w:val="1"/>
        </w:numPr>
        <w:ind w:left="851" w:hanging="567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o všech příjmech z veřejných rozpočtů </w:t>
      </w:r>
      <w:r w:rsidR="000B7076" w:rsidRPr="00C6703C">
        <w:rPr>
          <w:rFonts w:eastAsiaTheme="minorHAnsi"/>
          <w:szCs w:val="24"/>
          <w:lang w:eastAsia="en-US"/>
        </w:rPr>
        <w:t xml:space="preserve">poskytnutých </w:t>
      </w:r>
      <w:r w:rsidRPr="00C6703C">
        <w:rPr>
          <w:rFonts w:eastAsiaTheme="minorHAnsi"/>
          <w:szCs w:val="24"/>
          <w:lang w:eastAsia="en-US"/>
        </w:rPr>
        <w:t xml:space="preserve">jako podpora de </w:t>
      </w:r>
      <w:proofErr w:type="spellStart"/>
      <w:r w:rsidRPr="00C6703C">
        <w:rPr>
          <w:rFonts w:eastAsiaTheme="minorHAnsi"/>
          <w:szCs w:val="24"/>
          <w:lang w:eastAsia="en-US"/>
        </w:rPr>
        <w:t>minimis</w:t>
      </w:r>
      <w:proofErr w:type="spellEnd"/>
      <w:r w:rsidRPr="00C6703C">
        <w:rPr>
          <w:i/>
        </w:rPr>
        <w:t>.</w:t>
      </w:r>
      <w:r w:rsidRPr="00C6703C">
        <w:t xml:space="preserve"> </w:t>
      </w:r>
    </w:p>
    <w:p w14:paraId="5D6C087F" w14:textId="77777777" w:rsidR="000A0DAD" w:rsidRPr="00C6703C" w:rsidRDefault="000A0DAD" w:rsidP="00631AB2">
      <w:pPr>
        <w:rPr>
          <w:rFonts w:eastAsiaTheme="minorHAnsi"/>
          <w:szCs w:val="24"/>
          <w:lang w:eastAsia="en-US"/>
        </w:rPr>
      </w:pPr>
    </w:p>
    <w:p w14:paraId="10E4E9CB" w14:textId="32720121" w:rsidR="000A0DAD" w:rsidRPr="00C6703C" w:rsidRDefault="000A0DAD" w:rsidP="00631AB2">
      <w:pPr>
        <w:numPr>
          <w:ilvl w:val="0"/>
          <w:numId w:val="1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Podnik je povinen informovat ostatní poskytovatele finančních prostředků z veřejných rozpočtů o možnosti přistoupení k tomuto Pověření, bude-li se jednat o poskytnutí finančních prostředků Podniku na plnění závazku veřejné služby dle tohoto Pověření.</w:t>
      </w:r>
      <w:r w:rsidR="00E14224" w:rsidRPr="00C6703C">
        <w:rPr>
          <w:rFonts w:eastAsiaTheme="minorHAnsi"/>
          <w:szCs w:val="24"/>
          <w:lang w:eastAsia="en-US"/>
        </w:rPr>
        <w:t xml:space="preserve"> </w:t>
      </w:r>
      <w:r w:rsidR="00B84ADD" w:rsidRPr="00C6703C">
        <w:rPr>
          <w:rFonts w:eastAsiaTheme="minorHAnsi"/>
          <w:szCs w:val="24"/>
          <w:lang w:eastAsia="en-US"/>
        </w:rPr>
        <w:t>F</w:t>
      </w:r>
      <w:r w:rsidR="00E14224" w:rsidRPr="00C6703C">
        <w:rPr>
          <w:rFonts w:eastAsiaTheme="minorHAnsi"/>
          <w:szCs w:val="24"/>
          <w:lang w:eastAsia="en-US"/>
        </w:rPr>
        <w:t xml:space="preserve">ormulace aktu přistoupení k tomuto Pověření </w:t>
      </w:r>
      <w:r w:rsidR="00675B8F" w:rsidRPr="00C6703C">
        <w:rPr>
          <w:rFonts w:eastAsiaTheme="minorHAnsi"/>
          <w:szCs w:val="24"/>
          <w:lang w:eastAsia="en-US"/>
        </w:rPr>
        <w:t xml:space="preserve">ve smlouvě o poskytnutí dotace/příspěvku </w:t>
      </w:r>
      <w:r w:rsidR="00B84ADD" w:rsidRPr="00C6703C">
        <w:rPr>
          <w:rFonts w:eastAsiaTheme="minorHAnsi"/>
          <w:szCs w:val="24"/>
          <w:lang w:eastAsia="en-US"/>
        </w:rPr>
        <w:t>může znít následovně:</w:t>
      </w:r>
    </w:p>
    <w:p w14:paraId="57C827B0" w14:textId="7A2D9726" w:rsidR="00CC118F" w:rsidRPr="00C6703C" w:rsidRDefault="00CC118F" w:rsidP="00631AB2">
      <w:pPr>
        <w:overflowPunct w:val="0"/>
        <w:autoSpaceDE w:val="0"/>
        <w:autoSpaceDN w:val="0"/>
        <w:adjustRightInd w:val="0"/>
        <w:ind w:left="284"/>
        <w:textAlignment w:val="baseline"/>
        <w:rPr>
          <w:rFonts w:cstheme="minorHAnsi"/>
          <w:i/>
          <w:spacing w:val="-2"/>
        </w:rPr>
      </w:pPr>
      <w:r w:rsidRPr="00C6703C">
        <w:rPr>
          <w:rFonts w:cstheme="minorHAnsi"/>
          <w:i/>
          <w:spacing w:val="-2"/>
        </w:rPr>
        <w:t>Podnik/příjemce dotace</w:t>
      </w:r>
      <w:r w:rsidR="00675B8F" w:rsidRPr="00C6703C">
        <w:rPr>
          <w:rFonts w:cstheme="minorHAnsi"/>
          <w:i/>
          <w:spacing w:val="-2"/>
        </w:rPr>
        <w:t>/příspěvku</w:t>
      </w:r>
      <w:r w:rsidRPr="00C6703C">
        <w:rPr>
          <w:rFonts w:cstheme="minorHAnsi"/>
          <w:i/>
          <w:spacing w:val="-2"/>
        </w:rPr>
        <w:t xml:space="preserve"> byl pověřen statutárním městem Liberec k poskytování služeb obecného hospodářského zájmu, a to Pověřením k poskytování služeb obecného hospodářského zájmu, které bylo schváleno usnesením Zastupitelstva města Liberec č. </w:t>
      </w:r>
      <w:r w:rsidR="00193FB9">
        <w:rPr>
          <w:rFonts w:cstheme="minorHAnsi"/>
          <w:i/>
          <w:spacing w:val="-2"/>
        </w:rPr>
        <w:t>20/2017</w:t>
      </w:r>
      <w:r w:rsidRPr="00C6703C">
        <w:rPr>
          <w:rFonts w:cstheme="minorHAnsi"/>
          <w:i/>
          <w:spacing w:val="-2"/>
        </w:rPr>
        <w:t xml:space="preserve"> ze dne </w:t>
      </w:r>
      <w:proofErr w:type="gramStart"/>
      <w:r w:rsidR="00193FB9">
        <w:rPr>
          <w:rFonts w:cstheme="minorHAnsi"/>
          <w:i/>
          <w:spacing w:val="-2"/>
        </w:rPr>
        <w:t>26.1.2017</w:t>
      </w:r>
      <w:proofErr w:type="gramEnd"/>
      <w:r w:rsidR="00193FB9">
        <w:rPr>
          <w:rFonts w:cstheme="minorHAnsi"/>
          <w:i/>
          <w:spacing w:val="-2"/>
        </w:rPr>
        <w:t xml:space="preserve"> </w:t>
      </w:r>
      <w:r w:rsidRPr="00C6703C">
        <w:rPr>
          <w:rFonts w:cstheme="minorHAnsi"/>
          <w:i/>
          <w:spacing w:val="-2"/>
        </w:rPr>
        <w:t xml:space="preserve">(dále jen „Pověření“). </w:t>
      </w:r>
      <w:r w:rsidRPr="00C6703C">
        <w:rPr>
          <w:rFonts w:cstheme="minorHAnsi"/>
          <w:b/>
          <w:i/>
          <w:spacing w:val="-2"/>
        </w:rPr>
        <w:t>Poskytovatel dotace touto smlouvou přistupuje k Pověření statutárního města Liberec a dotace</w:t>
      </w:r>
      <w:r w:rsidR="00675B8F" w:rsidRPr="00C6703C">
        <w:rPr>
          <w:rFonts w:cstheme="minorHAnsi"/>
          <w:b/>
          <w:i/>
          <w:spacing w:val="-2"/>
        </w:rPr>
        <w:t>/příspěvek</w:t>
      </w:r>
      <w:r w:rsidRPr="00C6703C">
        <w:rPr>
          <w:rFonts w:cstheme="minorHAnsi"/>
          <w:b/>
          <w:i/>
          <w:spacing w:val="-2"/>
        </w:rPr>
        <w:t xml:space="preserve"> poskytnut</w:t>
      </w:r>
      <w:r w:rsidR="00675B8F" w:rsidRPr="00C6703C">
        <w:rPr>
          <w:rFonts w:cstheme="minorHAnsi"/>
          <w:b/>
          <w:i/>
          <w:spacing w:val="-2"/>
        </w:rPr>
        <w:t>ý</w:t>
      </w:r>
      <w:r w:rsidRPr="00C6703C">
        <w:rPr>
          <w:rFonts w:cstheme="minorHAnsi"/>
          <w:b/>
          <w:i/>
          <w:spacing w:val="-2"/>
        </w:rPr>
        <w:t xml:space="preserve"> touto smlouvou je součástí vyrovnávací platby dle čl. III Pověření.</w:t>
      </w:r>
      <w:r w:rsidRPr="00C6703C">
        <w:rPr>
          <w:rFonts w:cstheme="minorHAnsi"/>
          <w:i/>
          <w:spacing w:val="-2"/>
        </w:rPr>
        <w:t xml:space="preserve"> Tato smlouva je uzavřena v souladu s Rozhodnutím Komise ze dne 20. prosince 2011 o použití článku 106 odst. 2 Smlouvy o fungování Evropské unie na státní podporu ve formě vyrovnávací platby za závazek veřejné služby udělené určitým podnikům pověřeným poskytováním služby obecného hospodářského zájmu, publikováno v Úředním věstníku Evropské unie dne 11. 1. 2012, a dotace poskytnutá touto smlouvou je veřejnou podporou slučitelnou s vnitřním trhem.</w:t>
      </w:r>
    </w:p>
    <w:p w14:paraId="3C60CDF2" w14:textId="77777777" w:rsidR="00E14224" w:rsidRPr="00C6703C" w:rsidRDefault="00E14224" w:rsidP="00631AB2">
      <w:pPr>
        <w:ind w:left="284"/>
        <w:rPr>
          <w:rFonts w:eastAsiaTheme="minorHAnsi"/>
          <w:szCs w:val="24"/>
          <w:lang w:eastAsia="en-US"/>
        </w:rPr>
      </w:pPr>
    </w:p>
    <w:p w14:paraId="62BFE8CC" w14:textId="0490A033" w:rsidR="00CF7A80" w:rsidRPr="00C6703C" w:rsidRDefault="00371E9A" w:rsidP="00631AB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Podnik je povinen po celou dobu platnosti tohoto Pověření provádět roční vyúčtování vyrovnávací platby, kterou obdržel na plnění závazku veřejné služby dle tohoto Pověření, tj. vždy za </w:t>
      </w:r>
      <w:proofErr w:type="gramStart"/>
      <w:r w:rsidRPr="00C6703C">
        <w:rPr>
          <w:rFonts w:eastAsiaTheme="minorHAnsi"/>
          <w:szCs w:val="24"/>
          <w:lang w:eastAsia="en-US"/>
        </w:rPr>
        <w:t>období 1.</w:t>
      </w:r>
      <w:r w:rsidR="00F260D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>1.-</w:t>
      </w:r>
      <w:r w:rsidR="00F260D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>31</w:t>
      </w:r>
      <w:proofErr w:type="gramEnd"/>
      <w:r w:rsidRPr="00C6703C">
        <w:rPr>
          <w:rFonts w:eastAsiaTheme="minorHAnsi"/>
          <w:szCs w:val="24"/>
          <w:lang w:eastAsia="en-US"/>
        </w:rPr>
        <w:t>.</w:t>
      </w:r>
      <w:r w:rsidR="00F260DC">
        <w:rPr>
          <w:rFonts w:eastAsiaTheme="minorHAnsi"/>
          <w:szCs w:val="24"/>
          <w:lang w:eastAsia="en-US"/>
        </w:rPr>
        <w:t xml:space="preserve"> </w:t>
      </w:r>
      <w:r w:rsidRPr="00C6703C">
        <w:rPr>
          <w:rFonts w:eastAsiaTheme="minorHAnsi"/>
          <w:szCs w:val="24"/>
          <w:lang w:eastAsia="en-US"/>
        </w:rPr>
        <w:t>12. příslušného kalendářního roku</w:t>
      </w:r>
      <w:r w:rsidR="00602418" w:rsidRPr="00C6703C">
        <w:rPr>
          <w:rFonts w:eastAsiaTheme="minorHAnsi"/>
          <w:szCs w:val="24"/>
          <w:lang w:eastAsia="en-US"/>
        </w:rPr>
        <w:t>, a to na předepsaném formuláři SML</w:t>
      </w:r>
      <w:r w:rsidR="00C0149F" w:rsidRPr="00C6703C">
        <w:rPr>
          <w:rFonts w:eastAsiaTheme="minorHAnsi"/>
          <w:szCs w:val="24"/>
          <w:lang w:eastAsia="en-US"/>
        </w:rPr>
        <w:t>.</w:t>
      </w:r>
      <w:r w:rsidR="00C513FB" w:rsidRPr="00C6703C">
        <w:rPr>
          <w:rFonts w:eastAsiaTheme="minorHAnsi"/>
          <w:szCs w:val="24"/>
          <w:lang w:eastAsia="en-US"/>
        </w:rPr>
        <w:t xml:space="preserve"> </w:t>
      </w:r>
      <w:r w:rsidR="00C436F2" w:rsidRPr="00C6703C">
        <w:rPr>
          <w:rFonts w:eastAsiaTheme="minorHAnsi"/>
          <w:szCs w:val="24"/>
          <w:lang w:eastAsia="en-US"/>
        </w:rPr>
        <w:t xml:space="preserve">Podnik je ve vyúčtování povinen prokázat zvlášť náklady a výnosy a ztrátu nebo zisk vzniklé při plnění závazku veřejné služby dle tohoto Pověření a zvlášť náklady a výnosy a ztrátu nebo zisk vzniklé v souvislosti s výkonem doplňkové činnosti. </w:t>
      </w:r>
    </w:p>
    <w:p w14:paraId="42612AD9" w14:textId="77777777" w:rsidR="00CF7A80" w:rsidRPr="00C6703C" w:rsidRDefault="00CF7A80" w:rsidP="00631AB2">
      <w:pPr>
        <w:ind w:left="284" w:hanging="284"/>
        <w:rPr>
          <w:rFonts w:eastAsiaTheme="minorHAnsi"/>
          <w:szCs w:val="24"/>
          <w:lang w:eastAsia="en-US"/>
        </w:rPr>
      </w:pPr>
    </w:p>
    <w:p w14:paraId="24B5ACF6" w14:textId="2E3233DD" w:rsidR="00CF7A80" w:rsidRPr="00C6703C" w:rsidRDefault="00CF7A80" w:rsidP="00631AB2">
      <w:pPr>
        <w:numPr>
          <w:ilvl w:val="0"/>
          <w:numId w:val="1"/>
        </w:numPr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Statutární město Liberec provede v souladu se zákonem č. 320/2001 Sb., o finanční kontrole ve veřejné správě, ve znění pozdějších předpisů, </w:t>
      </w:r>
      <w:r w:rsidR="0075619C" w:rsidRPr="00C6703C">
        <w:rPr>
          <w:rFonts w:eastAsiaTheme="minorHAnsi"/>
          <w:szCs w:val="24"/>
          <w:lang w:eastAsia="en-US"/>
        </w:rPr>
        <w:t xml:space="preserve">každoročně </w:t>
      </w:r>
      <w:r w:rsidRPr="00C6703C">
        <w:rPr>
          <w:rFonts w:eastAsiaTheme="minorHAnsi"/>
          <w:szCs w:val="24"/>
          <w:lang w:eastAsia="en-US"/>
        </w:rPr>
        <w:t xml:space="preserve">vyhodnocení hospodaření Podniku a kontrolu </w:t>
      </w:r>
      <w:r w:rsidR="008B1F01" w:rsidRPr="00C6703C">
        <w:rPr>
          <w:rFonts w:eastAsiaTheme="minorHAnsi"/>
          <w:szCs w:val="24"/>
          <w:lang w:eastAsia="en-US"/>
        </w:rPr>
        <w:t xml:space="preserve">použití a </w:t>
      </w:r>
      <w:r w:rsidRPr="00C6703C">
        <w:rPr>
          <w:rFonts w:eastAsiaTheme="minorHAnsi"/>
          <w:szCs w:val="24"/>
          <w:lang w:eastAsia="en-US"/>
        </w:rPr>
        <w:t xml:space="preserve">vyúčtování vyrovnávací platby. V případě, že Podnik obdrží vyrovnávací platbu, která převyšuje částku stanovenou podle čl. III Pověření, je povinen tuto nadměrně vyplacenou částku vrátit na účet statutárního města Liberec nejpozději do 28. 2. </w:t>
      </w:r>
      <w:r w:rsidR="008B1F01" w:rsidRPr="00C6703C">
        <w:rPr>
          <w:rFonts w:eastAsiaTheme="minorHAnsi"/>
          <w:szCs w:val="24"/>
          <w:lang w:eastAsia="en-US"/>
        </w:rPr>
        <w:t>následujícího roku</w:t>
      </w:r>
      <w:r w:rsidR="000B7076" w:rsidRPr="00C6703C">
        <w:rPr>
          <w:rFonts w:eastAsiaTheme="minorHAnsi"/>
          <w:szCs w:val="24"/>
          <w:lang w:eastAsia="en-US"/>
        </w:rPr>
        <w:t>.</w:t>
      </w:r>
    </w:p>
    <w:p w14:paraId="68B922F2" w14:textId="77777777" w:rsidR="00CF7A80" w:rsidRPr="00C6703C" w:rsidRDefault="00CF7A80" w:rsidP="00631AB2">
      <w:pPr>
        <w:ind w:left="709"/>
        <w:rPr>
          <w:rFonts w:eastAsiaTheme="minorHAnsi"/>
          <w:szCs w:val="24"/>
          <w:lang w:eastAsia="en-US"/>
        </w:rPr>
      </w:pPr>
    </w:p>
    <w:p w14:paraId="217E85FE" w14:textId="77777777" w:rsidR="00CF7A80" w:rsidRPr="00C6703C" w:rsidRDefault="00CF7A80" w:rsidP="00631AB2">
      <w:pPr>
        <w:ind w:left="709"/>
        <w:rPr>
          <w:rFonts w:eastAsiaTheme="minorHAnsi"/>
          <w:szCs w:val="24"/>
          <w:lang w:eastAsia="en-US"/>
        </w:rPr>
      </w:pPr>
    </w:p>
    <w:p w14:paraId="5B3139EE" w14:textId="77777777" w:rsidR="00A24DCE" w:rsidRPr="00C6703C" w:rsidRDefault="00A24DCE" w:rsidP="00631AB2">
      <w:pPr>
        <w:ind w:left="709"/>
        <w:rPr>
          <w:rFonts w:eastAsiaTheme="minorHAnsi"/>
          <w:szCs w:val="24"/>
          <w:lang w:eastAsia="en-US"/>
        </w:rPr>
      </w:pPr>
    </w:p>
    <w:p w14:paraId="2E33E34E" w14:textId="77777777" w:rsidR="00CC0728" w:rsidRPr="00C6703C" w:rsidRDefault="00CC0728" w:rsidP="00631AB2">
      <w:pPr>
        <w:numPr>
          <w:ilvl w:val="0"/>
          <w:numId w:val="2"/>
        </w:numPr>
        <w:jc w:val="center"/>
        <w:rPr>
          <w:rFonts w:eastAsiaTheme="minorHAnsi"/>
          <w:b/>
          <w:szCs w:val="24"/>
          <w:lang w:eastAsia="en-US"/>
        </w:rPr>
      </w:pPr>
      <w:r w:rsidRPr="00C6703C">
        <w:rPr>
          <w:rFonts w:eastAsiaTheme="minorHAnsi"/>
          <w:b/>
          <w:szCs w:val="24"/>
          <w:lang w:eastAsia="en-US"/>
        </w:rPr>
        <w:t>VÝHRADNÍ PRÁVA UDĚLENÁ PODNIKU</w:t>
      </w:r>
    </w:p>
    <w:p w14:paraId="08951AC9" w14:textId="77777777" w:rsidR="00A24DCE" w:rsidRPr="00C6703C" w:rsidRDefault="00A24DCE" w:rsidP="00631AB2">
      <w:pPr>
        <w:ind w:left="709"/>
        <w:rPr>
          <w:rFonts w:eastAsiaTheme="minorHAnsi"/>
          <w:szCs w:val="24"/>
          <w:lang w:eastAsia="en-US"/>
        </w:rPr>
      </w:pPr>
    </w:p>
    <w:p w14:paraId="2057AF13" w14:textId="62084F3D" w:rsidR="00CC0728" w:rsidRPr="00C6703C" w:rsidRDefault="00CC0728" w:rsidP="00631AB2">
      <w:pPr>
        <w:numPr>
          <w:ilvl w:val="0"/>
          <w:numId w:val="11"/>
        </w:numPr>
        <w:tabs>
          <w:tab w:val="left" w:pos="1560"/>
        </w:tabs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SML poskytuje Podniku následující výhradní práva a zvýhodnění:</w:t>
      </w:r>
    </w:p>
    <w:p w14:paraId="5EE42DD6" w14:textId="77777777" w:rsidR="00CC0728" w:rsidRPr="00C6703C" w:rsidRDefault="00CC0728" w:rsidP="00631AB2">
      <w:pPr>
        <w:tabs>
          <w:tab w:val="left" w:pos="1560"/>
        </w:tabs>
        <w:ind w:left="720"/>
        <w:rPr>
          <w:rFonts w:eastAsiaTheme="minorHAnsi"/>
          <w:szCs w:val="24"/>
          <w:lang w:eastAsia="en-US"/>
        </w:rPr>
      </w:pPr>
    </w:p>
    <w:p w14:paraId="72BF64F3" w14:textId="3B99B41D" w:rsidR="00CC0728" w:rsidRPr="00C6703C" w:rsidRDefault="00CC0728" w:rsidP="00631AB2">
      <w:pPr>
        <w:pStyle w:val="Odstavecseseznamem"/>
        <w:numPr>
          <w:ilvl w:val="0"/>
          <w:numId w:val="12"/>
        </w:numPr>
        <w:tabs>
          <w:tab w:val="left" w:pos="1560"/>
        </w:tabs>
        <w:ind w:left="709"/>
        <w:contextualSpacing w:val="0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bezplatné užívání kancelářských prostor o výměře 197,19 m2,</w:t>
      </w:r>
    </w:p>
    <w:p w14:paraId="3390A1EF" w14:textId="129F8A77" w:rsidR="00CC0728" w:rsidRPr="00C6703C" w:rsidRDefault="00CC0728" w:rsidP="00631AB2">
      <w:pPr>
        <w:numPr>
          <w:ilvl w:val="0"/>
          <w:numId w:val="12"/>
        </w:numPr>
        <w:tabs>
          <w:tab w:val="left" w:pos="1560"/>
        </w:tabs>
        <w:ind w:left="709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bezúplatné poskytování služeb spojených s užíváním kancelářských prostor (elektrická energie, plyn, voda, EZS),</w:t>
      </w:r>
    </w:p>
    <w:p w14:paraId="151A11DA" w14:textId="45805B3C" w:rsidR="00CC0728" w:rsidRPr="00C6703C" w:rsidRDefault="00CC0728" w:rsidP="00631AB2">
      <w:pPr>
        <w:numPr>
          <w:ilvl w:val="0"/>
          <w:numId w:val="12"/>
        </w:numPr>
        <w:tabs>
          <w:tab w:val="left" w:pos="1560"/>
        </w:tabs>
        <w:ind w:left="709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bezúplatné zpracování mezd a vyúčtování mzdových nákladů</w:t>
      </w:r>
      <w:r w:rsidR="00A9355D" w:rsidRPr="00C6703C">
        <w:rPr>
          <w:rFonts w:eastAsiaTheme="minorHAnsi"/>
          <w:szCs w:val="24"/>
          <w:lang w:eastAsia="en-US"/>
        </w:rPr>
        <w:t>.</w:t>
      </w:r>
    </w:p>
    <w:p w14:paraId="65E8BC42" w14:textId="77777777" w:rsidR="00CC0728" w:rsidRPr="00C6703C" w:rsidRDefault="00CC0728" w:rsidP="00631AB2">
      <w:pPr>
        <w:tabs>
          <w:tab w:val="left" w:pos="1560"/>
        </w:tabs>
        <w:ind w:left="1080"/>
        <w:rPr>
          <w:rFonts w:eastAsiaTheme="minorHAnsi"/>
          <w:szCs w:val="24"/>
          <w:lang w:eastAsia="en-US"/>
        </w:rPr>
      </w:pPr>
    </w:p>
    <w:p w14:paraId="2C8B1D39" w14:textId="0379811C" w:rsidR="00CC0728" w:rsidRPr="00C6703C" w:rsidRDefault="00567413" w:rsidP="00631AB2">
      <w:pPr>
        <w:numPr>
          <w:ilvl w:val="0"/>
          <w:numId w:val="11"/>
        </w:numPr>
        <w:tabs>
          <w:tab w:val="left" w:pos="1560"/>
        </w:tabs>
        <w:ind w:left="284" w:hanging="284"/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Bezúplatné poskytnutí kancelářských prostor a služeb dle předchozího odst. 1 představuje veřejnou podporu</w:t>
      </w:r>
      <w:r w:rsidRPr="00C6703C">
        <w:rPr>
          <w:rFonts w:cstheme="minorHAnsi"/>
          <w:spacing w:val="-2"/>
        </w:rPr>
        <w:t xml:space="preserve"> ve smyslu čl. 107 odst. 1 Smlouvy o fungování EU</w:t>
      </w:r>
      <w:r w:rsidRPr="00C6703C">
        <w:rPr>
          <w:rFonts w:eastAsiaTheme="minorHAnsi"/>
          <w:szCs w:val="24"/>
          <w:lang w:eastAsia="en-US"/>
        </w:rPr>
        <w:t xml:space="preserve">. Celková hodnota takto poskytnuté podpory </w:t>
      </w:r>
      <w:r w:rsidR="00A9355D" w:rsidRPr="00C6703C">
        <w:rPr>
          <w:rFonts w:eastAsiaTheme="minorHAnsi"/>
          <w:szCs w:val="24"/>
          <w:lang w:eastAsia="en-US"/>
        </w:rPr>
        <w:t>byla stanovena dle přílohy č. 2 ve výši 474.225</w:t>
      </w:r>
      <w:r w:rsidRPr="00C6703C">
        <w:rPr>
          <w:rFonts w:eastAsiaTheme="minorHAnsi"/>
          <w:szCs w:val="24"/>
          <w:lang w:eastAsia="en-US"/>
        </w:rPr>
        <w:t xml:space="preserve"> Kč a poskytuje se v souladu s tímto Pověřením. </w:t>
      </w:r>
    </w:p>
    <w:p w14:paraId="6FECE71A" w14:textId="77777777" w:rsidR="00CC0728" w:rsidRPr="00C6703C" w:rsidRDefault="00CC0728" w:rsidP="00631AB2">
      <w:pPr>
        <w:ind w:left="720"/>
        <w:rPr>
          <w:rFonts w:eastAsiaTheme="minorHAnsi"/>
          <w:color w:val="FF0000"/>
          <w:szCs w:val="24"/>
          <w:lang w:eastAsia="en-US"/>
        </w:rPr>
      </w:pPr>
    </w:p>
    <w:p w14:paraId="0DE72037" w14:textId="77777777" w:rsidR="00CF7A80" w:rsidRPr="00C6703C" w:rsidRDefault="00CF7A80" w:rsidP="00631AB2">
      <w:pPr>
        <w:ind w:left="709"/>
        <w:rPr>
          <w:rFonts w:eastAsiaTheme="minorHAnsi"/>
          <w:szCs w:val="24"/>
          <w:lang w:eastAsia="en-US"/>
        </w:rPr>
      </w:pPr>
    </w:p>
    <w:p w14:paraId="0A88400C" w14:textId="77777777" w:rsidR="00A24DCE" w:rsidRPr="00C6703C" w:rsidRDefault="00A24DCE" w:rsidP="00631AB2">
      <w:pPr>
        <w:rPr>
          <w:rFonts w:eastAsiaTheme="minorHAnsi"/>
          <w:szCs w:val="24"/>
          <w:lang w:eastAsia="en-US"/>
        </w:rPr>
      </w:pPr>
    </w:p>
    <w:p w14:paraId="280DC502" w14:textId="77777777" w:rsidR="00A24DCE" w:rsidRPr="00C6703C" w:rsidRDefault="00A24DCE" w:rsidP="00631AB2">
      <w:pPr>
        <w:rPr>
          <w:rFonts w:eastAsiaTheme="minorHAnsi"/>
          <w:szCs w:val="24"/>
          <w:lang w:eastAsia="en-US"/>
        </w:rPr>
      </w:pPr>
    </w:p>
    <w:p w14:paraId="76CBA7A2" w14:textId="3E3734B6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Toto Pověření bylo schváleno usnesením Zastupitelstva statutárního města Liberec č. </w:t>
      </w:r>
      <w:r w:rsidR="00193FB9">
        <w:rPr>
          <w:rFonts w:eastAsiaTheme="minorHAnsi"/>
          <w:szCs w:val="24"/>
          <w:lang w:eastAsia="en-US"/>
        </w:rPr>
        <w:t>20</w:t>
      </w:r>
      <w:r w:rsidRPr="00C6703C">
        <w:rPr>
          <w:rFonts w:eastAsiaTheme="minorHAnsi"/>
          <w:szCs w:val="24"/>
          <w:lang w:eastAsia="en-US"/>
        </w:rPr>
        <w:t>/</w:t>
      </w:r>
      <w:r w:rsidR="00193FB9">
        <w:rPr>
          <w:rFonts w:eastAsiaTheme="minorHAnsi"/>
          <w:szCs w:val="24"/>
          <w:lang w:eastAsia="en-US"/>
        </w:rPr>
        <w:t xml:space="preserve">2017 </w:t>
      </w:r>
      <w:r w:rsidRPr="00C6703C">
        <w:rPr>
          <w:rFonts w:eastAsiaTheme="minorHAnsi"/>
          <w:szCs w:val="24"/>
          <w:lang w:eastAsia="en-US"/>
        </w:rPr>
        <w:t xml:space="preserve">ze dne </w:t>
      </w:r>
      <w:r w:rsidR="00193FB9">
        <w:rPr>
          <w:rFonts w:eastAsiaTheme="minorHAnsi"/>
          <w:szCs w:val="24"/>
          <w:lang w:eastAsia="en-US"/>
        </w:rPr>
        <w:t xml:space="preserve">26. 1. </w:t>
      </w:r>
      <w:r w:rsidRPr="00C6703C">
        <w:rPr>
          <w:rFonts w:eastAsiaTheme="minorHAnsi"/>
          <w:szCs w:val="24"/>
          <w:lang w:eastAsia="en-US"/>
        </w:rPr>
        <w:t>201</w:t>
      </w:r>
      <w:r w:rsidR="000B7076" w:rsidRPr="00C6703C">
        <w:rPr>
          <w:rFonts w:eastAsiaTheme="minorHAnsi"/>
          <w:szCs w:val="24"/>
          <w:lang w:eastAsia="en-US"/>
        </w:rPr>
        <w:t>7</w:t>
      </w:r>
      <w:r w:rsidRPr="00C6703C">
        <w:rPr>
          <w:rFonts w:eastAsiaTheme="minorHAnsi"/>
          <w:szCs w:val="24"/>
          <w:lang w:eastAsia="en-US"/>
        </w:rPr>
        <w:t>.</w:t>
      </w:r>
    </w:p>
    <w:p w14:paraId="47270269" w14:textId="77777777" w:rsidR="00035A73" w:rsidRPr="00C6703C" w:rsidRDefault="00035A73" w:rsidP="00631AB2">
      <w:pPr>
        <w:rPr>
          <w:rFonts w:eastAsiaTheme="minorHAnsi"/>
          <w:szCs w:val="24"/>
          <w:lang w:eastAsia="en-US"/>
        </w:rPr>
      </w:pPr>
    </w:p>
    <w:p w14:paraId="3E945767" w14:textId="77777777" w:rsidR="00035A73" w:rsidRPr="00C6703C" w:rsidRDefault="00035A73" w:rsidP="00631AB2">
      <w:pPr>
        <w:rPr>
          <w:rFonts w:eastAsiaTheme="minorHAnsi"/>
          <w:szCs w:val="24"/>
          <w:lang w:eastAsia="en-US"/>
        </w:rPr>
      </w:pPr>
    </w:p>
    <w:p w14:paraId="334B9D7E" w14:textId="77777777" w:rsidR="00A24DCE" w:rsidRPr="00C6703C" w:rsidRDefault="00A24DCE" w:rsidP="00631AB2">
      <w:pPr>
        <w:rPr>
          <w:rFonts w:eastAsiaTheme="minorHAnsi"/>
          <w:szCs w:val="24"/>
          <w:lang w:eastAsia="en-US"/>
        </w:rPr>
      </w:pPr>
    </w:p>
    <w:p w14:paraId="76E5B45A" w14:textId="77777777" w:rsidR="00A24DCE" w:rsidRPr="00C6703C" w:rsidRDefault="00A24DCE" w:rsidP="00631AB2">
      <w:pPr>
        <w:rPr>
          <w:rFonts w:eastAsiaTheme="minorHAnsi"/>
          <w:szCs w:val="24"/>
          <w:lang w:eastAsia="en-US"/>
        </w:rPr>
      </w:pPr>
    </w:p>
    <w:p w14:paraId="6544C8C5" w14:textId="77777777" w:rsidR="00A24DCE" w:rsidRPr="00C6703C" w:rsidRDefault="00A24DCE" w:rsidP="00631AB2">
      <w:pPr>
        <w:rPr>
          <w:rFonts w:eastAsiaTheme="minorHAnsi"/>
          <w:szCs w:val="24"/>
          <w:lang w:eastAsia="en-US"/>
        </w:rPr>
      </w:pPr>
    </w:p>
    <w:p w14:paraId="617BF6B8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V Liberci dne: _________________</w:t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  <w:t>V Liberci dne: _________________</w:t>
      </w:r>
    </w:p>
    <w:p w14:paraId="6BB4DB17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ab/>
      </w:r>
    </w:p>
    <w:p w14:paraId="39B8187B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66900B03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3F03543F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7DC3CCC6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5B93CA9A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4FD06DC1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0A0F6FF7" w14:textId="77777777" w:rsidR="005279BA" w:rsidRDefault="005279BA" w:rsidP="00631AB2">
      <w:pPr>
        <w:rPr>
          <w:rFonts w:eastAsiaTheme="minorHAnsi"/>
          <w:szCs w:val="24"/>
          <w:lang w:eastAsia="en-US"/>
        </w:rPr>
      </w:pPr>
    </w:p>
    <w:p w14:paraId="1445F0ED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</w:p>
    <w:p w14:paraId="5A387968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</w:p>
    <w:p w14:paraId="4396654B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________________________________</w:t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  <w:t>________________________________</w:t>
      </w:r>
    </w:p>
    <w:p w14:paraId="7BB8D844" w14:textId="07DD7B14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pověřovatel</w:t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="000B7076" w:rsidRPr="00C6703C">
        <w:rPr>
          <w:rFonts w:eastAsiaTheme="minorHAnsi"/>
          <w:szCs w:val="24"/>
          <w:lang w:eastAsia="en-US"/>
        </w:rPr>
        <w:t xml:space="preserve">pověřený </w:t>
      </w:r>
      <w:r w:rsidRPr="00C6703C">
        <w:rPr>
          <w:rFonts w:eastAsiaTheme="minorHAnsi"/>
          <w:szCs w:val="24"/>
          <w:lang w:eastAsia="en-US"/>
        </w:rPr>
        <w:t>podnik</w:t>
      </w:r>
    </w:p>
    <w:p w14:paraId="7D4DA9BA" w14:textId="77777777" w:rsidR="00CF7A80" w:rsidRPr="00C6703C" w:rsidRDefault="00CF7A80" w:rsidP="00631AB2">
      <w:pPr>
        <w:tabs>
          <w:tab w:val="left" w:pos="142"/>
          <w:tab w:val="left" w:pos="3686"/>
        </w:tabs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>statutární město Liberec</w:t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  <w:t>Komunitní práce Liberec, o.p.s.</w:t>
      </w:r>
    </w:p>
    <w:p w14:paraId="27753CAF" w14:textId="77777777" w:rsidR="00CF7A80" w:rsidRPr="00C6703C" w:rsidRDefault="00CF7A80" w:rsidP="00631AB2">
      <w:pPr>
        <w:rPr>
          <w:rFonts w:eastAsiaTheme="minorHAnsi"/>
          <w:szCs w:val="24"/>
          <w:lang w:eastAsia="en-US"/>
        </w:rPr>
      </w:pPr>
      <w:r w:rsidRPr="00C6703C">
        <w:rPr>
          <w:rFonts w:eastAsiaTheme="minorHAnsi"/>
          <w:szCs w:val="24"/>
          <w:lang w:eastAsia="en-US"/>
        </w:rPr>
        <w:t xml:space="preserve">Tibor Batthyány </w:t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  <w:t xml:space="preserve">Bc. Klára </w:t>
      </w:r>
      <w:proofErr w:type="spellStart"/>
      <w:r w:rsidRPr="00C6703C">
        <w:rPr>
          <w:rFonts w:eastAsiaTheme="minorHAnsi"/>
          <w:szCs w:val="24"/>
          <w:lang w:eastAsia="en-US"/>
        </w:rPr>
        <w:t>Tekelyová</w:t>
      </w:r>
      <w:proofErr w:type="spellEnd"/>
      <w:r w:rsidRPr="00C6703C">
        <w:rPr>
          <w:rFonts w:eastAsiaTheme="minorHAnsi"/>
          <w:szCs w:val="24"/>
          <w:lang w:eastAsia="en-US"/>
        </w:rPr>
        <w:t xml:space="preserve">, </w:t>
      </w:r>
      <w:proofErr w:type="spellStart"/>
      <w:r w:rsidRPr="00C6703C">
        <w:rPr>
          <w:rFonts w:eastAsiaTheme="minorHAnsi"/>
          <w:szCs w:val="24"/>
          <w:lang w:eastAsia="en-US"/>
        </w:rPr>
        <w:t>DiS</w:t>
      </w:r>
      <w:proofErr w:type="spellEnd"/>
      <w:r w:rsidRPr="00C6703C">
        <w:rPr>
          <w:rFonts w:eastAsiaTheme="minorHAnsi"/>
          <w:szCs w:val="24"/>
          <w:lang w:eastAsia="en-US"/>
        </w:rPr>
        <w:t xml:space="preserve">   </w:t>
      </w:r>
    </w:p>
    <w:p w14:paraId="57A5BFA4" w14:textId="77777777" w:rsidR="00CF7A80" w:rsidRDefault="00CF7A80" w:rsidP="00631AB2">
      <w:r w:rsidRPr="00C6703C">
        <w:rPr>
          <w:rFonts w:eastAsiaTheme="minorHAnsi"/>
          <w:szCs w:val="24"/>
          <w:lang w:eastAsia="en-US"/>
        </w:rPr>
        <w:t>primátor města</w:t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</w:r>
      <w:r w:rsidRPr="00C6703C">
        <w:rPr>
          <w:rFonts w:eastAsiaTheme="minorHAnsi"/>
          <w:szCs w:val="24"/>
          <w:lang w:eastAsia="en-US"/>
        </w:rPr>
        <w:tab/>
        <w:t>ředitelka</w:t>
      </w:r>
      <w:r w:rsidRPr="00B72E22">
        <w:rPr>
          <w:rFonts w:eastAsiaTheme="minorHAnsi"/>
          <w:szCs w:val="24"/>
          <w:lang w:eastAsia="en-US"/>
        </w:rPr>
        <w:tab/>
      </w:r>
    </w:p>
    <w:p w14:paraId="0CB5EE04" w14:textId="77777777" w:rsidR="00CF7A80" w:rsidRDefault="00CF7A80" w:rsidP="00631AB2">
      <w:pPr>
        <w:ind w:firstLine="708"/>
        <w:rPr>
          <w:rFonts w:eastAsiaTheme="minorHAnsi"/>
          <w:b/>
          <w:sz w:val="32"/>
          <w:szCs w:val="32"/>
          <w:lang w:eastAsia="en-US"/>
        </w:rPr>
      </w:pPr>
    </w:p>
    <w:p w14:paraId="3A78D776" w14:textId="77777777" w:rsidR="00CF7A80" w:rsidRDefault="00CF7A80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D470AF5" w14:textId="77777777" w:rsidR="005279BA" w:rsidRDefault="005279BA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797C23A1" w14:textId="77777777" w:rsidR="005279BA" w:rsidRDefault="005279BA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076BBD03" w14:textId="5EF2CF0F" w:rsidR="00AD3076" w:rsidRDefault="00832557" w:rsidP="00832557">
      <w:p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Přílohy:</w:t>
      </w:r>
    </w:p>
    <w:p w14:paraId="44507DB1" w14:textId="1552B0C2" w:rsidR="00832557" w:rsidRDefault="00832557" w:rsidP="00832557">
      <w:pPr>
        <w:pStyle w:val="Odstavecseseznamem"/>
        <w:numPr>
          <w:ilvl w:val="0"/>
          <w:numId w:val="16"/>
        </w:num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Pravidla pro stanovení vyrovnávací platby</w:t>
      </w:r>
    </w:p>
    <w:p w14:paraId="14EAF8AD" w14:textId="2053C6E3" w:rsidR="00832557" w:rsidRPr="00832557" w:rsidRDefault="00832557" w:rsidP="00832557">
      <w:pPr>
        <w:pStyle w:val="Odstavecseseznamem"/>
        <w:numPr>
          <w:ilvl w:val="0"/>
          <w:numId w:val="16"/>
        </w:numPr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Veřejná podpora poskytnutá formou bezúplatně poskytnutých služeb</w:t>
      </w:r>
    </w:p>
    <w:p w14:paraId="4B3ECCF1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34923E0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7F2188C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DA49A56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3EC1A92A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26837485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1C19D801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26804EFE" w14:textId="77777777" w:rsidR="00AD3076" w:rsidRDefault="00AD3076" w:rsidP="00631AB2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71968A4A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  <w:r w:rsidRPr="00AD3076">
        <w:rPr>
          <w:rFonts w:eastAsiaTheme="minorHAnsi"/>
          <w:b/>
          <w:szCs w:val="24"/>
          <w:lang w:eastAsia="en-US"/>
        </w:rPr>
        <w:t>Příloha č. 1</w:t>
      </w:r>
    </w:p>
    <w:p w14:paraId="37443078" w14:textId="77777777" w:rsidR="00AD3076" w:rsidRPr="00AD3076" w:rsidRDefault="00AD3076" w:rsidP="00AD3076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E044189" w14:textId="77777777" w:rsidR="00AD3076" w:rsidRPr="00AD3076" w:rsidRDefault="00AD3076" w:rsidP="00AD3076">
      <w:pPr>
        <w:ind w:firstLine="708"/>
        <w:jc w:val="center"/>
        <w:rPr>
          <w:rFonts w:eastAsiaTheme="minorHAnsi"/>
          <w:b/>
          <w:sz w:val="32"/>
          <w:szCs w:val="32"/>
          <w:lang w:eastAsia="en-US"/>
        </w:rPr>
      </w:pPr>
      <w:r w:rsidRPr="00AD3076">
        <w:rPr>
          <w:rFonts w:eastAsiaTheme="minorHAnsi"/>
          <w:b/>
          <w:sz w:val="32"/>
          <w:szCs w:val="32"/>
          <w:lang w:eastAsia="en-US"/>
        </w:rPr>
        <w:t>Pravidla pro stanovení vyrovnávací platby</w:t>
      </w:r>
    </w:p>
    <w:p w14:paraId="14530BB9" w14:textId="77777777" w:rsidR="00AD3076" w:rsidRPr="00AD3076" w:rsidRDefault="00AD3076" w:rsidP="00AD3076">
      <w:pPr>
        <w:ind w:firstLine="708"/>
        <w:rPr>
          <w:rFonts w:eastAsiaTheme="minorHAnsi"/>
          <w:b/>
          <w:szCs w:val="24"/>
          <w:lang w:eastAsia="en-US"/>
        </w:rPr>
      </w:pPr>
    </w:p>
    <w:p w14:paraId="50F581B6" w14:textId="77777777" w:rsidR="00AD3076" w:rsidRPr="00AD3076" w:rsidRDefault="00AD3076" w:rsidP="00AD3076">
      <w:pPr>
        <w:ind w:firstLine="708"/>
        <w:rPr>
          <w:rFonts w:eastAsiaTheme="minorHAnsi"/>
          <w:b/>
          <w:szCs w:val="24"/>
          <w:lang w:eastAsia="en-US"/>
        </w:rPr>
      </w:pPr>
    </w:p>
    <w:p w14:paraId="757E0439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Tato pravidla obsahují popis kompenzačního mechanismu a upravují postup a parametry pro stanovení vyrovnávací platby. </w:t>
      </w:r>
    </w:p>
    <w:p w14:paraId="7E74E821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65FA29B4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  <w:r w:rsidRPr="00AD3076">
        <w:rPr>
          <w:rFonts w:eastAsiaTheme="minorHAnsi"/>
          <w:b/>
          <w:szCs w:val="24"/>
          <w:lang w:eastAsia="en-US"/>
        </w:rPr>
        <w:t>1. Vyrovnávací platba</w:t>
      </w:r>
    </w:p>
    <w:p w14:paraId="491ED800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Vyrovnávací platba se stanoví jako částka nezbytná ke krytí čistých nákladů na poskytování služeb obecného hospodářského zájmu Podnikem dle čl. II odst. 1 Pověření. Čisté náklady se stanoví jako rozdíl mezi náklady a výnosy, které Podniku vzniknou v souvislosti s plněním závazku veřejné služby dle čl. II odst. 1 Pověření.</w:t>
      </w:r>
    </w:p>
    <w:p w14:paraId="3F514A46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2C9B23D7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  <w:r w:rsidRPr="00AD3076">
        <w:rPr>
          <w:rFonts w:eastAsiaTheme="minorHAnsi"/>
          <w:b/>
          <w:szCs w:val="24"/>
          <w:lang w:eastAsia="en-US"/>
        </w:rPr>
        <w:t>2. Výnosy</w:t>
      </w:r>
    </w:p>
    <w:p w14:paraId="56BAC2B9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Vzhledem k tomu, že Podnik poskytuje služby obecného hospodářského zájmů bezúplatně, zahrnují výnosy ze služby finanční příspěvky, dotace, dary apod. z veřejných či soukromých zdrojů (dotace od obcí, krajů, úřadu práce, ústředních orgánů státní správy, z Evropských či jiných fondů, nadací, finanční dary od fyzických či právnických osob apod.). </w:t>
      </w:r>
    </w:p>
    <w:p w14:paraId="55CD2852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3A90A7F5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  <w:r w:rsidRPr="00AD3076">
        <w:rPr>
          <w:rFonts w:eastAsiaTheme="minorHAnsi"/>
          <w:b/>
          <w:szCs w:val="24"/>
          <w:lang w:eastAsia="en-US"/>
        </w:rPr>
        <w:t xml:space="preserve">3. Náklady </w:t>
      </w:r>
    </w:p>
    <w:p w14:paraId="5A88377F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Při stanovení výše vyrovnávací platby se vychází z údajů uzavřených účetních období předchozích let, doplněných o předpokládané náklady a výnosy na realizaci závazku veřejné služby pro další rozpočtové období. Současně se vychází z vnitřní metodiky Podniku pro rozúčtování nákladů společných závazku veřejné služby a doplňkovým činnostem, kdy poměr rozúčtování činí 85:15. Tyto náklady jsou vyhodnoceny z hlediska pravidla hospodárnosti, efektivnosti, účelnosti a uznatelnosti jednotlivých nákladů. Do odhadu nákladů pro příslušný rok se bere v úvahu prognózovaná inflace, dále možný růst některých spotřebitelských cen zboží či služeb a případné nutné nečekané náklady vzniklé v souvislosti s plněním závazku veřejné služby. Náklady jsou z důvodu velkého množství proměnných stanoveny odhadem. Skutečné náklady Podniku budou vyúčtovány vždy ke dni </w:t>
      </w:r>
      <w:proofErr w:type="gramStart"/>
      <w:r w:rsidRPr="00AD3076">
        <w:rPr>
          <w:rFonts w:eastAsiaTheme="minorHAnsi"/>
          <w:szCs w:val="24"/>
          <w:lang w:eastAsia="en-US"/>
        </w:rPr>
        <w:t>31.12. příslušného</w:t>
      </w:r>
      <w:proofErr w:type="gramEnd"/>
      <w:r w:rsidRPr="00AD3076">
        <w:rPr>
          <w:rFonts w:eastAsiaTheme="minorHAnsi"/>
          <w:szCs w:val="24"/>
          <w:lang w:eastAsia="en-US"/>
        </w:rPr>
        <w:t xml:space="preserve"> kalendářního roku a vzniklé rozdíly budou s pověřovatelem plně vypořádány.</w:t>
      </w:r>
    </w:p>
    <w:p w14:paraId="36C5E6A4" w14:textId="77777777" w:rsidR="00AD3076" w:rsidRPr="00AD3076" w:rsidRDefault="00AD3076" w:rsidP="00AD3076">
      <w:pPr>
        <w:ind w:firstLine="708"/>
        <w:rPr>
          <w:rFonts w:eastAsiaTheme="minorHAnsi"/>
          <w:szCs w:val="24"/>
          <w:lang w:eastAsia="en-US"/>
        </w:rPr>
      </w:pPr>
    </w:p>
    <w:p w14:paraId="612E03CF" w14:textId="330E4E2E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U mzdových nákladů a zákonného sociálního pojištění se vychází opět z výše skutečných nákladů dle údajů uzavřených účetních období předchozích let. Tyto náklady jsou pro rok 2017 navýšeny o 854.000 Kč z důvodu zákonného navýšení minimální mzdy. </w:t>
      </w:r>
      <w:r w:rsidR="003E6403" w:rsidRPr="003E6403">
        <w:rPr>
          <w:szCs w:val="24"/>
        </w:rPr>
        <w:t>Jelikož není možné dopředu říci, zda Úřad práce bude toto navýšení garantovat u všech nově uzavíraných dohod, bude tyto případné zvýšené náklady hradit pověřovatel. Pokud v průběhu roku 2017 dojde k jakékoliv změně ve výši podpory od Úřadu práce,</w:t>
      </w:r>
      <w:r w:rsidR="003E6403">
        <w:rPr>
          <w:szCs w:val="24"/>
        </w:rPr>
        <w:t xml:space="preserve"> </w:t>
      </w:r>
      <w:r w:rsidRPr="003E6403">
        <w:rPr>
          <w:rFonts w:eastAsiaTheme="minorHAnsi"/>
          <w:szCs w:val="24"/>
          <w:lang w:eastAsia="en-US"/>
        </w:rPr>
        <w:t>j</w:t>
      </w:r>
      <w:r w:rsidRPr="00AD3076">
        <w:rPr>
          <w:rFonts w:eastAsiaTheme="minorHAnsi"/>
          <w:szCs w:val="24"/>
          <w:lang w:eastAsia="en-US"/>
        </w:rPr>
        <w:t xml:space="preserve">e Podnik povinen o tom pověřovatele informovat v souladu s čl. V odst. 4 tohoto Pověření a s pověřovatelem plně vypořádat nadměrně poskytnutou vyrovnávací platbu. Obecně mzdové náklady a zákonné sociální pojištění nelze přesně spočítat i z důvodu, že na ně mají vliv různé faktory jako např. velká fluktuace pracovníků, jejich velmi častá nemocnost či neomluvené absence, místa terénních koordinátorů částečně financovaných z úřadu práce, která nejsou vždy obsazena, a další. Z tohoto důvodu se tyto náklady stanoví odhadem. Vzhledem k tomu, že i tyto náklady podléhají přesnému každoročnímu vyúčtování, jak je uvedeno výše, budou případné rozdíly plně vypořádány. </w:t>
      </w:r>
    </w:p>
    <w:p w14:paraId="3D54FB0F" w14:textId="77777777" w:rsidR="00AD3076" w:rsidRPr="00AD3076" w:rsidRDefault="00AD3076" w:rsidP="00AD3076">
      <w:pPr>
        <w:ind w:firstLine="708"/>
        <w:rPr>
          <w:rFonts w:eastAsiaTheme="minorHAnsi"/>
          <w:szCs w:val="24"/>
          <w:lang w:eastAsia="en-US"/>
        </w:rPr>
      </w:pPr>
    </w:p>
    <w:p w14:paraId="003046A5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Pro určení výše vyrovnávací platby platí dále stanovené podmínky pro uznatelnost jednotlivých nákladů. </w:t>
      </w:r>
    </w:p>
    <w:p w14:paraId="5712D366" w14:textId="77777777" w:rsidR="00AD3076" w:rsidRPr="00AD3076" w:rsidRDefault="00AD3076" w:rsidP="00AD3076">
      <w:pPr>
        <w:ind w:firstLine="708"/>
        <w:rPr>
          <w:rFonts w:eastAsiaTheme="minorHAnsi"/>
          <w:szCs w:val="24"/>
          <w:lang w:eastAsia="en-US"/>
        </w:rPr>
      </w:pPr>
    </w:p>
    <w:p w14:paraId="0844D763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</w:p>
    <w:p w14:paraId="54079EF8" w14:textId="77777777" w:rsidR="00AD3076" w:rsidRPr="00AD3076" w:rsidRDefault="00AD3076" w:rsidP="00AD3076">
      <w:pPr>
        <w:rPr>
          <w:rFonts w:asciiTheme="minorHAnsi" w:hAnsiTheme="minorHAnsi" w:cstheme="minorHAnsi"/>
          <w:sz w:val="22"/>
          <w:szCs w:val="22"/>
        </w:rPr>
      </w:pPr>
      <w:r w:rsidRPr="00AD3076">
        <w:rPr>
          <w:rFonts w:eastAsiaTheme="minorHAnsi"/>
          <w:b/>
          <w:szCs w:val="24"/>
          <w:lang w:eastAsia="en-US"/>
        </w:rPr>
        <w:t>Uznatelné náklady</w:t>
      </w:r>
    </w:p>
    <w:p w14:paraId="436A7E2A" w14:textId="77777777" w:rsidR="00AD3076" w:rsidRPr="00AD3076" w:rsidRDefault="00AD3076" w:rsidP="00AD3076">
      <w:pPr>
        <w:rPr>
          <w:rFonts w:asciiTheme="minorHAnsi" w:hAnsiTheme="minorHAnsi" w:cstheme="minorHAnsi"/>
          <w:sz w:val="22"/>
          <w:szCs w:val="22"/>
        </w:rPr>
      </w:pPr>
    </w:p>
    <w:p w14:paraId="6776E493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Za uznatelné náklady se považují ty náklady, které prokazatelně vznikly v době trvání závazku veřejné služby, byly vynaloženy v přímé souvislosti s poskytováním služby a jsou nezbytné na zajištění služby obecného hospodářského zájmu dle čl. II Pověření. Náklady musí odpovídat cenám v místě a čase obvyklým pro danou nákladovou položku. </w:t>
      </w:r>
    </w:p>
    <w:p w14:paraId="572BDB01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</w:p>
    <w:p w14:paraId="487D9C04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</w:p>
    <w:p w14:paraId="15D71973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501 spotřeba materiálu</w:t>
      </w:r>
    </w:p>
    <w:p w14:paraId="77F81C01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501/001 SM režijní materiál  - pouze nezbytně nutný materiál v cenách obvyklých  </w:t>
      </w:r>
    </w:p>
    <w:p w14:paraId="04573A4B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501/002 pracovní oděvy HČ</w:t>
      </w:r>
    </w:p>
    <w:p w14:paraId="21640054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501/003 drobný hmotný majetek</w:t>
      </w:r>
    </w:p>
    <w:p w14:paraId="146D4905" w14:textId="77777777" w:rsidR="00AD3076" w:rsidRPr="00AD3076" w:rsidRDefault="00AD3076" w:rsidP="00AD307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kancelářské vybavení jako např. telefon, počítače, skartovačka atd. pouze v případě nefunkčnosti stávajícího vybavení či v případě přechozího schválení pověřovatelem na základě žádosti příjemce s odůvodněním potřebnosti pořízení</w:t>
      </w:r>
    </w:p>
    <w:p w14:paraId="3F9708A0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501/004 auto - pouze nezbytné standardní potřeby v cenách obvyklých</w:t>
      </w:r>
    </w:p>
    <w:p w14:paraId="2032CABA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501/005 drobný hmotný majetek OE</w:t>
      </w:r>
    </w:p>
    <w:p w14:paraId="57980AED" w14:textId="77777777" w:rsidR="00AD3076" w:rsidRPr="00AD3076" w:rsidRDefault="00AD3076" w:rsidP="00AD307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kancelářské vybavení jako např. diktafon, </w:t>
      </w:r>
      <w:proofErr w:type="spellStart"/>
      <w:r w:rsidRPr="00AD3076">
        <w:rPr>
          <w:rFonts w:eastAsiaTheme="minorHAnsi"/>
          <w:szCs w:val="24"/>
          <w:lang w:eastAsia="en-US"/>
        </w:rPr>
        <w:t>flash</w:t>
      </w:r>
      <w:proofErr w:type="spellEnd"/>
      <w:r w:rsidRPr="00AD3076">
        <w:rPr>
          <w:rFonts w:eastAsiaTheme="minorHAnsi"/>
          <w:szCs w:val="24"/>
          <w:lang w:eastAsia="en-US"/>
        </w:rPr>
        <w:t xml:space="preserve"> disk, kuchyňské vybavení pouze v případě nefunkčnosti stávajícího vybavení nebo v případě přechozího schválení pověřovatelem na základě žádosti příjemce s odůvodněním potřebnosti pořízení</w:t>
      </w:r>
    </w:p>
    <w:p w14:paraId="7EE7F944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501/007 hygienické prostředky pro zaměstnance</w:t>
      </w:r>
    </w:p>
    <w:p w14:paraId="2452975F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501/011 PHM</w:t>
      </w:r>
    </w:p>
    <w:p w14:paraId="0F85E01F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1DF3B91D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511 opravy a udržování</w:t>
      </w:r>
    </w:p>
    <w:p w14:paraId="2A115BB0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511/001 opravy a udržování</w:t>
      </w:r>
    </w:p>
    <w:p w14:paraId="76F733B8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511/101 auto (mytí auta pouze standardní v ceně obvyklé)</w:t>
      </w:r>
    </w:p>
    <w:p w14:paraId="0488104F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72E660EA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512 cestovné</w:t>
      </w:r>
      <w:r w:rsidRPr="00AD3076">
        <w:rPr>
          <w:rFonts w:eastAsiaTheme="minorHAnsi"/>
          <w:szCs w:val="24"/>
          <w:lang w:eastAsia="en-US"/>
        </w:rPr>
        <w:t xml:space="preserve"> </w:t>
      </w:r>
    </w:p>
    <w:p w14:paraId="0B20F662" w14:textId="77777777" w:rsidR="00AD3076" w:rsidRPr="00AD3076" w:rsidRDefault="00AD3076" w:rsidP="00AD307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pouze dobití služební OPUS karty nebo nákup kupónu MHD v celkové výši max. 3000 Kč za rok </w:t>
      </w:r>
    </w:p>
    <w:p w14:paraId="0A98CD5E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230B58BB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513 náklady na reprezentaci</w:t>
      </w:r>
    </w:p>
    <w:p w14:paraId="0557BFA6" w14:textId="77777777" w:rsidR="00AD3076" w:rsidRPr="00AD3076" w:rsidRDefault="00AD3076" w:rsidP="00AD307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pouze pro potřeby oficiálních jednání tj. 4x ročně ve výši 500 Kč tj. 2000 Kč za rok</w:t>
      </w:r>
    </w:p>
    <w:p w14:paraId="1260023F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0842F48C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518 ostatní služby</w:t>
      </w:r>
    </w:p>
    <w:p w14:paraId="0BAC412E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518/001 telefony</w:t>
      </w:r>
    </w:p>
    <w:p w14:paraId="6A4D3C87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518/002 ostatní</w:t>
      </w:r>
    </w:p>
    <w:p w14:paraId="3017F770" w14:textId="77777777" w:rsidR="00AD3076" w:rsidRPr="00AD3076" w:rsidRDefault="00AD3076" w:rsidP="00AD307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  školení pouze potřebná pro výkon pověřené činnosti</w:t>
      </w:r>
    </w:p>
    <w:p w14:paraId="227C48D9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518/003 poštovné</w:t>
      </w:r>
    </w:p>
    <w:p w14:paraId="15037969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518/004 nájemné</w:t>
      </w:r>
    </w:p>
    <w:p w14:paraId="41557D0C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518/005 drobný nehmotný majetek</w:t>
      </w:r>
    </w:p>
    <w:p w14:paraId="07AB0F47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518/006 čištění pracovních oděvů</w:t>
      </w:r>
    </w:p>
    <w:p w14:paraId="4875C912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518/007 likvidace odpadů</w:t>
      </w:r>
    </w:p>
    <w:p w14:paraId="69AF8CCE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0EB9AFCD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521 mzdové náklady*</w:t>
      </w:r>
    </w:p>
    <w:p w14:paraId="049A13B5" w14:textId="77777777" w:rsidR="00AD3076" w:rsidRPr="00AD3076" w:rsidRDefault="00AD3076" w:rsidP="00AD307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případné odměny pouze s předchozím souhlasem pověřovatele</w:t>
      </w:r>
    </w:p>
    <w:p w14:paraId="25F2BE21" w14:textId="77777777" w:rsidR="00AD3076" w:rsidRPr="00AD3076" w:rsidRDefault="00AD3076" w:rsidP="00AD3076">
      <w:pPr>
        <w:ind w:left="720"/>
        <w:contextualSpacing/>
        <w:rPr>
          <w:rFonts w:eastAsiaTheme="minorHAnsi"/>
          <w:szCs w:val="24"/>
          <w:lang w:eastAsia="en-US"/>
        </w:rPr>
      </w:pPr>
    </w:p>
    <w:p w14:paraId="6C74B461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*Mzdy kmenových zaměstnanců budou v roce 2017 zachovány bez navyšování v průběhu roku 2017 (kromě zákonných navýšení).</w:t>
      </w:r>
    </w:p>
    <w:p w14:paraId="5438D683" w14:textId="77777777" w:rsidR="00AD3076" w:rsidRPr="00AD3076" w:rsidRDefault="00AD3076" w:rsidP="00AD3076">
      <w:pPr>
        <w:ind w:left="720"/>
        <w:contextualSpacing/>
        <w:rPr>
          <w:rFonts w:eastAsiaTheme="minorHAnsi"/>
          <w:szCs w:val="24"/>
          <w:lang w:eastAsia="en-US"/>
        </w:rPr>
      </w:pPr>
    </w:p>
    <w:p w14:paraId="238A4160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stávající stav k lednu 2016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2265"/>
        <w:gridCol w:w="2409"/>
        <w:gridCol w:w="2409"/>
        <w:gridCol w:w="1979"/>
      </w:tblGrid>
      <w:tr w:rsidR="00AD3076" w:rsidRPr="00AD3076" w14:paraId="37A15BAA" w14:textId="77777777" w:rsidTr="00B56511">
        <w:tc>
          <w:tcPr>
            <w:tcW w:w="2265" w:type="dxa"/>
          </w:tcPr>
          <w:p w14:paraId="09FAB4EE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1FBB2A6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základní mzda</w:t>
            </w:r>
          </w:p>
        </w:tc>
        <w:tc>
          <w:tcPr>
            <w:tcW w:w="2409" w:type="dxa"/>
          </w:tcPr>
          <w:p w14:paraId="6001803D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osobní příplatek</w:t>
            </w:r>
          </w:p>
        </w:tc>
        <w:tc>
          <w:tcPr>
            <w:tcW w:w="1979" w:type="dxa"/>
          </w:tcPr>
          <w:p w14:paraId="34A1A0C4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AD3076" w:rsidRPr="00AD3076" w14:paraId="11949DEB" w14:textId="77777777" w:rsidTr="00B56511">
        <w:tc>
          <w:tcPr>
            <w:tcW w:w="2265" w:type="dxa"/>
          </w:tcPr>
          <w:p w14:paraId="44466824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ředitel společnosti</w:t>
            </w:r>
          </w:p>
        </w:tc>
        <w:tc>
          <w:tcPr>
            <w:tcW w:w="2409" w:type="dxa"/>
          </w:tcPr>
          <w:p w14:paraId="5C160FAF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31 000 Kč</w:t>
            </w:r>
          </w:p>
        </w:tc>
        <w:tc>
          <w:tcPr>
            <w:tcW w:w="2409" w:type="dxa"/>
          </w:tcPr>
          <w:p w14:paraId="556487E9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6 000 Kč</w:t>
            </w:r>
          </w:p>
        </w:tc>
        <w:tc>
          <w:tcPr>
            <w:tcW w:w="1979" w:type="dxa"/>
          </w:tcPr>
          <w:p w14:paraId="0CBEDF99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 xml:space="preserve">2 865 Kč </w:t>
            </w:r>
            <w:proofErr w:type="spellStart"/>
            <w:proofErr w:type="gramStart"/>
            <w:r w:rsidRPr="00AD3076">
              <w:rPr>
                <w:rFonts w:eastAsiaTheme="minorHAnsi"/>
                <w:szCs w:val="24"/>
                <w:lang w:eastAsia="en-US"/>
              </w:rPr>
              <w:t>služ</w:t>
            </w:r>
            <w:proofErr w:type="gramEnd"/>
            <w:r w:rsidRPr="00AD3076">
              <w:rPr>
                <w:rFonts w:eastAsiaTheme="minorHAnsi"/>
                <w:szCs w:val="24"/>
                <w:lang w:eastAsia="en-US"/>
              </w:rPr>
              <w:t>.</w:t>
            </w:r>
            <w:proofErr w:type="gramStart"/>
            <w:r w:rsidRPr="00AD3076">
              <w:rPr>
                <w:rFonts w:eastAsiaTheme="minorHAnsi"/>
                <w:szCs w:val="24"/>
                <w:lang w:eastAsia="en-US"/>
              </w:rPr>
              <w:t>auto</w:t>
            </w:r>
            <w:proofErr w:type="spellEnd"/>
            <w:proofErr w:type="gramEnd"/>
          </w:p>
        </w:tc>
      </w:tr>
      <w:tr w:rsidR="00AD3076" w:rsidRPr="00AD3076" w14:paraId="6CE36C90" w14:textId="77777777" w:rsidTr="00B56511">
        <w:tc>
          <w:tcPr>
            <w:tcW w:w="2265" w:type="dxa"/>
          </w:tcPr>
          <w:p w14:paraId="0D7AEFBB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účetní</w:t>
            </w:r>
          </w:p>
        </w:tc>
        <w:tc>
          <w:tcPr>
            <w:tcW w:w="2409" w:type="dxa"/>
          </w:tcPr>
          <w:p w14:paraId="404B849E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16 200 Kč</w:t>
            </w:r>
          </w:p>
        </w:tc>
        <w:tc>
          <w:tcPr>
            <w:tcW w:w="2409" w:type="dxa"/>
          </w:tcPr>
          <w:p w14:paraId="2C2B7745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5 000 Kč</w:t>
            </w:r>
          </w:p>
        </w:tc>
        <w:tc>
          <w:tcPr>
            <w:tcW w:w="1979" w:type="dxa"/>
          </w:tcPr>
          <w:p w14:paraId="1A8B4BB0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AD3076" w:rsidRPr="00AD3076" w14:paraId="2F5D09BB" w14:textId="77777777" w:rsidTr="00B56511">
        <w:tc>
          <w:tcPr>
            <w:tcW w:w="2265" w:type="dxa"/>
          </w:tcPr>
          <w:p w14:paraId="6BC8B10B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koordinátor</w:t>
            </w:r>
          </w:p>
        </w:tc>
        <w:tc>
          <w:tcPr>
            <w:tcW w:w="2409" w:type="dxa"/>
          </w:tcPr>
          <w:p w14:paraId="0D3CE005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19 000 Kč</w:t>
            </w:r>
          </w:p>
        </w:tc>
        <w:tc>
          <w:tcPr>
            <w:tcW w:w="2409" w:type="dxa"/>
          </w:tcPr>
          <w:p w14:paraId="736ADE61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2 500 Kč</w:t>
            </w:r>
          </w:p>
        </w:tc>
        <w:tc>
          <w:tcPr>
            <w:tcW w:w="1979" w:type="dxa"/>
          </w:tcPr>
          <w:p w14:paraId="65E222C7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AD3076" w:rsidRPr="00AD3076" w14:paraId="674425FD" w14:textId="77777777" w:rsidTr="00B56511">
        <w:tc>
          <w:tcPr>
            <w:tcW w:w="2265" w:type="dxa"/>
          </w:tcPr>
          <w:p w14:paraId="1F4B11D1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koordinátor</w:t>
            </w:r>
          </w:p>
        </w:tc>
        <w:tc>
          <w:tcPr>
            <w:tcW w:w="2409" w:type="dxa"/>
          </w:tcPr>
          <w:p w14:paraId="1DF75253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14 700 Kč</w:t>
            </w:r>
          </w:p>
        </w:tc>
        <w:tc>
          <w:tcPr>
            <w:tcW w:w="2409" w:type="dxa"/>
          </w:tcPr>
          <w:p w14:paraId="341DF3FF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4 000 Kč</w:t>
            </w:r>
          </w:p>
        </w:tc>
        <w:tc>
          <w:tcPr>
            <w:tcW w:w="1979" w:type="dxa"/>
          </w:tcPr>
          <w:p w14:paraId="7C26602A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AD3076" w:rsidRPr="00AD3076" w14:paraId="6FAF73D0" w14:textId="77777777" w:rsidTr="00B56511">
        <w:tc>
          <w:tcPr>
            <w:tcW w:w="2265" w:type="dxa"/>
          </w:tcPr>
          <w:p w14:paraId="3C724921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koordinátor</w:t>
            </w:r>
          </w:p>
        </w:tc>
        <w:tc>
          <w:tcPr>
            <w:tcW w:w="2409" w:type="dxa"/>
          </w:tcPr>
          <w:p w14:paraId="076C5840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14 700 Kč</w:t>
            </w:r>
          </w:p>
        </w:tc>
        <w:tc>
          <w:tcPr>
            <w:tcW w:w="2409" w:type="dxa"/>
          </w:tcPr>
          <w:p w14:paraId="628239E2" w14:textId="77777777" w:rsidR="00AD3076" w:rsidRPr="00AD3076" w:rsidRDefault="00AD3076" w:rsidP="00AD3076">
            <w:pPr>
              <w:spacing w:after="160" w:line="259" w:lineRule="auto"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3 000 Kč</w:t>
            </w:r>
          </w:p>
        </w:tc>
        <w:tc>
          <w:tcPr>
            <w:tcW w:w="1979" w:type="dxa"/>
          </w:tcPr>
          <w:p w14:paraId="38F37A81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AD3076" w:rsidRPr="00AD3076" w14:paraId="3595F838" w14:textId="77777777" w:rsidTr="00B56511">
        <w:tc>
          <w:tcPr>
            <w:tcW w:w="2265" w:type="dxa"/>
          </w:tcPr>
          <w:p w14:paraId="38FAE14F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Koordinátor ÚP</w:t>
            </w:r>
          </w:p>
        </w:tc>
        <w:tc>
          <w:tcPr>
            <w:tcW w:w="2409" w:type="dxa"/>
          </w:tcPr>
          <w:p w14:paraId="0BA25929" w14:textId="77777777" w:rsidR="00AD3076" w:rsidRPr="00AD3076" w:rsidRDefault="00AD3076" w:rsidP="00AD3076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right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>700 Kč</w:t>
            </w:r>
          </w:p>
        </w:tc>
        <w:tc>
          <w:tcPr>
            <w:tcW w:w="2409" w:type="dxa"/>
          </w:tcPr>
          <w:p w14:paraId="6E433BFB" w14:textId="77777777" w:rsidR="00AD3076" w:rsidRPr="00AD3076" w:rsidRDefault="00AD3076" w:rsidP="00AD3076">
            <w:pPr>
              <w:spacing w:after="160" w:line="259" w:lineRule="auto"/>
              <w:ind w:left="720"/>
              <w:contextualSpacing/>
              <w:jc w:val="center"/>
              <w:rPr>
                <w:rFonts w:eastAsiaTheme="minorHAnsi"/>
                <w:szCs w:val="24"/>
                <w:lang w:eastAsia="en-US"/>
              </w:rPr>
            </w:pPr>
            <w:r w:rsidRPr="00AD3076">
              <w:rPr>
                <w:rFonts w:eastAsiaTheme="minorHAnsi"/>
                <w:szCs w:val="24"/>
                <w:lang w:eastAsia="en-US"/>
              </w:rPr>
              <w:t xml:space="preserve">         2 000 Kč</w:t>
            </w:r>
          </w:p>
        </w:tc>
        <w:tc>
          <w:tcPr>
            <w:tcW w:w="1979" w:type="dxa"/>
          </w:tcPr>
          <w:p w14:paraId="2460EDF8" w14:textId="77777777" w:rsidR="00AD3076" w:rsidRPr="00AD3076" w:rsidRDefault="00AD3076" w:rsidP="00AD3076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</w:p>
        </w:tc>
      </w:tr>
    </w:tbl>
    <w:p w14:paraId="55604DDD" w14:textId="77777777" w:rsidR="00AD3076" w:rsidRPr="00AD3076" w:rsidRDefault="00AD3076" w:rsidP="00AD3076">
      <w:pPr>
        <w:ind w:left="720"/>
        <w:contextualSpacing/>
        <w:rPr>
          <w:rFonts w:eastAsiaTheme="minorHAnsi"/>
          <w:szCs w:val="24"/>
          <w:lang w:eastAsia="en-US"/>
        </w:rPr>
      </w:pPr>
    </w:p>
    <w:p w14:paraId="6A980919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V průběhu roku mohou být přijati maximálně 2 koordinátoři částečně financovaní z ÚP, jejichž mzda bude shodná se mzdou stávajícího koordinátora ÚP. Změny v nákladech s tímto související budou s pověřovatelem plně vypořádány.</w:t>
      </w:r>
    </w:p>
    <w:p w14:paraId="65A200E9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1309DC04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524 zákonné sociální pojištění</w:t>
      </w:r>
    </w:p>
    <w:p w14:paraId="7C4A321B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45713FE7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 xml:space="preserve">527 zákonné sociální náklady - </w:t>
      </w:r>
      <w:r w:rsidRPr="00AD3076">
        <w:rPr>
          <w:rFonts w:eastAsiaTheme="minorHAnsi"/>
          <w:szCs w:val="24"/>
          <w:lang w:eastAsia="en-US"/>
        </w:rPr>
        <w:t xml:space="preserve">kromě položek uvedených mezi neuznatelnými náklady </w:t>
      </w:r>
    </w:p>
    <w:p w14:paraId="24AD51C5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2826A5AB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538 ostatní daně a poplatky</w:t>
      </w:r>
    </w:p>
    <w:p w14:paraId="6DAE6650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538/001 poplatky – kromě položek uvedených mezi neuznatelnými náklady </w:t>
      </w:r>
    </w:p>
    <w:p w14:paraId="5697F90E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1F3A80CE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549 jiné ostatní náklady</w:t>
      </w:r>
      <w:r w:rsidRPr="00AD3076">
        <w:rPr>
          <w:rFonts w:eastAsiaTheme="minorHAnsi"/>
          <w:szCs w:val="24"/>
          <w:lang w:eastAsia="en-US"/>
        </w:rPr>
        <w:t xml:space="preserve"> (př. pojistné, bankovní poplatky)</w:t>
      </w:r>
    </w:p>
    <w:p w14:paraId="226C15D6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278E72A8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</w:p>
    <w:p w14:paraId="1ED16E8D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  <w:r w:rsidRPr="00AD3076">
        <w:rPr>
          <w:rFonts w:eastAsiaTheme="minorHAnsi"/>
          <w:b/>
          <w:szCs w:val="24"/>
          <w:lang w:eastAsia="en-US"/>
        </w:rPr>
        <w:t>Neuznatelné náklady</w:t>
      </w:r>
    </w:p>
    <w:p w14:paraId="638AD0B1" w14:textId="77777777" w:rsidR="00AD3076" w:rsidRPr="00AD3076" w:rsidRDefault="00AD3076" w:rsidP="00AD3076">
      <w:pPr>
        <w:rPr>
          <w:rFonts w:eastAsiaTheme="minorHAnsi"/>
          <w:b/>
          <w:szCs w:val="24"/>
          <w:lang w:eastAsia="en-US"/>
        </w:rPr>
      </w:pPr>
    </w:p>
    <w:p w14:paraId="5F74FC5A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501 spotřeba materiálu</w:t>
      </w:r>
    </w:p>
    <w:p w14:paraId="2601F1AC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501/006 reklamní předměty</w:t>
      </w:r>
    </w:p>
    <w:p w14:paraId="33A11952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46551D5B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521 mzdové náklady</w:t>
      </w:r>
    </w:p>
    <w:p w14:paraId="4A53F93C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mzdy nad rámec stanovený v tabulce mzdových nákladů výše, ledaže by byly předem schváleny poskytovatelem dotace</w:t>
      </w:r>
    </w:p>
    <w:p w14:paraId="128D5016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524614F0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527 zákonné sociální náklady</w:t>
      </w:r>
    </w:p>
    <w:p w14:paraId="659E16D3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preventivní péče</w:t>
      </w:r>
    </w:p>
    <w:p w14:paraId="7CDE7C1C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7E4C27BE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538 ostatní daně a poplatky</w:t>
      </w:r>
    </w:p>
    <w:p w14:paraId="4A9DA1AE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538/001 rozhlasový poplatek</w:t>
      </w:r>
    </w:p>
    <w:p w14:paraId="1C505B37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538/002 daně (př. dálniční známka)</w:t>
      </w:r>
    </w:p>
    <w:p w14:paraId="51C82000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058083BC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542 ostatní pokuty a penále</w:t>
      </w:r>
    </w:p>
    <w:p w14:paraId="2E4A6DB5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785F8B3F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543 odpis nedobytné pohledávky</w:t>
      </w:r>
    </w:p>
    <w:p w14:paraId="046DEF92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088C54F0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 xml:space="preserve">544 úroky </w:t>
      </w:r>
    </w:p>
    <w:p w14:paraId="0AA324B4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545 kurzové ztráty</w:t>
      </w:r>
    </w:p>
    <w:p w14:paraId="2FC3B2A2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01A8AEE5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546 dary</w:t>
      </w:r>
    </w:p>
    <w:p w14:paraId="3F4A49F4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2003E96A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  <w:r w:rsidRPr="00AD3076">
        <w:rPr>
          <w:rFonts w:eastAsiaTheme="minorHAnsi"/>
          <w:szCs w:val="24"/>
          <w:u w:val="single"/>
          <w:lang w:eastAsia="en-US"/>
        </w:rPr>
        <w:t>548 manka a škody</w:t>
      </w:r>
    </w:p>
    <w:p w14:paraId="511E494B" w14:textId="77777777" w:rsidR="00AD3076" w:rsidRPr="00AD3076" w:rsidRDefault="00AD3076" w:rsidP="00AD3076">
      <w:pPr>
        <w:rPr>
          <w:rFonts w:eastAsiaTheme="minorHAnsi"/>
          <w:szCs w:val="24"/>
          <w:u w:val="single"/>
          <w:lang w:eastAsia="en-US"/>
        </w:rPr>
      </w:pPr>
    </w:p>
    <w:p w14:paraId="0CA9E9DA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6D7D193F" w14:textId="3ED77D12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>Z výnosů z dotace úřadu práce byly v</w:t>
      </w:r>
      <w:r w:rsidR="005279BA">
        <w:rPr>
          <w:rFonts w:eastAsiaTheme="minorHAnsi"/>
          <w:szCs w:val="24"/>
          <w:lang w:eastAsia="en-US"/>
        </w:rPr>
        <w:t xml:space="preserve"> roce </w:t>
      </w:r>
      <w:r w:rsidRPr="00AD3076">
        <w:rPr>
          <w:rFonts w:eastAsiaTheme="minorHAnsi"/>
          <w:szCs w:val="24"/>
          <w:lang w:eastAsia="en-US"/>
        </w:rPr>
        <w:t xml:space="preserve">2016 </w:t>
      </w:r>
      <w:r w:rsidRPr="00AD3076">
        <w:rPr>
          <w:rFonts w:eastAsiaTheme="minorHAnsi"/>
          <w:b/>
          <w:szCs w:val="24"/>
          <w:lang w:eastAsia="en-US"/>
        </w:rPr>
        <w:t xml:space="preserve">pokryty mzdové náklady a zákonné sociální pojištění pracovníků veřejně prospěšných prací v celkové výši </w:t>
      </w:r>
      <w:r w:rsidR="005279BA">
        <w:rPr>
          <w:rFonts w:eastAsiaTheme="minorHAnsi"/>
          <w:b/>
          <w:szCs w:val="24"/>
          <w:lang w:eastAsia="en-US"/>
        </w:rPr>
        <w:t>10</w:t>
      </w:r>
      <w:r w:rsidRPr="00AD3076">
        <w:rPr>
          <w:rFonts w:eastAsiaTheme="minorHAnsi"/>
          <w:b/>
          <w:szCs w:val="24"/>
          <w:lang w:eastAsia="en-US"/>
        </w:rPr>
        <w:t>.</w:t>
      </w:r>
      <w:r w:rsidR="005279BA">
        <w:rPr>
          <w:rFonts w:eastAsiaTheme="minorHAnsi"/>
          <w:b/>
          <w:szCs w:val="24"/>
          <w:lang w:eastAsia="en-US"/>
        </w:rPr>
        <w:t>395</w:t>
      </w:r>
      <w:r w:rsidRPr="00AD3076">
        <w:rPr>
          <w:rFonts w:eastAsiaTheme="minorHAnsi"/>
          <w:b/>
          <w:szCs w:val="24"/>
          <w:lang w:eastAsia="en-US"/>
        </w:rPr>
        <w:t>.</w:t>
      </w:r>
      <w:r w:rsidR="005279BA">
        <w:rPr>
          <w:rFonts w:eastAsiaTheme="minorHAnsi"/>
          <w:b/>
          <w:szCs w:val="24"/>
          <w:lang w:eastAsia="en-US"/>
        </w:rPr>
        <w:t>748</w:t>
      </w:r>
      <w:r w:rsidRPr="00AD3076">
        <w:rPr>
          <w:rFonts w:eastAsiaTheme="minorHAnsi"/>
          <w:b/>
          <w:szCs w:val="24"/>
          <w:lang w:eastAsia="en-US"/>
        </w:rPr>
        <w:t xml:space="preserve"> Kč.</w:t>
      </w:r>
      <w:r w:rsidRPr="00AD3076">
        <w:rPr>
          <w:rFonts w:eastAsiaTheme="minorHAnsi"/>
          <w:szCs w:val="24"/>
          <w:lang w:eastAsia="en-US"/>
        </w:rPr>
        <w:t xml:space="preserve"> Při stanovení vyrovnávací platby pro rok 2017 se bude z této nákladové (a současně výnosové) položky vycházet, přestože ve skutečnosti stejná být nemusí z důvodů předem neznámých proměnných. </w:t>
      </w:r>
    </w:p>
    <w:p w14:paraId="733E89E8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413D8B95" w14:textId="0B9C3295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Výsledná </w:t>
      </w:r>
      <w:r w:rsidRPr="00AD3076">
        <w:rPr>
          <w:rFonts w:eastAsiaTheme="minorHAnsi"/>
          <w:b/>
          <w:szCs w:val="24"/>
          <w:lang w:eastAsia="en-US"/>
        </w:rPr>
        <w:t>předpokládaná výše roční vyrovnávací platby</w:t>
      </w:r>
      <w:r w:rsidRPr="00AD3076">
        <w:rPr>
          <w:rFonts w:eastAsiaTheme="minorHAnsi"/>
          <w:szCs w:val="24"/>
          <w:lang w:eastAsia="en-US"/>
        </w:rPr>
        <w:t xml:space="preserve">, při požadovaném počtu 85 pracovních míst veřejně prospěšných prací, byla dle výše popsaného postupu </w:t>
      </w:r>
      <w:r w:rsidRPr="00AD3076">
        <w:rPr>
          <w:rFonts w:eastAsiaTheme="minorHAnsi"/>
          <w:b/>
          <w:szCs w:val="24"/>
          <w:lang w:eastAsia="en-US"/>
        </w:rPr>
        <w:t>stanovena na částku 15.</w:t>
      </w:r>
      <w:r w:rsidR="005279BA">
        <w:rPr>
          <w:rFonts w:eastAsiaTheme="minorHAnsi"/>
          <w:b/>
          <w:szCs w:val="24"/>
          <w:lang w:eastAsia="en-US"/>
        </w:rPr>
        <w:t>319</w:t>
      </w:r>
      <w:r w:rsidRPr="00AD3076">
        <w:rPr>
          <w:rFonts w:eastAsiaTheme="minorHAnsi"/>
          <w:b/>
          <w:szCs w:val="24"/>
          <w:lang w:eastAsia="en-US"/>
        </w:rPr>
        <w:t>.</w:t>
      </w:r>
      <w:r w:rsidR="005279BA">
        <w:rPr>
          <w:rFonts w:eastAsiaTheme="minorHAnsi"/>
          <w:b/>
          <w:szCs w:val="24"/>
          <w:lang w:eastAsia="en-US"/>
        </w:rPr>
        <w:t>748</w:t>
      </w:r>
      <w:r w:rsidRPr="00AD3076">
        <w:rPr>
          <w:rFonts w:eastAsiaTheme="minorHAnsi"/>
          <w:b/>
          <w:szCs w:val="24"/>
          <w:lang w:eastAsia="en-US"/>
        </w:rPr>
        <w:t xml:space="preserve"> Kč</w:t>
      </w:r>
      <w:r w:rsidRPr="00AD3076">
        <w:rPr>
          <w:rFonts w:eastAsiaTheme="minorHAnsi"/>
          <w:szCs w:val="24"/>
          <w:lang w:eastAsia="en-US"/>
        </w:rPr>
        <w:t>, což odpovídá nákladům ve výši 18</w:t>
      </w:r>
      <w:r w:rsidR="005279BA">
        <w:rPr>
          <w:rFonts w:eastAsiaTheme="minorHAnsi"/>
          <w:szCs w:val="24"/>
          <w:lang w:eastAsia="en-US"/>
        </w:rPr>
        <w:t>0</w:t>
      </w:r>
      <w:r w:rsidRPr="00AD3076">
        <w:rPr>
          <w:rFonts w:eastAsiaTheme="minorHAnsi"/>
          <w:szCs w:val="24"/>
          <w:lang w:eastAsia="en-US"/>
        </w:rPr>
        <w:t>.2</w:t>
      </w:r>
      <w:r w:rsidR="005279BA">
        <w:rPr>
          <w:rFonts w:eastAsiaTheme="minorHAnsi"/>
          <w:szCs w:val="24"/>
          <w:lang w:eastAsia="en-US"/>
        </w:rPr>
        <w:t>3</w:t>
      </w:r>
      <w:r w:rsidRPr="00AD3076">
        <w:rPr>
          <w:rFonts w:eastAsiaTheme="minorHAnsi"/>
          <w:szCs w:val="24"/>
          <w:lang w:eastAsia="en-US"/>
        </w:rPr>
        <w:t>2 Kč na 1 pracovní místo veřejně prospěšných prací.</w:t>
      </w:r>
    </w:p>
    <w:p w14:paraId="7120A82B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0CE0800C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Z toho se stanoví </w:t>
      </w:r>
      <w:r w:rsidRPr="00AD3076">
        <w:rPr>
          <w:rFonts w:eastAsiaTheme="minorHAnsi"/>
          <w:b/>
          <w:szCs w:val="24"/>
          <w:lang w:eastAsia="en-US"/>
        </w:rPr>
        <w:t>část vyrovnávací platby poskytnuté statutárním městem Liberec formou dotace pro rok 2017 ve výši 4.924.000 Kč</w:t>
      </w:r>
      <w:r w:rsidRPr="00AD3076">
        <w:rPr>
          <w:rFonts w:eastAsiaTheme="minorHAnsi"/>
          <w:szCs w:val="24"/>
          <w:lang w:eastAsia="en-US"/>
        </w:rPr>
        <w:t>. Všechny rozdíly zjištěné při vyúčtování vyrovnávací platby ke dni 31. 12. příslušného kalendářního roku budou plně vypořádány.</w:t>
      </w:r>
    </w:p>
    <w:p w14:paraId="1B9CFABE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</w:p>
    <w:p w14:paraId="704C0F35" w14:textId="77777777" w:rsidR="00AD3076" w:rsidRPr="00AD3076" w:rsidRDefault="00AD3076" w:rsidP="00AD3076">
      <w:pPr>
        <w:rPr>
          <w:rFonts w:eastAsiaTheme="minorHAnsi"/>
          <w:szCs w:val="24"/>
          <w:lang w:eastAsia="en-US"/>
        </w:rPr>
      </w:pPr>
      <w:r w:rsidRPr="00AD3076">
        <w:rPr>
          <w:rFonts w:eastAsiaTheme="minorHAnsi"/>
          <w:szCs w:val="24"/>
          <w:lang w:eastAsia="en-US"/>
        </w:rPr>
        <w:t xml:space="preserve">Vzhledem k tomu, že příjemce obdržel v roce 2016 vyrovnávací platbu na základě Pověření k poskytování služeb obecného hospodářského zájmu schváleného usnesením Zastupitelstva města Liberec č. 68/2016, ze dne </w:t>
      </w:r>
      <w:proofErr w:type="gramStart"/>
      <w:r w:rsidRPr="00AD3076">
        <w:rPr>
          <w:rFonts w:eastAsiaTheme="minorHAnsi"/>
          <w:szCs w:val="24"/>
          <w:lang w:eastAsia="en-US"/>
        </w:rPr>
        <w:t>31.3.2016</w:t>
      </w:r>
      <w:proofErr w:type="gramEnd"/>
      <w:r w:rsidRPr="00AD3076">
        <w:rPr>
          <w:rFonts w:eastAsiaTheme="minorHAnsi"/>
          <w:szCs w:val="24"/>
          <w:lang w:eastAsia="en-US"/>
        </w:rPr>
        <w:t xml:space="preserve">, a ke dni schválení tohoto Pověření nebylo a nemohlo být provedeno úplné vyúčtování vyrovnávací platby obdržené příjemcem v roce 2016, stanoví se pro případ, že by z vyúčtování vyrovnávací platby za rok 2016 bylo zjištěno, že došlo k nadměrnému vyrovnání za plnění závazku veřejné služby dle Pověření 2, a to v částce nepřesahující 10% vyrovnávací platby stanovené pro rok 2016, že bude postupováno v souladu s čl. 6 odst. 2 Rozhodnutí SOHZ. Nadměrně vyplacená částka za rok 2016 nebude vrácena zpět na účet SML dle čl. IV odst. 5 Pověření II, ale o tuto částku bude ponížena vyrovnávací platba pro rok 2017. </w:t>
      </w:r>
    </w:p>
    <w:p w14:paraId="30F04955" w14:textId="77777777" w:rsidR="00AD3076" w:rsidRPr="00AD3076" w:rsidRDefault="00AD3076" w:rsidP="00AD3076">
      <w:pPr>
        <w:spacing w:after="160" w:line="259" w:lineRule="auto"/>
        <w:jc w:val="left"/>
        <w:rPr>
          <w:rFonts w:eastAsiaTheme="minorHAnsi"/>
          <w:szCs w:val="24"/>
          <w:lang w:eastAsia="en-US"/>
        </w:rPr>
      </w:pPr>
    </w:p>
    <w:p w14:paraId="6080E909" w14:textId="77777777" w:rsidR="00AD3076" w:rsidRDefault="00AD3076" w:rsidP="00AD3076">
      <w:pPr>
        <w:ind w:firstLine="708"/>
        <w:rPr>
          <w:rFonts w:eastAsiaTheme="minorHAnsi"/>
          <w:szCs w:val="24"/>
          <w:lang w:eastAsia="en-US"/>
        </w:rPr>
      </w:pPr>
    </w:p>
    <w:p w14:paraId="4D98B06B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75B4D807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35D0789C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19AFBA16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0582A76D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005DB461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25DD8E0F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3F9F9E5B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698AE72B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10D33BDC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12AC153B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6EB735A6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6BE5E5A4" w14:textId="77777777" w:rsidR="005279BA" w:rsidRDefault="005279BA" w:rsidP="00AD3076">
      <w:pPr>
        <w:ind w:firstLine="708"/>
        <w:rPr>
          <w:rFonts w:eastAsiaTheme="minorHAnsi"/>
          <w:szCs w:val="24"/>
          <w:lang w:eastAsia="en-US"/>
        </w:rPr>
      </w:pPr>
      <w:bookmarkStart w:id="0" w:name="_GoBack"/>
      <w:bookmarkEnd w:id="0"/>
    </w:p>
    <w:p w14:paraId="05920A82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5DD744E3" w14:textId="4BFA3614" w:rsidR="00BD7B14" w:rsidRPr="00BD7B14" w:rsidRDefault="00BD7B14" w:rsidP="00BD7B14">
      <w:pPr>
        <w:rPr>
          <w:rFonts w:eastAsiaTheme="minorHAnsi"/>
          <w:b/>
          <w:szCs w:val="24"/>
          <w:lang w:eastAsia="en-US"/>
        </w:rPr>
      </w:pPr>
      <w:r w:rsidRPr="00BD7B14">
        <w:rPr>
          <w:rFonts w:eastAsiaTheme="minorHAnsi"/>
          <w:b/>
          <w:szCs w:val="24"/>
          <w:lang w:eastAsia="en-US"/>
        </w:rPr>
        <w:t>Příloha č. 2</w:t>
      </w:r>
    </w:p>
    <w:p w14:paraId="267AB18D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p w14:paraId="2BE40A87" w14:textId="77777777" w:rsidR="00E43E1F" w:rsidRPr="00E43E1F" w:rsidRDefault="00E43E1F" w:rsidP="00E43E1F">
      <w:pPr>
        <w:rPr>
          <w:rFonts w:eastAsia="Calibri"/>
          <w:b/>
          <w:sz w:val="28"/>
          <w:szCs w:val="28"/>
          <w:lang w:eastAsia="en-US"/>
        </w:rPr>
      </w:pPr>
      <w:r w:rsidRPr="00E43E1F">
        <w:rPr>
          <w:rFonts w:eastAsia="Calibri"/>
          <w:b/>
          <w:sz w:val="28"/>
          <w:szCs w:val="28"/>
          <w:lang w:eastAsia="en-US"/>
        </w:rPr>
        <w:t>Veřejná podpora poskytnutá formou bezúplatně poskytnutých služeb:</w:t>
      </w:r>
    </w:p>
    <w:p w14:paraId="6674B83B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p w14:paraId="26CC8B73" w14:textId="40504855" w:rsidR="00E43E1F" w:rsidRPr="00E43E1F" w:rsidRDefault="00E43E1F" w:rsidP="00E43E1F">
      <w:pPr>
        <w:rPr>
          <w:rFonts w:eastAsia="Calibri"/>
          <w:b/>
          <w:szCs w:val="24"/>
          <w:lang w:eastAsia="en-US"/>
        </w:rPr>
      </w:pPr>
      <w:r w:rsidRPr="00E43E1F">
        <w:rPr>
          <w:rFonts w:eastAsia="Calibri"/>
          <w:b/>
          <w:szCs w:val="24"/>
          <w:lang w:eastAsia="en-US"/>
        </w:rPr>
        <w:t>1.</w:t>
      </w:r>
      <w:r>
        <w:rPr>
          <w:rFonts w:eastAsia="Calibri"/>
          <w:b/>
          <w:szCs w:val="24"/>
          <w:lang w:eastAsia="en-US"/>
        </w:rPr>
        <w:t xml:space="preserve"> </w:t>
      </w:r>
      <w:r w:rsidRPr="00E43E1F">
        <w:rPr>
          <w:rFonts w:eastAsia="Calibri"/>
          <w:b/>
          <w:szCs w:val="24"/>
          <w:lang w:eastAsia="en-US"/>
        </w:rPr>
        <w:t>mzdy</w:t>
      </w:r>
      <w:r w:rsidRPr="00E43E1F">
        <w:rPr>
          <w:rFonts w:eastAsia="Calibri"/>
          <w:b/>
          <w:szCs w:val="24"/>
          <w:lang w:eastAsia="en-US"/>
        </w:rPr>
        <w:tab/>
      </w:r>
    </w:p>
    <w:p w14:paraId="100E705B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</w:p>
    <w:p w14:paraId="14F901AB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 xml:space="preserve">posudek na zpracování mezd O </w:t>
      </w:r>
      <w:proofErr w:type="spellStart"/>
      <w:r w:rsidRPr="00E43E1F">
        <w:rPr>
          <w:rFonts w:eastAsia="Calibri"/>
          <w:sz w:val="22"/>
          <w:szCs w:val="22"/>
          <w:lang w:eastAsia="en-US"/>
        </w:rPr>
        <w:t>Consult</w:t>
      </w:r>
      <w:proofErr w:type="spellEnd"/>
      <w:r w:rsidRPr="00E43E1F">
        <w:rPr>
          <w:rFonts w:eastAsia="Calibri"/>
          <w:sz w:val="22"/>
          <w:szCs w:val="22"/>
          <w:lang w:eastAsia="en-US"/>
        </w:rPr>
        <w:t xml:space="preserve"> s.r.o. ze dne </w:t>
      </w:r>
      <w:proofErr w:type="gramStart"/>
      <w:r w:rsidRPr="00E43E1F">
        <w:rPr>
          <w:rFonts w:eastAsia="Calibri"/>
          <w:sz w:val="22"/>
          <w:szCs w:val="22"/>
          <w:lang w:eastAsia="en-US"/>
        </w:rPr>
        <w:t>23.3.2015</w:t>
      </w:r>
      <w:proofErr w:type="gramEnd"/>
      <w:r w:rsidRPr="00E43E1F">
        <w:rPr>
          <w:rFonts w:eastAsia="Calibri"/>
          <w:sz w:val="22"/>
          <w:szCs w:val="22"/>
          <w:lang w:eastAsia="en-US"/>
        </w:rPr>
        <w:t xml:space="preserve"> s úpravou na aktuální stav</w:t>
      </w:r>
      <w:r w:rsidRPr="00E43E1F">
        <w:rPr>
          <w:rFonts w:eastAsia="Calibri"/>
          <w:sz w:val="22"/>
          <w:szCs w:val="22"/>
          <w:lang w:eastAsia="en-US"/>
        </w:rPr>
        <w:tab/>
      </w:r>
    </w:p>
    <w:p w14:paraId="2FC1AFD9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40"/>
        <w:gridCol w:w="1660"/>
      </w:tblGrid>
      <w:tr w:rsidR="00E43E1F" w:rsidRPr="00E43E1F" w14:paraId="5E5C3195" w14:textId="77777777" w:rsidTr="00272144">
        <w:trPr>
          <w:trHeight w:val="6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14:paraId="3483F08C" w14:textId="77777777" w:rsidR="00E43E1F" w:rsidRPr="00E43E1F" w:rsidRDefault="00E43E1F" w:rsidP="00E43E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počet zaměstnanců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bottom"/>
            <w:hideMark/>
          </w:tcPr>
          <w:p w14:paraId="44B00719" w14:textId="77777777" w:rsidR="00E43E1F" w:rsidRPr="00E43E1F" w:rsidRDefault="00E43E1F" w:rsidP="00E43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cena za 1 zaměstnance/měsíc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14:paraId="300D1490" w14:textId="77777777" w:rsidR="00E43E1F" w:rsidRPr="00E43E1F" w:rsidRDefault="00E43E1F" w:rsidP="00E43E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cena celkem za rok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99"/>
            <w:noWrap/>
            <w:vAlign w:val="bottom"/>
            <w:hideMark/>
          </w:tcPr>
          <w:p w14:paraId="00DAA0EC" w14:textId="77777777" w:rsidR="00E43E1F" w:rsidRPr="00E43E1F" w:rsidRDefault="00E43E1F" w:rsidP="00E43E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 xml:space="preserve">40% podíl SML </w:t>
            </w:r>
          </w:p>
        </w:tc>
      </w:tr>
      <w:tr w:rsidR="00E43E1F" w:rsidRPr="00E43E1F" w14:paraId="7828698D" w14:textId="77777777" w:rsidTr="00272144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15A6" w14:textId="77777777" w:rsidR="00E43E1F" w:rsidRPr="00E43E1F" w:rsidRDefault="00E43E1F" w:rsidP="00E43E1F">
            <w:pPr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B30" w14:textId="77777777" w:rsidR="00E43E1F" w:rsidRPr="00E43E1F" w:rsidRDefault="00E43E1F" w:rsidP="00E43E1F">
            <w:pPr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200,00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EE1" w14:textId="77777777" w:rsidR="00E43E1F" w:rsidRPr="00E43E1F" w:rsidRDefault="00E43E1F" w:rsidP="00E43E1F">
            <w:pPr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288 000,00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B3E7" w14:textId="77777777" w:rsidR="00E43E1F" w:rsidRPr="00E43E1F" w:rsidRDefault="00E43E1F" w:rsidP="00E43E1F">
            <w:pPr>
              <w:rPr>
                <w:b/>
                <w:color w:val="000000"/>
                <w:sz w:val="22"/>
                <w:szCs w:val="22"/>
              </w:rPr>
            </w:pPr>
            <w:r w:rsidRPr="00E43E1F">
              <w:rPr>
                <w:b/>
                <w:color w:val="000000"/>
                <w:sz w:val="22"/>
                <w:szCs w:val="22"/>
              </w:rPr>
              <w:t>115 200,00 Kč</w:t>
            </w:r>
          </w:p>
        </w:tc>
      </w:tr>
    </w:tbl>
    <w:p w14:paraId="41662EBF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p w14:paraId="081C3E37" w14:textId="62F3C0BD" w:rsidR="00E43E1F" w:rsidRPr="00E43E1F" w:rsidRDefault="00E43E1F" w:rsidP="00E43E1F">
      <w:pPr>
        <w:rPr>
          <w:rFonts w:eastAsia="Calibri"/>
          <w:b/>
          <w:szCs w:val="24"/>
          <w:lang w:eastAsia="en-US"/>
        </w:rPr>
      </w:pPr>
      <w:r w:rsidRPr="00E43E1F">
        <w:rPr>
          <w:rFonts w:eastAsia="Calibri"/>
          <w:b/>
          <w:szCs w:val="24"/>
          <w:lang w:eastAsia="en-US"/>
        </w:rPr>
        <w:t>2.</w:t>
      </w:r>
      <w:r>
        <w:rPr>
          <w:rFonts w:eastAsia="Calibri"/>
          <w:b/>
          <w:szCs w:val="24"/>
          <w:lang w:eastAsia="en-US"/>
        </w:rPr>
        <w:t xml:space="preserve"> </w:t>
      </w:r>
      <w:r w:rsidRPr="00E43E1F">
        <w:rPr>
          <w:rFonts w:eastAsia="Calibri"/>
          <w:b/>
          <w:szCs w:val="24"/>
          <w:lang w:eastAsia="en-US"/>
        </w:rPr>
        <w:t>nájemné</w:t>
      </w:r>
    </w:p>
    <w:p w14:paraId="3E8B7BE1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</w:p>
    <w:p w14:paraId="081C2D8D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 xml:space="preserve">Výpočet vychází z ceny pronájmů v místě a čase obvyklé a z interního předpisu pro stanovení nájemného za užívání prostoru nebo místnosti ve vlastnictví statutárního města Liberec (13. schůze Rady města ze dne </w:t>
      </w:r>
      <w:proofErr w:type="gramStart"/>
      <w:r w:rsidRPr="00E43E1F">
        <w:rPr>
          <w:rFonts w:eastAsia="Calibri"/>
          <w:sz w:val="22"/>
          <w:szCs w:val="22"/>
          <w:lang w:eastAsia="en-US"/>
        </w:rPr>
        <w:t>19.7.2016</w:t>
      </w:r>
      <w:proofErr w:type="gramEnd"/>
      <w:r w:rsidRPr="00E43E1F">
        <w:rPr>
          <w:rFonts w:eastAsia="Calibri"/>
          <w:sz w:val="22"/>
          <w:szCs w:val="22"/>
          <w:lang w:eastAsia="en-US"/>
        </w:rPr>
        <w:t xml:space="preserve"> usnesení č. 607/2016)</w:t>
      </w:r>
      <w:r w:rsidRPr="00E43E1F">
        <w:rPr>
          <w:rFonts w:eastAsia="Calibri"/>
          <w:sz w:val="22"/>
          <w:szCs w:val="22"/>
          <w:lang w:eastAsia="en-US"/>
        </w:rPr>
        <w:tab/>
      </w:r>
    </w:p>
    <w:p w14:paraId="3C0C2049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009"/>
        <w:gridCol w:w="1791"/>
      </w:tblGrid>
      <w:tr w:rsidR="00E43E1F" w:rsidRPr="00E43E1F" w14:paraId="495DCF56" w14:textId="77777777" w:rsidTr="00272144">
        <w:trPr>
          <w:trHeight w:val="64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14:paraId="383F74D9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pronajaté prostory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bottom"/>
            <w:hideMark/>
          </w:tcPr>
          <w:p w14:paraId="75728AFC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plocha pronajatých prostor m</w:t>
            </w:r>
            <w:r w:rsidRPr="00E43E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14:paraId="464AE3CD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cena za 1m</w:t>
            </w:r>
            <w:r w:rsidRPr="00E43E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E43E1F">
              <w:rPr>
                <w:b/>
                <w:bCs/>
                <w:color w:val="000000"/>
                <w:sz w:val="22"/>
                <w:szCs w:val="22"/>
              </w:rPr>
              <w:t>/měsíc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99"/>
            <w:noWrap/>
            <w:vAlign w:val="bottom"/>
            <w:hideMark/>
          </w:tcPr>
          <w:p w14:paraId="42120BDC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cena celkem/rok</w:t>
            </w:r>
          </w:p>
        </w:tc>
      </w:tr>
      <w:tr w:rsidR="00E43E1F" w:rsidRPr="00E43E1F" w14:paraId="3678764F" w14:textId="77777777" w:rsidTr="0027214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FCF8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budova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10F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159,87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38F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125,00 Kč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A36E4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239 805,00 Kč</w:t>
            </w:r>
          </w:p>
        </w:tc>
      </w:tr>
      <w:tr w:rsidR="00E43E1F" w:rsidRPr="00E43E1F" w14:paraId="713F68B3" w14:textId="77777777" w:rsidTr="0027214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85B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garáž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4DD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37,32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8E8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125,00 Kč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DEDD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55 980,00 Kč</w:t>
            </w:r>
          </w:p>
        </w:tc>
      </w:tr>
      <w:tr w:rsidR="00E43E1F" w:rsidRPr="00E43E1F" w14:paraId="61850FC4" w14:textId="77777777" w:rsidTr="00272144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7F82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392" w14:textId="77777777" w:rsidR="00E43E1F" w:rsidRPr="00E43E1F" w:rsidRDefault="00E43E1F" w:rsidP="00E43E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197,19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7D9B" w14:textId="77777777" w:rsidR="00E43E1F" w:rsidRPr="00E43E1F" w:rsidRDefault="00E43E1F" w:rsidP="00E43E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125,00 Kč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D8DC8" w14:textId="77777777" w:rsidR="00E43E1F" w:rsidRPr="00E43E1F" w:rsidRDefault="00E43E1F" w:rsidP="00E43E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295 785,00 Kč</w:t>
            </w:r>
          </w:p>
        </w:tc>
      </w:tr>
    </w:tbl>
    <w:p w14:paraId="48BAB170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p w14:paraId="3D35EA5B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p w14:paraId="586C88A3" w14:textId="77777777" w:rsidR="00E43E1F" w:rsidRPr="00E43E1F" w:rsidRDefault="00E43E1F" w:rsidP="00E43E1F">
      <w:pPr>
        <w:rPr>
          <w:rFonts w:eastAsia="Calibri"/>
          <w:b/>
          <w:szCs w:val="24"/>
          <w:lang w:eastAsia="en-US"/>
        </w:rPr>
      </w:pPr>
      <w:r w:rsidRPr="00E43E1F">
        <w:rPr>
          <w:rFonts w:eastAsia="Calibri"/>
          <w:b/>
          <w:szCs w:val="24"/>
          <w:lang w:eastAsia="en-US"/>
        </w:rPr>
        <w:t>3. bezúplatně poskytnuté energie</w:t>
      </w:r>
    </w:p>
    <w:p w14:paraId="56C2BE6A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p w14:paraId="080FC340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 xml:space="preserve">Změna sídla Podniku byla uskutečněna v průběhu roku 2016 a nedošlo tedy ještě k ročnímu vyúčtování energií. Pro určení výše veřejné podpory se vychází z výše zálohových plateb. </w:t>
      </w:r>
    </w:p>
    <w:p w14:paraId="5FC22073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ab/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40"/>
      </w:tblGrid>
      <w:tr w:rsidR="00E43E1F" w:rsidRPr="00E43E1F" w14:paraId="7CF56046" w14:textId="77777777" w:rsidTr="00272144">
        <w:trPr>
          <w:trHeight w:val="3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14:paraId="3563D071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druh energie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14:paraId="514051C5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záloha v Kč/měsíc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99"/>
            <w:noWrap/>
            <w:vAlign w:val="bottom"/>
            <w:hideMark/>
          </w:tcPr>
          <w:p w14:paraId="2B8DE0CA" w14:textId="77777777" w:rsidR="00E43E1F" w:rsidRPr="00E43E1F" w:rsidRDefault="00E43E1F" w:rsidP="00E43E1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43E1F">
              <w:rPr>
                <w:b/>
                <w:bCs/>
                <w:color w:val="000000"/>
                <w:sz w:val="22"/>
                <w:szCs w:val="22"/>
              </w:rPr>
              <w:t>cena celkem/rok</w:t>
            </w:r>
          </w:p>
        </w:tc>
      </w:tr>
      <w:tr w:rsidR="00E43E1F" w:rsidRPr="00E43E1F" w14:paraId="035EF19A" w14:textId="77777777" w:rsidTr="0027214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4CA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elektřina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0DC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700,00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DBBEB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8 400,00 Kč</w:t>
            </w:r>
          </w:p>
        </w:tc>
      </w:tr>
      <w:tr w:rsidR="00E43E1F" w:rsidRPr="00E43E1F" w14:paraId="3F3AE792" w14:textId="77777777" w:rsidTr="0027214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281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plyn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C98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3 700,00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5544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44 400,00 Kč</w:t>
            </w:r>
          </w:p>
        </w:tc>
      </w:tr>
      <w:tr w:rsidR="00E43E1F" w:rsidRPr="00E43E1F" w14:paraId="53C6F19F" w14:textId="77777777" w:rsidTr="0027214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AC05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voda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FCF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870,00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CD292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10 440,00 Kč</w:t>
            </w:r>
          </w:p>
        </w:tc>
      </w:tr>
      <w:tr w:rsidR="00E43E1F" w:rsidRPr="00E43E1F" w14:paraId="15ED9B8F" w14:textId="77777777" w:rsidTr="00272144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EA6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EZS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0A2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697E2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0,00 Kč</w:t>
            </w:r>
          </w:p>
        </w:tc>
      </w:tr>
      <w:tr w:rsidR="00E43E1F" w:rsidRPr="00E43E1F" w14:paraId="0648FBE4" w14:textId="77777777" w:rsidTr="00272144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A59" w14:textId="77777777" w:rsidR="00E43E1F" w:rsidRPr="00E43E1F" w:rsidRDefault="00E43E1F" w:rsidP="00E43E1F">
            <w:pPr>
              <w:jc w:val="lef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A86" w14:textId="77777777" w:rsidR="00E43E1F" w:rsidRPr="00E43E1F" w:rsidRDefault="00E43E1F" w:rsidP="00E43E1F">
            <w:pPr>
              <w:jc w:val="right"/>
              <w:rPr>
                <w:color w:val="000000"/>
                <w:sz w:val="22"/>
                <w:szCs w:val="22"/>
              </w:rPr>
            </w:pPr>
            <w:r w:rsidRPr="00E43E1F">
              <w:rPr>
                <w:color w:val="000000"/>
                <w:sz w:val="22"/>
                <w:szCs w:val="22"/>
              </w:rPr>
              <w:t>5 270,00 Kč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69A0" w14:textId="77777777" w:rsidR="00E43E1F" w:rsidRPr="00E43E1F" w:rsidRDefault="00E43E1F" w:rsidP="00E43E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3E1F">
              <w:rPr>
                <w:b/>
                <w:color w:val="000000"/>
                <w:sz w:val="22"/>
                <w:szCs w:val="22"/>
              </w:rPr>
              <w:t>63 240,00 Kč</w:t>
            </w:r>
          </w:p>
        </w:tc>
      </w:tr>
    </w:tbl>
    <w:p w14:paraId="38F4085C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</w:p>
    <w:p w14:paraId="04F1838C" w14:textId="77777777" w:rsidR="00E43E1F" w:rsidRPr="00E43E1F" w:rsidRDefault="00E43E1F" w:rsidP="00E43E1F">
      <w:pPr>
        <w:rPr>
          <w:rFonts w:eastAsia="Calibri"/>
          <w:sz w:val="22"/>
          <w:szCs w:val="22"/>
          <w:lang w:eastAsia="en-US"/>
        </w:rPr>
      </w:pP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  <w:r w:rsidRPr="00E43E1F">
        <w:rPr>
          <w:rFonts w:eastAsia="Calibri"/>
          <w:sz w:val="22"/>
          <w:szCs w:val="22"/>
          <w:lang w:eastAsia="en-US"/>
        </w:rPr>
        <w:tab/>
      </w:r>
    </w:p>
    <w:p w14:paraId="2A0987CD" w14:textId="77777777" w:rsidR="00BD7B14" w:rsidRDefault="00BD7B14" w:rsidP="00AD3076">
      <w:pPr>
        <w:ind w:firstLine="708"/>
        <w:rPr>
          <w:rFonts w:eastAsiaTheme="minorHAnsi"/>
          <w:szCs w:val="24"/>
          <w:lang w:eastAsia="en-US"/>
        </w:rPr>
      </w:pPr>
    </w:p>
    <w:sectPr w:rsidR="00BD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C90"/>
    <w:multiLevelType w:val="hybridMultilevel"/>
    <w:tmpl w:val="CF103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A36"/>
    <w:multiLevelType w:val="hybridMultilevel"/>
    <w:tmpl w:val="8CE6EE9C"/>
    <w:lvl w:ilvl="0" w:tplc="EEE0AD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7FB2"/>
    <w:multiLevelType w:val="hybridMultilevel"/>
    <w:tmpl w:val="48B83CEA"/>
    <w:lvl w:ilvl="0" w:tplc="6FE4063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4A0166"/>
    <w:multiLevelType w:val="hybridMultilevel"/>
    <w:tmpl w:val="ED208440"/>
    <w:lvl w:ilvl="0" w:tplc="94AC27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32C7"/>
    <w:multiLevelType w:val="multilevel"/>
    <w:tmpl w:val="C25A7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106742"/>
    <w:multiLevelType w:val="hybridMultilevel"/>
    <w:tmpl w:val="FE28084E"/>
    <w:lvl w:ilvl="0" w:tplc="7A266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B93D9A"/>
    <w:multiLevelType w:val="hybridMultilevel"/>
    <w:tmpl w:val="E168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15E7"/>
    <w:multiLevelType w:val="hybridMultilevel"/>
    <w:tmpl w:val="1E6EBE68"/>
    <w:lvl w:ilvl="0" w:tplc="9D3EC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A49FD"/>
    <w:multiLevelType w:val="hybridMultilevel"/>
    <w:tmpl w:val="B8365F0E"/>
    <w:lvl w:ilvl="0" w:tplc="A134B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327268"/>
    <w:multiLevelType w:val="multilevel"/>
    <w:tmpl w:val="A5F41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8B84510"/>
    <w:multiLevelType w:val="hybridMultilevel"/>
    <w:tmpl w:val="9714746E"/>
    <w:lvl w:ilvl="0" w:tplc="FFACF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77599"/>
    <w:multiLevelType w:val="hybridMultilevel"/>
    <w:tmpl w:val="262A5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81C1D"/>
    <w:multiLevelType w:val="hybridMultilevel"/>
    <w:tmpl w:val="DF90381E"/>
    <w:lvl w:ilvl="0" w:tplc="E39A0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5211D"/>
    <w:multiLevelType w:val="hybridMultilevel"/>
    <w:tmpl w:val="DF90381E"/>
    <w:lvl w:ilvl="0" w:tplc="E39A0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7023"/>
    <w:multiLevelType w:val="hybridMultilevel"/>
    <w:tmpl w:val="43C43DC2"/>
    <w:lvl w:ilvl="0" w:tplc="AC76BBF4">
      <w:start w:val="1"/>
      <w:numFmt w:val="decimal"/>
      <w:lvlText w:val="%1."/>
      <w:lvlJc w:val="left"/>
      <w:pPr>
        <w:ind w:left="22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7B385C5E"/>
    <w:multiLevelType w:val="hybridMultilevel"/>
    <w:tmpl w:val="75B4D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0"/>
    <w:rsid w:val="00001C0E"/>
    <w:rsid w:val="00035A73"/>
    <w:rsid w:val="0006090E"/>
    <w:rsid w:val="00071FCC"/>
    <w:rsid w:val="000A0DAD"/>
    <w:rsid w:val="000A653A"/>
    <w:rsid w:val="000B7076"/>
    <w:rsid w:val="00102ABE"/>
    <w:rsid w:val="001450C9"/>
    <w:rsid w:val="001574DE"/>
    <w:rsid w:val="00181CFF"/>
    <w:rsid w:val="00193FB9"/>
    <w:rsid w:val="001C4EE0"/>
    <w:rsid w:val="00213695"/>
    <w:rsid w:val="00246DA0"/>
    <w:rsid w:val="002733C0"/>
    <w:rsid w:val="0027566B"/>
    <w:rsid w:val="002A65B3"/>
    <w:rsid w:val="00312110"/>
    <w:rsid w:val="00360547"/>
    <w:rsid w:val="00371E9A"/>
    <w:rsid w:val="003C735E"/>
    <w:rsid w:val="003E6403"/>
    <w:rsid w:val="004030ED"/>
    <w:rsid w:val="00423313"/>
    <w:rsid w:val="00441F2C"/>
    <w:rsid w:val="004665C3"/>
    <w:rsid w:val="004819F3"/>
    <w:rsid w:val="004C4999"/>
    <w:rsid w:val="004C7FE0"/>
    <w:rsid w:val="005279BA"/>
    <w:rsid w:val="00545857"/>
    <w:rsid w:val="005515C2"/>
    <w:rsid w:val="0055480A"/>
    <w:rsid w:val="00567413"/>
    <w:rsid w:val="00602418"/>
    <w:rsid w:val="00631AB2"/>
    <w:rsid w:val="00654421"/>
    <w:rsid w:val="00655323"/>
    <w:rsid w:val="00675B8F"/>
    <w:rsid w:val="006D0463"/>
    <w:rsid w:val="007143B0"/>
    <w:rsid w:val="0075619C"/>
    <w:rsid w:val="00810158"/>
    <w:rsid w:val="00832557"/>
    <w:rsid w:val="0085440F"/>
    <w:rsid w:val="00854EF0"/>
    <w:rsid w:val="0086137A"/>
    <w:rsid w:val="00891F92"/>
    <w:rsid w:val="008B1F01"/>
    <w:rsid w:val="008C059D"/>
    <w:rsid w:val="00904588"/>
    <w:rsid w:val="0098705F"/>
    <w:rsid w:val="009A692F"/>
    <w:rsid w:val="009B702A"/>
    <w:rsid w:val="00A24DCE"/>
    <w:rsid w:val="00A554BE"/>
    <w:rsid w:val="00A92BAE"/>
    <w:rsid w:val="00A9355D"/>
    <w:rsid w:val="00AD3076"/>
    <w:rsid w:val="00B06B13"/>
    <w:rsid w:val="00B84ADD"/>
    <w:rsid w:val="00B948C1"/>
    <w:rsid w:val="00BC5A99"/>
    <w:rsid w:val="00BD7B14"/>
    <w:rsid w:val="00C0149F"/>
    <w:rsid w:val="00C134A6"/>
    <w:rsid w:val="00C17197"/>
    <w:rsid w:val="00C3761B"/>
    <w:rsid w:val="00C436F2"/>
    <w:rsid w:val="00C513FB"/>
    <w:rsid w:val="00C6703C"/>
    <w:rsid w:val="00CA1B65"/>
    <w:rsid w:val="00CB7004"/>
    <w:rsid w:val="00CC0728"/>
    <w:rsid w:val="00CC118F"/>
    <w:rsid w:val="00CF4D55"/>
    <w:rsid w:val="00CF7A80"/>
    <w:rsid w:val="00D030B4"/>
    <w:rsid w:val="00D034C3"/>
    <w:rsid w:val="00D1545D"/>
    <w:rsid w:val="00D5498D"/>
    <w:rsid w:val="00D62A98"/>
    <w:rsid w:val="00D92053"/>
    <w:rsid w:val="00D96B3D"/>
    <w:rsid w:val="00E14224"/>
    <w:rsid w:val="00E43E1F"/>
    <w:rsid w:val="00E66A19"/>
    <w:rsid w:val="00F14A06"/>
    <w:rsid w:val="00F260DC"/>
    <w:rsid w:val="00F82B66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E11F"/>
  <w15:docId w15:val="{09C30730-42BD-4D5A-B23B-4AC366BE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A8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CF7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F7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82B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2B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B6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171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5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4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4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AD307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3487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Vodolanová Ivana</dc:creator>
  <cp:keywords/>
  <dc:description/>
  <cp:lastModifiedBy>Drbalová Klára</cp:lastModifiedBy>
  <cp:revision>2</cp:revision>
  <cp:lastPrinted>2017-01-06T07:33:00Z</cp:lastPrinted>
  <dcterms:created xsi:type="dcterms:W3CDTF">2017-01-27T08:16:00Z</dcterms:created>
  <dcterms:modified xsi:type="dcterms:W3CDTF">2017-01-27T08:16:00Z</dcterms:modified>
</cp:coreProperties>
</file>