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6336F7">
              <w:rPr>
                <w:rFonts w:ascii="Calibri" w:hAnsi="Calibri"/>
                <w:sz w:val="28"/>
              </w:rPr>
              <w:t>1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6336F7" w:rsidRPr="006336F7">
              <w:rPr>
                <w:rFonts w:ascii="Calibri" w:hAnsi="Calibri" w:cs="Calibri"/>
                <w:b/>
              </w:rPr>
              <w:t>Oprava a sjednocení povrchu kleneb ve spoji budov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6336F7">
              <w:rPr>
                <w:rFonts w:ascii="Calibri" w:hAnsi="Calibri" w:cs="Calibri"/>
                <w:b/>
              </w:rPr>
              <w:t>Při napojování budov a doplnění klenby dle PD byl zjištěn nevyhovující stav stávajících kleneb stropu. Došlo k jejich opravě, aby byly stoprocentně funkční a opticky shodné s novou klenbou.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116B2E">
              <w:rPr>
                <w:rFonts w:ascii="Calibri" w:hAnsi="Calibri"/>
              </w:rPr>
              <w:t xml:space="preserve">specifikací:   </w:t>
            </w:r>
            <w:proofErr w:type="gramEnd"/>
            <w:r w:rsidRPr="00116B2E">
              <w:rPr>
                <w:rFonts w:ascii="Calibri" w:hAnsi="Calibri"/>
              </w:rPr>
              <w:t xml:space="preserve">              </w:t>
            </w:r>
            <w:r w:rsidR="00116B2E" w:rsidRPr="00116B2E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16B2E">
              <w:rPr>
                <w:rFonts w:ascii="Calibri" w:hAnsi="Calibri"/>
              </w:rPr>
            </w:r>
            <w:r w:rsidR="00116B2E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6336F7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6336F7" w:rsidRPr="009220A8" w:rsidRDefault="006336F7" w:rsidP="006336F7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6336F7">
                    <w:rPr>
                      <w:rFonts w:ascii="Calibri" w:hAnsi="Calibri" w:cs="Calibri"/>
                      <w:b/>
                    </w:rPr>
                    <w:t>Oprava a sjednocení povrchu kleneb ve spoji budov</w:t>
                  </w:r>
                </w:p>
                <w:p w:rsidR="00CD71CC" w:rsidRPr="000D7E15" w:rsidRDefault="006336F7" w:rsidP="006336F7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Při napojování budov a doplnění klenby dle PD byl zjištěn nevyhovující stav stávajících kleneb stropu. Došlo k jejich opravě, aby byly stoprocentně funkční a opticky shodné s novou klenbou.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116B2E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116B2E">
                    <w:rPr>
                      <w:rFonts w:ascii="Calibri" w:hAnsi="Calibri"/>
                    </w:rPr>
                    <w:t xml:space="preserve">specifikací:  </w:t>
                  </w:r>
                  <w:r w:rsidR="00116B2E" w:rsidRPr="00116B2E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FC31B7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6336F7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6 936,59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6336F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6 936,59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CB4AAD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104C3F"/>
    <w:rsid w:val="00116B2E"/>
    <w:rsid w:val="00124ABC"/>
    <w:rsid w:val="0015100F"/>
    <w:rsid w:val="00184E30"/>
    <w:rsid w:val="00227A26"/>
    <w:rsid w:val="002341BA"/>
    <w:rsid w:val="00293C5C"/>
    <w:rsid w:val="002B5184"/>
    <w:rsid w:val="002D6570"/>
    <w:rsid w:val="002E012D"/>
    <w:rsid w:val="00413F33"/>
    <w:rsid w:val="0042333B"/>
    <w:rsid w:val="00462FD2"/>
    <w:rsid w:val="004A5C11"/>
    <w:rsid w:val="00517DD1"/>
    <w:rsid w:val="00540DAC"/>
    <w:rsid w:val="0054676A"/>
    <w:rsid w:val="005520E0"/>
    <w:rsid w:val="00594E4B"/>
    <w:rsid w:val="005E6357"/>
    <w:rsid w:val="005F0B5A"/>
    <w:rsid w:val="006336F7"/>
    <w:rsid w:val="00665BAF"/>
    <w:rsid w:val="006C390D"/>
    <w:rsid w:val="006D46B8"/>
    <w:rsid w:val="007114B2"/>
    <w:rsid w:val="0074209F"/>
    <w:rsid w:val="00790976"/>
    <w:rsid w:val="007C0928"/>
    <w:rsid w:val="00812E8D"/>
    <w:rsid w:val="008B5096"/>
    <w:rsid w:val="008D3BD4"/>
    <w:rsid w:val="00906591"/>
    <w:rsid w:val="00920A2D"/>
    <w:rsid w:val="00922A9E"/>
    <w:rsid w:val="00927367"/>
    <w:rsid w:val="00997BCC"/>
    <w:rsid w:val="00AC57F7"/>
    <w:rsid w:val="00B139F4"/>
    <w:rsid w:val="00B46019"/>
    <w:rsid w:val="00BE644F"/>
    <w:rsid w:val="00CB4AAD"/>
    <w:rsid w:val="00CD71CC"/>
    <w:rsid w:val="00D60AC3"/>
    <w:rsid w:val="00DA5FA3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F6A1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2020-06-22T17:19:00Z</cp:lastPrinted>
  <dcterms:created xsi:type="dcterms:W3CDTF">2020-06-18T13:43:00Z</dcterms:created>
  <dcterms:modified xsi:type="dcterms:W3CDTF">2020-06-22T17:19:00Z</dcterms:modified>
</cp:coreProperties>
</file>