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4859C363" w:rsidR="00780343" w:rsidRPr="003B1E01" w:rsidRDefault="00E35E0A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 1</w:t>
      </w:r>
    </w:p>
    <w:p w14:paraId="2BF03212" w14:textId="1FAC1573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E35E0A" w:rsidRPr="00E35E0A">
        <w:rPr>
          <w:rFonts w:ascii="UnitPro-Light" w:hAnsi="UnitPro-Light" w:cs="UnitPro-Light"/>
          <w:b/>
          <w:sz w:val="20"/>
        </w:rPr>
        <w:t xml:space="preserve">20-0063.4 </w:t>
      </w:r>
      <w:r w:rsidR="00B03BDE" w:rsidRPr="00E35E0A">
        <w:rPr>
          <w:rFonts w:ascii="UnitPro-Light" w:hAnsi="UnitPro-Light" w:cs="UnitPro-Light"/>
          <w:b/>
          <w:sz w:val="20"/>
          <w:szCs w:val="20"/>
        </w:rPr>
        <w:t>z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>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E35E0A">
        <w:rPr>
          <w:rFonts w:ascii="UnitPro-Light" w:hAnsi="UnitPro-Light" w:cs="UnitPro-Light"/>
          <w:b/>
          <w:sz w:val="20"/>
          <w:szCs w:val="20"/>
        </w:rPr>
        <w:t>9. 6. 2020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E35E0A" w:rsidRPr="00E35E0A">
        <w:rPr>
          <w:rFonts w:ascii="UnitPro-Light" w:hAnsi="UnitPro-Light" w:cs="UnitPro-Light"/>
          <w:b/>
          <w:sz w:val="20"/>
          <w:szCs w:val="20"/>
        </w:rPr>
        <w:t>Stavebně technický průzkum přístupných nosných železobetonových konstrukcí objektu Emauzy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E35E0A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E35E0A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01AEF922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zastoupený:</w:t>
      </w:r>
      <w:r w:rsidR="00035F94" w:rsidRPr="00E35E0A">
        <w:rPr>
          <w:rFonts w:ascii="UnitPro-Light" w:hAnsi="UnitPro-Light" w:cs="UnitPro-Light"/>
          <w:sz w:val="20"/>
          <w:szCs w:val="20"/>
        </w:rPr>
        <w:t xml:space="preserve"> </w:t>
      </w:r>
      <w:r w:rsidR="0055783B" w:rsidRPr="00E35E0A">
        <w:rPr>
          <w:rFonts w:ascii="UnitPro-Light" w:hAnsi="UnitPro-Light" w:cs="UnitPro-Light"/>
          <w:sz w:val="20"/>
          <w:szCs w:val="20"/>
        </w:rPr>
        <w:t xml:space="preserve">Mgr. </w:t>
      </w:r>
      <w:r w:rsidR="0026139E" w:rsidRPr="00E35E0A">
        <w:rPr>
          <w:rFonts w:ascii="UnitPro-Light" w:hAnsi="UnitPro-Light" w:cs="UnitPro-Light"/>
          <w:sz w:val="20"/>
          <w:szCs w:val="20"/>
        </w:rPr>
        <w:t>Martinem Červeným</w:t>
      </w:r>
      <w:r w:rsidRPr="00E35E0A">
        <w:rPr>
          <w:rFonts w:ascii="UnitPro-Light" w:hAnsi="UnitPro-Light" w:cs="UnitPro-Light"/>
          <w:sz w:val="20"/>
          <w:szCs w:val="20"/>
        </w:rPr>
        <w:t>,</w:t>
      </w:r>
      <w:r w:rsidR="006714D3" w:rsidRPr="00E35E0A">
        <w:rPr>
          <w:rFonts w:ascii="UnitPro-Light" w:hAnsi="UnitPro-Light" w:cs="UnitPro-Light"/>
          <w:sz w:val="20"/>
          <w:szCs w:val="20"/>
        </w:rPr>
        <w:t xml:space="preserve"> zástupcem</w:t>
      </w:r>
      <w:r w:rsidRPr="00E35E0A">
        <w:rPr>
          <w:rFonts w:ascii="UnitPro-Light" w:hAnsi="UnitPro-Light" w:cs="UnitPro-Light"/>
          <w:sz w:val="20"/>
          <w:szCs w:val="20"/>
        </w:rPr>
        <w:t xml:space="preserve"> </w:t>
      </w:r>
      <w:r w:rsidR="00B971C4" w:rsidRPr="00E35E0A">
        <w:rPr>
          <w:rFonts w:ascii="UnitPro-Light" w:hAnsi="UnitPro-Light" w:cs="UnitPro-Light"/>
          <w:sz w:val="20"/>
          <w:szCs w:val="20"/>
        </w:rPr>
        <w:t>ředitele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393675A2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B06A11">
        <w:rPr>
          <w:rFonts w:ascii="UnitPro-Light" w:hAnsi="UnitPro-Light" w:cs="UnitPro-Light"/>
          <w:sz w:val="20"/>
          <w:szCs w:val="20"/>
        </w:rPr>
        <w:t>xxxxxxxx</w:t>
      </w:r>
      <w:proofErr w:type="spellEnd"/>
    </w:p>
    <w:p w14:paraId="54BA1AF7" w14:textId="676486B7" w:rsidR="00780343" w:rsidRPr="003B1E01" w:rsidRDefault="00780343" w:rsidP="00BE65F0">
      <w:pPr>
        <w:spacing w:after="0"/>
        <w:rPr>
          <w:rFonts w:ascii="UnitPro-Light" w:hAnsi="UnitPro-Light" w:cs="UnitPro-Light"/>
          <w:sz w:val="20"/>
          <w:szCs w:val="20"/>
        </w:rPr>
      </w:pPr>
      <w:proofErr w:type="spellStart"/>
      <w:proofErr w:type="gramStart"/>
      <w:r w:rsidRPr="003B1E01">
        <w:rPr>
          <w:rFonts w:ascii="UnitPro-Light" w:hAnsi="UnitPro-Light" w:cs="UnitPro-Light"/>
          <w:sz w:val="20"/>
          <w:szCs w:val="20"/>
        </w:rPr>
        <w:t>č.ú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.:</w:t>
      </w:r>
      <w:proofErr w:type="gramEnd"/>
      <w:r w:rsidRPr="003B1E01">
        <w:rPr>
          <w:rFonts w:ascii="UnitPro-Light" w:hAnsi="UnitPro-Light" w:cs="UnitPro-Light"/>
          <w:sz w:val="20"/>
          <w:szCs w:val="20"/>
        </w:rPr>
        <w:t xml:space="preserve"> </w:t>
      </w:r>
      <w:proofErr w:type="spellStart"/>
      <w:r w:rsidR="00B06A11">
        <w:rPr>
          <w:rFonts w:ascii="UnitPro-Light" w:hAnsi="UnitPro-Light" w:cs="UnitPro-Light"/>
          <w:sz w:val="20"/>
          <w:szCs w:val="20"/>
        </w:rPr>
        <w:t>xxxxxxxxxxxx</w:t>
      </w:r>
      <w:proofErr w:type="spell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BEF80F2" w14:textId="0A5DE279" w:rsidR="00E35E0A" w:rsidRPr="00E35E0A" w:rsidRDefault="00E35E0A" w:rsidP="00E35E0A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E35E0A">
        <w:rPr>
          <w:rFonts w:ascii="UnitPro-Light" w:hAnsi="UnitPro-Light" w:cs="UnitPro-Light"/>
          <w:b/>
          <w:sz w:val="20"/>
          <w:szCs w:val="20"/>
        </w:rPr>
        <w:t>EXCON, a.s.</w:t>
      </w:r>
    </w:p>
    <w:p w14:paraId="6E32AA0A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zastoupený: Ing. Miloslavem Lukešem, členem představenstva</w:t>
      </w:r>
    </w:p>
    <w:p w14:paraId="28B23194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sídlo: Sokolovská 187/203, 190 00 Praha 9 - Vysočany</w:t>
      </w:r>
    </w:p>
    <w:p w14:paraId="5724BCA0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zapsaný: v obchodním rejstříku vedeném Městským soudem v Praze, oddíl B vložka 88</w:t>
      </w:r>
    </w:p>
    <w:p w14:paraId="3765395E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IČO: 005 06 729</w:t>
      </w:r>
    </w:p>
    <w:p w14:paraId="41568C90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DIČ:  CZ 005 06 729</w:t>
      </w:r>
    </w:p>
    <w:p w14:paraId="305B39BE" w14:textId="4BBE90EB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B06A11">
        <w:rPr>
          <w:rFonts w:ascii="UnitPro-Light" w:hAnsi="UnitPro-Light" w:cs="UnitPro-Light"/>
          <w:sz w:val="20"/>
          <w:szCs w:val="20"/>
        </w:rPr>
        <w:t>xxxxxxxxxx</w:t>
      </w:r>
      <w:proofErr w:type="spellEnd"/>
    </w:p>
    <w:p w14:paraId="36C3082A" w14:textId="5162D8C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číslo účtu</w:t>
      </w:r>
      <w:r w:rsidR="00B06A11">
        <w:rPr>
          <w:rFonts w:ascii="UnitPro-Light" w:hAnsi="UnitPro-Light" w:cs="UnitPro-Light"/>
          <w:sz w:val="20"/>
          <w:szCs w:val="20"/>
        </w:rPr>
        <w:t xml:space="preserve">: </w:t>
      </w:r>
      <w:proofErr w:type="spellStart"/>
      <w:r w:rsidR="00B06A11">
        <w:rPr>
          <w:rFonts w:ascii="UnitPro-Light" w:hAnsi="UnitPro-Light" w:cs="UnitPro-Light"/>
          <w:sz w:val="20"/>
          <w:szCs w:val="20"/>
        </w:rPr>
        <w:t>xxxxxxxxxxxxx</w:t>
      </w:r>
      <w:proofErr w:type="spellEnd"/>
    </w:p>
    <w:p w14:paraId="731CFA70" w14:textId="77777777" w:rsidR="00E35E0A" w:rsidRPr="00E35E0A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zhotovitel je plátcem DPH</w:t>
      </w:r>
    </w:p>
    <w:p w14:paraId="6A3BCD3E" w14:textId="39C089F5" w:rsidR="00231B5B" w:rsidRPr="003B1E01" w:rsidRDefault="00E35E0A" w:rsidP="00E35E0A">
      <w:pPr>
        <w:spacing w:after="0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sz w:val="20"/>
          <w:szCs w:val="20"/>
        </w:rPr>
        <w:t>(dále jen „</w:t>
      </w:r>
      <w:r w:rsidRPr="00E35E0A">
        <w:rPr>
          <w:rFonts w:ascii="UnitPro-Light" w:hAnsi="UnitPro-Light" w:cs="UnitPro-Light"/>
          <w:b/>
          <w:sz w:val="20"/>
          <w:szCs w:val="20"/>
        </w:rPr>
        <w:t>zhotovitel</w:t>
      </w:r>
      <w:r w:rsidRPr="00E35E0A">
        <w:rPr>
          <w:rFonts w:ascii="UnitPro-Light" w:hAnsi="UnitPro-Light" w:cs="UnitPro-Light"/>
          <w:sz w:val="20"/>
          <w:szCs w:val="20"/>
        </w:rPr>
        <w:t>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124231A6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E35E0A">
        <w:rPr>
          <w:rFonts w:ascii="UnitPro-Light" w:hAnsi="UnitPro-Light" w:cs="UnitPro-Light"/>
          <w:b/>
          <w:sz w:val="20"/>
          <w:szCs w:val="20"/>
        </w:rPr>
        <w:t xml:space="preserve">Dodatek č. 1 ke </w:t>
      </w:r>
      <w:r w:rsidR="006759AB" w:rsidRPr="00E35E0A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E35E0A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E35E0A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E35E0A" w:rsidRPr="00E35E0A">
        <w:rPr>
          <w:rFonts w:ascii="UnitPro-Light" w:hAnsi="UnitPro-Light" w:cs="UnitPro-Light"/>
          <w:b/>
          <w:sz w:val="20"/>
          <w:szCs w:val="20"/>
        </w:rPr>
        <w:t xml:space="preserve"> 20-0063.4 </w:t>
      </w:r>
      <w:r w:rsidR="00B265B4" w:rsidRPr="00E35E0A">
        <w:rPr>
          <w:rFonts w:ascii="UnitPro-Light" w:hAnsi="UnitPro-Light" w:cs="UnitPro-Light"/>
          <w:b/>
          <w:sz w:val="20"/>
          <w:szCs w:val="20"/>
        </w:rPr>
        <w:t xml:space="preserve">ze dne </w:t>
      </w:r>
      <w:r w:rsidR="00E35E0A" w:rsidRPr="00E35E0A">
        <w:rPr>
          <w:rFonts w:ascii="UnitPro-Light" w:hAnsi="UnitPro-Light" w:cs="UnitPro-Light"/>
          <w:b/>
          <w:sz w:val="20"/>
          <w:szCs w:val="20"/>
        </w:rPr>
        <w:t>9. 6. 2020</w:t>
      </w:r>
      <w:r w:rsidR="00E35E0A" w:rsidRPr="00E35E0A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23AE4892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646DD11B" w14:textId="465D63EC" w:rsidR="007B6DBB" w:rsidRPr="003B1E01" w:rsidRDefault="001E7B9C" w:rsidP="00835B76">
      <w:pPr>
        <w:spacing w:after="12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3B1E01">
        <w:rPr>
          <w:rFonts w:ascii="UnitPro-Light" w:hAnsi="UnitPro-Light" w:cs="UnitPro-Light"/>
          <w:sz w:val="20"/>
          <w:szCs w:val="20"/>
        </w:rPr>
        <w:t>uzavřely</w:t>
      </w:r>
      <w:r w:rsidRPr="003B1E01">
        <w:rPr>
          <w:rFonts w:ascii="UnitPro-Light" w:hAnsi="UnitPro-Light" w:cs="UnitPro-Light"/>
          <w:sz w:val="20"/>
          <w:szCs w:val="20"/>
        </w:rPr>
        <w:t xml:space="preserve"> dne </w:t>
      </w:r>
      <w:r w:rsidR="00E35E0A" w:rsidRPr="00E35E0A">
        <w:rPr>
          <w:rFonts w:ascii="UnitPro-Light" w:hAnsi="UnitPro-Light" w:cs="UnitPro-Light"/>
          <w:sz w:val="20"/>
          <w:szCs w:val="20"/>
        </w:rPr>
        <w:t xml:space="preserve">9. 6. </w:t>
      </w:r>
      <w:r w:rsidR="00E35E0A" w:rsidRPr="000A6380">
        <w:rPr>
          <w:rFonts w:ascii="UnitPro-Light" w:hAnsi="UnitPro-Light" w:cs="UnitPro-Light"/>
          <w:sz w:val="20"/>
          <w:szCs w:val="20"/>
        </w:rPr>
        <w:t xml:space="preserve">2020 </w:t>
      </w:r>
      <w:r w:rsidRPr="000A6380">
        <w:rPr>
          <w:rFonts w:ascii="UnitPro-Light" w:hAnsi="UnitPro-Light" w:cs="UnitPro-Light"/>
          <w:sz w:val="20"/>
          <w:szCs w:val="20"/>
        </w:rPr>
        <w:t xml:space="preserve">smlouvu </w:t>
      </w:r>
      <w:r w:rsidR="00013D23" w:rsidRPr="000A6380">
        <w:rPr>
          <w:rFonts w:ascii="UnitPro-Light" w:hAnsi="UnitPro-Light" w:cs="UnitPro-Light"/>
          <w:sz w:val="20"/>
          <w:szCs w:val="20"/>
        </w:rPr>
        <w:t xml:space="preserve">o dílo </w:t>
      </w:r>
      <w:r w:rsidRPr="000A6380">
        <w:rPr>
          <w:rFonts w:ascii="UnitPro-Light" w:hAnsi="UnitPro-Light" w:cs="UnitPro-Light"/>
          <w:sz w:val="20"/>
          <w:szCs w:val="20"/>
        </w:rPr>
        <w:t xml:space="preserve">ZAK </w:t>
      </w:r>
      <w:r w:rsidR="00E35E0A" w:rsidRPr="000A6380">
        <w:rPr>
          <w:rFonts w:ascii="UnitPro-Light" w:hAnsi="UnitPro-Light" w:cs="UnitPro-Light"/>
          <w:sz w:val="20"/>
          <w:szCs w:val="20"/>
        </w:rPr>
        <w:t>20-0063.4</w:t>
      </w:r>
      <w:r w:rsidRPr="000A6380">
        <w:rPr>
          <w:rFonts w:ascii="UnitPro-Light" w:hAnsi="UnitPro-Light" w:cs="UnitPro-Light"/>
          <w:sz w:val="20"/>
          <w:szCs w:val="20"/>
        </w:rPr>
        <w:t>“ (dále jen</w:t>
      </w:r>
      <w:r w:rsidRPr="003B1E01">
        <w:rPr>
          <w:rFonts w:ascii="UnitPro-Light" w:hAnsi="UnitPro-Light" w:cs="UnitPro-Light"/>
          <w:sz w:val="20"/>
          <w:szCs w:val="20"/>
        </w:rPr>
        <w:t xml:space="preserve"> „smlouva“).</w:t>
      </w:r>
    </w:p>
    <w:p w14:paraId="52C0CE74" w14:textId="77777777" w:rsidR="006F3997" w:rsidRPr="003B1E01" w:rsidRDefault="006F3997" w:rsidP="00835B76">
      <w:pPr>
        <w:spacing w:after="120"/>
        <w:jc w:val="both"/>
        <w:rPr>
          <w:rFonts w:ascii="UnitPro-Light" w:hAnsi="UnitPro-Light" w:cs="UnitPro-Light"/>
          <w:sz w:val="20"/>
          <w:szCs w:val="20"/>
        </w:rPr>
      </w:pP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06956A2D" w14:textId="3E3FE9D0" w:rsidR="000A6380" w:rsidRPr="000A34E9" w:rsidRDefault="004A30FA" w:rsidP="000A34E9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0A6380">
        <w:rPr>
          <w:rFonts w:ascii="UnitPro-Light" w:eastAsia="Times New Roman" w:hAnsi="UnitPro-Light" w:cs="UnitPro-Light"/>
          <w:sz w:val="20"/>
          <w:szCs w:val="20"/>
        </w:rPr>
        <w:t xml:space="preserve">Smluvní strany se dohodly, že </w:t>
      </w:r>
      <w:r w:rsidR="00AE5C87" w:rsidRPr="000A6380">
        <w:rPr>
          <w:rFonts w:ascii="UnitPro-Light" w:eastAsia="Times New Roman" w:hAnsi="UnitPro-Light" w:cs="UnitPro-Light"/>
          <w:sz w:val="20"/>
          <w:szCs w:val="20"/>
        </w:rPr>
        <w:t>č</w:t>
      </w:r>
      <w:r w:rsidRPr="000A6380">
        <w:rPr>
          <w:rFonts w:ascii="UnitPro-Light" w:eastAsia="Times New Roman" w:hAnsi="UnitPro-Light" w:cs="UnitPro-Light"/>
          <w:sz w:val="20"/>
          <w:szCs w:val="20"/>
        </w:rPr>
        <w:t xml:space="preserve">l. </w:t>
      </w:r>
      <w:r w:rsidR="006759AB" w:rsidRPr="000A6380">
        <w:rPr>
          <w:rFonts w:ascii="UnitPro-Light" w:eastAsia="Times New Roman" w:hAnsi="UnitPro-Light" w:cs="UnitPro-Light"/>
          <w:sz w:val="20"/>
          <w:szCs w:val="20"/>
        </w:rPr>
        <w:t>I</w:t>
      </w:r>
      <w:r w:rsidR="001770A6" w:rsidRPr="000A6380">
        <w:rPr>
          <w:rFonts w:ascii="UnitPro-Light" w:eastAsia="Times New Roman" w:hAnsi="UnitPro-Light" w:cs="UnitPro-Light"/>
          <w:sz w:val="20"/>
          <w:szCs w:val="20"/>
        </w:rPr>
        <w:t>.</w:t>
      </w:r>
      <w:r w:rsidR="0055783B" w:rsidRPr="000A6380">
        <w:rPr>
          <w:rFonts w:ascii="UnitPro-Light" w:hAnsi="UnitPro-Light" w:cs="UnitPro-Light"/>
          <w:sz w:val="20"/>
          <w:szCs w:val="20"/>
        </w:rPr>
        <w:t xml:space="preserve"> odst.</w:t>
      </w:r>
      <w:r w:rsidR="0055783B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0A6380">
        <w:rPr>
          <w:rFonts w:ascii="UnitPro-Light" w:hAnsi="UnitPro-Light" w:cs="UnitPro-Light"/>
          <w:sz w:val="20"/>
          <w:szCs w:val="20"/>
        </w:rPr>
        <w:t>2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="00D15DCF" w:rsidRPr="003B1E01">
        <w:rPr>
          <w:rFonts w:ascii="UnitPro-Light" w:hAnsi="UnitPro-Light" w:cs="UnitPro-Light"/>
          <w:sz w:val="20"/>
          <w:szCs w:val="20"/>
        </w:rPr>
        <w:t xml:space="preserve">mlouvy </w:t>
      </w:r>
      <w:r w:rsidR="00D00F18" w:rsidRPr="003B1E01">
        <w:rPr>
          <w:rFonts w:ascii="UnitPro-Light" w:hAnsi="UnitPro-Light" w:cs="UnitPro-Light"/>
          <w:sz w:val="20"/>
          <w:szCs w:val="20"/>
        </w:rPr>
        <w:t>s</w:t>
      </w:r>
      <w:r w:rsidR="00071C22" w:rsidRPr="003B1E01">
        <w:rPr>
          <w:rFonts w:ascii="UnitPro-Light" w:hAnsi="UnitPro-Light" w:cs="UnitPro-Light"/>
          <w:sz w:val="20"/>
          <w:szCs w:val="20"/>
        </w:rPr>
        <w:t>e s</w:t>
      </w:r>
      <w:r w:rsidR="00D00F18" w:rsidRPr="003B1E01">
        <w:rPr>
          <w:rFonts w:ascii="UnitPro-Light" w:hAnsi="UnitPro-Light" w:cs="UnitPro-Light"/>
          <w:sz w:val="20"/>
          <w:szCs w:val="20"/>
        </w:rPr>
        <w:t xml:space="preserve"> účinností tohoto dodatku </w:t>
      </w:r>
      <w:r w:rsidR="00071C22" w:rsidRPr="003B1E01">
        <w:rPr>
          <w:rFonts w:ascii="UnitPro-Light" w:hAnsi="UnitPro-Light" w:cs="UnitPro-Light"/>
          <w:sz w:val="20"/>
          <w:szCs w:val="20"/>
        </w:rPr>
        <w:t>nahrazuje následujícím zněním</w:t>
      </w:r>
      <w:r w:rsidR="008409D5" w:rsidRPr="003B1E01">
        <w:rPr>
          <w:rFonts w:ascii="UnitPro-Light" w:hAnsi="UnitPro-Light" w:cs="UnitPro-Light"/>
          <w:sz w:val="20"/>
          <w:szCs w:val="20"/>
        </w:rPr>
        <w:t xml:space="preserve">: </w:t>
      </w:r>
    </w:p>
    <w:p w14:paraId="7B6D666F" w14:textId="258E7C7F" w:rsidR="000A6380" w:rsidRPr="000A6380" w:rsidRDefault="000A6380" w:rsidP="000A6380">
      <w:pPr>
        <w:pStyle w:val="Zkladntextodsazen21"/>
        <w:spacing w:line="276" w:lineRule="auto"/>
        <w:ind w:left="0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 </w:t>
      </w:r>
      <w:r w:rsidR="008409D5" w:rsidRPr="000A6380">
        <w:rPr>
          <w:rFonts w:ascii="UnitPro-Light" w:eastAsiaTheme="minorEastAsia" w:hAnsi="UnitPro-Light" w:cs="UnitPro-Light"/>
          <w:sz w:val="20"/>
          <w:szCs w:val="20"/>
        </w:rPr>
        <w:t>„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>Předmět plnění této smlouvy bude proveden v tomto rozsahu:</w:t>
      </w:r>
    </w:p>
    <w:p w14:paraId="2EFFAAD5" w14:textId="28373595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>Prostudování dostupné dokumentace, stanovení rozsahu a způsobu provedení STP</w:t>
      </w:r>
      <w:r w:rsidR="00B14848">
        <w:rPr>
          <w:rFonts w:ascii="UnitPro-Light" w:eastAsiaTheme="minorEastAsia" w:hAnsi="UnitPro-Light" w:cs="UnitPro-Light"/>
          <w:sz w:val="20"/>
          <w:szCs w:val="20"/>
        </w:rPr>
        <w:t xml:space="preserve"> – v rozsahu 4 hodiny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>.</w:t>
      </w:r>
    </w:p>
    <w:p w14:paraId="2149869F" w14:textId="49650B32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Ověření pevnosti betonu nedestruktivně </w:t>
      </w:r>
      <w:r w:rsidR="00B14848">
        <w:rPr>
          <w:rFonts w:ascii="UnitPro-Light" w:eastAsiaTheme="minorEastAsia" w:hAnsi="UnitPro-Light" w:cs="UnitPro-Light"/>
          <w:sz w:val="20"/>
          <w:szCs w:val="20"/>
        </w:rPr>
        <w:t xml:space="preserve">pomocí Schmidtova tvrdoměru 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>na 39-ti místech.</w:t>
      </w:r>
    </w:p>
    <w:p w14:paraId="1CBE420D" w14:textId="1DCB6CEC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Stanovení pevnosti </w:t>
      </w:r>
      <w:r w:rsidR="00B14848">
        <w:rPr>
          <w:rFonts w:ascii="UnitPro-Light" w:eastAsiaTheme="minorEastAsia" w:hAnsi="UnitPro-Light" w:cs="UnitPro-Light"/>
          <w:sz w:val="20"/>
          <w:szCs w:val="20"/>
        </w:rPr>
        <w:t>betonu na jádrových vývrtech (9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 ks)</w:t>
      </w:r>
    </w:p>
    <w:p w14:paraId="49F8C0B8" w14:textId="77777777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>Odběr jádrových vývrtů pro chemické rozbory (6 ks)</w:t>
      </w:r>
    </w:p>
    <w:p w14:paraId="67061E12" w14:textId="77777777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lastRenderedPageBreak/>
        <w:t>Ověření chemických charakteristik betonu na šesti jádrových vývrtech.</w:t>
      </w:r>
    </w:p>
    <w:p w14:paraId="70BC8076" w14:textId="7B16664A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Vyhledání a stanovení rozmístění výztuže nedestruktivně </w:t>
      </w:r>
      <w:r w:rsidR="00B14848">
        <w:rPr>
          <w:rFonts w:ascii="UnitPro-Light" w:eastAsiaTheme="minorEastAsia" w:hAnsi="UnitPro-Light" w:cs="UnitPro-Light"/>
          <w:sz w:val="20"/>
          <w:szCs w:val="20"/>
        </w:rPr>
        <w:t>dle ČSN 73 2011 na 9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>-ti místech.</w:t>
      </w:r>
    </w:p>
    <w:p w14:paraId="0A992C9A" w14:textId="237A84C6" w:rsid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>Výpočet zaručené pevnosti betonu konstrukce.</w:t>
      </w:r>
    </w:p>
    <w:p w14:paraId="29A9C937" w14:textId="021BC480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Vyhledání a stanovení rozmístění výztuže nedestruktivně </w:t>
      </w:r>
      <w:r w:rsidR="000A34E9">
        <w:rPr>
          <w:rFonts w:ascii="UnitPro-Light" w:eastAsiaTheme="minorEastAsia" w:hAnsi="UnitPro-Light" w:cs="UnitPro-Light"/>
          <w:sz w:val="20"/>
          <w:szCs w:val="20"/>
        </w:rPr>
        <w:t xml:space="preserve">v 16 bodech </w:t>
      </w: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pomocí </w:t>
      </w:r>
      <w:proofErr w:type="spellStart"/>
      <w:r w:rsidRPr="000A6380">
        <w:rPr>
          <w:rFonts w:ascii="UnitPro-Light" w:eastAsiaTheme="minorEastAsia" w:hAnsi="UnitPro-Light" w:cs="UnitPro-Light"/>
          <w:sz w:val="20"/>
          <w:szCs w:val="20"/>
        </w:rPr>
        <w:t>Hilti</w:t>
      </w:r>
      <w:proofErr w:type="spellEnd"/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 X-</w:t>
      </w:r>
      <w:proofErr w:type="spellStart"/>
      <w:r w:rsidRPr="000A6380">
        <w:rPr>
          <w:rFonts w:ascii="UnitPro-Light" w:eastAsiaTheme="minorEastAsia" w:hAnsi="UnitPro-Light" w:cs="UnitPro-Light"/>
          <w:sz w:val="20"/>
          <w:szCs w:val="20"/>
        </w:rPr>
        <w:t>Scan</w:t>
      </w:r>
      <w:proofErr w:type="spellEnd"/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 PS 1000</w:t>
      </w:r>
      <w:r w:rsidR="000A34E9">
        <w:rPr>
          <w:rFonts w:ascii="UnitPro-Light" w:eastAsiaTheme="minorEastAsia" w:hAnsi="UnitPro-Light" w:cs="UnitPro-Light"/>
          <w:sz w:val="20"/>
          <w:szCs w:val="20"/>
        </w:rPr>
        <w:t>.</w:t>
      </w:r>
    </w:p>
    <w:p w14:paraId="3150BBA1" w14:textId="77777777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>Provedení 3 ks bouraných a kopaných sond pro ověření tvaru základů sloupů včetně zpětného zapravení.</w:t>
      </w:r>
    </w:p>
    <w:p w14:paraId="013AE55C" w14:textId="517CCED9" w:rsidR="000A6380" w:rsidRPr="000A6380" w:rsidRDefault="00064BE2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>
        <w:rPr>
          <w:rFonts w:ascii="UnitPro-Light" w:eastAsiaTheme="minorEastAsia" w:hAnsi="UnitPro-Light" w:cs="UnitPro-Light"/>
          <w:sz w:val="20"/>
          <w:szCs w:val="20"/>
        </w:rPr>
        <w:t>Provedení 12</w:t>
      </w:r>
      <w:r w:rsidR="000A6380" w:rsidRPr="000A6380">
        <w:rPr>
          <w:rFonts w:ascii="UnitPro-Light" w:eastAsiaTheme="minorEastAsia" w:hAnsi="UnitPro-Light" w:cs="UnitPro-Light"/>
          <w:sz w:val="20"/>
          <w:szCs w:val="20"/>
        </w:rPr>
        <w:t xml:space="preserve"> ks bouraných sond pro ověření rozmístění průměrů výztuže včetně zpětného zapravení.</w:t>
      </w:r>
    </w:p>
    <w:p w14:paraId="4B7DB40B" w14:textId="77777777" w:rsidR="000A6380" w:rsidRPr="000A6380" w:rsidRDefault="000A6380" w:rsidP="000A6380">
      <w:pPr>
        <w:pStyle w:val="Zkladntextodsazen21"/>
        <w:numPr>
          <w:ilvl w:val="0"/>
          <w:numId w:val="14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Zpracování </w:t>
      </w:r>
      <w:proofErr w:type="gramStart"/>
      <w:r w:rsidRPr="000A6380">
        <w:rPr>
          <w:rFonts w:ascii="UnitPro-Light" w:eastAsiaTheme="minorEastAsia" w:hAnsi="UnitPro-Light" w:cs="UnitPro-Light"/>
          <w:sz w:val="20"/>
          <w:szCs w:val="20"/>
        </w:rPr>
        <w:t>zprávy z STP</w:t>
      </w:r>
      <w:proofErr w:type="gramEnd"/>
    </w:p>
    <w:p w14:paraId="3070D7A0" w14:textId="77777777" w:rsidR="000A6380" w:rsidRPr="000A6380" w:rsidRDefault="000A6380" w:rsidP="000A6380">
      <w:pPr>
        <w:pStyle w:val="Zkladntextodsazen21"/>
        <w:numPr>
          <w:ilvl w:val="1"/>
          <w:numId w:val="13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>Počty vyhotovení v listinné formě: 3 (v českém jazyce)</w:t>
      </w:r>
    </w:p>
    <w:p w14:paraId="3B9FDFD4" w14:textId="26DCF3FC" w:rsidR="008409D5" w:rsidRPr="000A6380" w:rsidRDefault="000A6380" w:rsidP="00835B76">
      <w:pPr>
        <w:pStyle w:val="Zkladntextodsazen21"/>
        <w:numPr>
          <w:ilvl w:val="1"/>
          <w:numId w:val="13"/>
        </w:numPr>
        <w:spacing w:line="276" w:lineRule="auto"/>
        <w:jc w:val="both"/>
        <w:rPr>
          <w:rFonts w:ascii="UnitPro-Light" w:eastAsiaTheme="minorEastAsia" w:hAnsi="UnitPro-Light" w:cs="UnitPro-Light"/>
          <w:sz w:val="20"/>
          <w:szCs w:val="20"/>
        </w:rPr>
      </w:pPr>
      <w:r w:rsidRPr="000A6380">
        <w:rPr>
          <w:rFonts w:ascii="UnitPro-Light" w:eastAsiaTheme="minorEastAsia" w:hAnsi="UnitPro-Light" w:cs="UnitPro-Light"/>
          <w:sz w:val="20"/>
          <w:szCs w:val="20"/>
        </w:rPr>
        <w:t xml:space="preserve">Počty vyhotovení v digitální formě:  1 x ve </w:t>
      </w:r>
      <w:proofErr w:type="gramStart"/>
      <w:r w:rsidRPr="000A6380">
        <w:rPr>
          <w:rFonts w:ascii="UnitPro-Light" w:eastAsiaTheme="minorEastAsia" w:hAnsi="UnitPro-Light" w:cs="UnitPro-Light"/>
          <w:sz w:val="20"/>
          <w:szCs w:val="20"/>
        </w:rPr>
        <w:t>formátu</w:t>
      </w:r>
      <w:r>
        <w:rPr>
          <w:rFonts w:ascii="UnitPro-Light" w:eastAsiaTheme="minorEastAsia" w:hAnsi="UnitPro-Light" w:cs="UnitPro-Light"/>
          <w:sz w:val="20"/>
          <w:szCs w:val="20"/>
        </w:rPr>
        <w:t xml:space="preserve"> .</w:t>
      </w:r>
      <w:proofErr w:type="spellStart"/>
      <w:r>
        <w:rPr>
          <w:rFonts w:ascii="UnitPro-Light" w:eastAsiaTheme="minorEastAsia" w:hAnsi="UnitPro-Light" w:cs="UnitPro-Light"/>
          <w:sz w:val="20"/>
          <w:szCs w:val="20"/>
        </w:rPr>
        <w:t>pdf</w:t>
      </w:r>
      <w:proofErr w:type="spellEnd"/>
      <w:proofErr w:type="gramEnd"/>
      <w:r w:rsidR="008409D5" w:rsidRPr="000A6380">
        <w:rPr>
          <w:rFonts w:ascii="UnitPro-Light" w:eastAsiaTheme="minorEastAsia" w:hAnsi="UnitPro-Light" w:cs="UnitPro-Light"/>
          <w:sz w:val="20"/>
          <w:szCs w:val="20"/>
        </w:rPr>
        <w:t>“</w:t>
      </w:r>
      <w:r w:rsidR="00C2756A" w:rsidRPr="000A6380">
        <w:rPr>
          <w:rFonts w:ascii="UnitPro-Light" w:eastAsiaTheme="minorEastAsia" w:hAnsi="UnitPro-Light" w:cs="UnitPro-Light"/>
          <w:sz w:val="20"/>
          <w:szCs w:val="20"/>
        </w:rPr>
        <w:t>.</w:t>
      </w:r>
    </w:p>
    <w:p w14:paraId="6688E0D2" w14:textId="77777777" w:rsidR="000A6380" w:rsidRPr="003B1E01" w:rsidRDefault="000A6380" w:rsidP="000A6380">
      <w:pPr>
        <w:spacing w:after="120"/>
        <w:rPr>
          <w:rFonts w:ascii="UnitPro-Light" w:hAnsi="UnitPro-Light" w:cs="UnitPro-Light"/>
          <w:b/>
          <w:sz w:val="20"/>
          <w:szCs w:val="20"/>
        </w:rPr>
      </w:pPr>
    </w:p>
    <w:p w14:paraId="68329CE2" w14:textId="03475BDB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68912A9C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bookmarkStart w:id="0" w:name="_GoBack"/>
      <w:bookmarkEnd w:id="0"/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598872D2" w:rsidR="00013D23" w:rsidRPr="00BB465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BB465A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 uveřejnění v registru smluv automaticky vygenerované správcem registru smluv do své datové schránky/var. pro OSVČ/FO Objednatel informuje zhotovitele o splnění této povinnosti</w:t>
      </w:r>
      <w:r w:rsidR="00013D23" w:rsidRPr="00BB465A">
        <w:rPr>
          <w:rFonts w:ascii="UnitPro-Light" w:hAnsi="UnitPro-Light" w:cs="UnitPro-Light"/>
          <w:sz w:val="20"/>
          <w:szCs w:val="20"/>
        </w:rPr>
        <w:t>.</w:t>
      </w:r>
    </w:p>
    <w:p w14:paraId="295C86E2" w14:textId="6EB8EBF4" w:rsidR="00013D23" w:rsidRPr="00BB465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BB465A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BB465A">
        <w:rPr>
          <w:rFonts w:ascii="UnitPro-Light" w:hAnsi="UnitPro-Light" w:cs="UnitPro-Light"/>
          <w:sz w:val="20"/>
          <w:szCs w:val="20"/>
        </w:rPr>
        <w:t> tomto dodatku</w:t>
      </w:r>
      <w:r w:rsidR="007B77BE" w:rsidRPr="00BB465A">
        <w:rPr>
          <w:rFonts w:ascii="UnitPro-Light" w:hAnsi="UnitPro-Light" w:cs="UnitPro-Light"/>
          <w:sz w:val="20"/>
          <w:szCs w:val="20"/>
        </w:rPr>
        <w:t xml:space="preserve"> </w:t>
      </w:r>
      <w:r w:rsidRPr="00BB465A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6DC47685" w14:textId="5B37D368" w:rsidR="00A935CF" w:rsidRPr="000A6380" w:rsidRDefault="007B6DBB" w:rsidP="000A6380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BB465A">
        <w:rPr>
          <w:rFonts w:ascii="UnitPro-Light" w:hAnsi="UnitPro-Light" w:cs="UnitPro-Light"/>
          <w:sz w:val="20"/>
          <w:szCs w:val="20"/>
        </w:rPr>
        <w:t>Dodatek</w:t>
      </w:r>
      <w:r w:rsidR="00C94D31" w:rsidRPr="00BB465A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BB465A">
        <w:rPr>
          <w:rFonts w:ascii="UnitPro-Light" w:hAnsi="UnitPro-Light" w:cs="UnitPro-Light"/>
          <w:sz w:val="20"/>
          <w:szCs w:val="20"/>
        </w:rPr>
        <w:t xml:space="preserve"> </w:t>
      </w:r>
      <w:r w:rsidR="00EA711E" w:rsidRPr="003B1E01">
        <w:rPr>
          <w:rFonts w:ascii="UnitPro-Light" w:hAnsi="UnitPro-Light" w:cs="UnitPro-Light"/>
          <w:sz w:val="20"/>
          <w:szCs w:val="20"/>
        </w:rPr>
        <w:t>Dodatek nabývá účinnosti dnem podpisu obou smluvních stran.</w:t>
      </w:r>
    </w:p>
    <w:p w14:paraId="2D1700DD" w14:textId="77777777" w:rsidR="000A6380" w:rsidRPr="003B1E01" w:rsidRDefault="000A6380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2503C22E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2171D42" w14:textId="77777777" w:rsidR="00006C69" w:rsidRPr="003B1E01" w:rsidRDefault="00006C69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</w:p>
    <w:p w14:paraId="7BCA501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2A8F1884" w14:textId="49540E12" w:rsidR="000A6380" w:rsidRDefault="000A6380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Mgr. Martin Červený</w:t>
      </w:r>
      <w:r w:rsidR="00CE3428">
        <w:rPr>
          <w:rFonts w:ascii="UnitPro-Light" w:hAnsi="UnitPro-Light" w:cs="UnitPro-Light"/>
          <w:b/>
          <w:sz w:val="20"/>
          <w:szCs w:val="20"/>
        </w:rPr>
        <w:tab/>
      </w:r>
      <w:r w:rsidR="00CE3428">
        <w:rPr>
          <w:rFonts w:ascii="UnitPro-Light" w:hAnsi="UnitPro-Light" w:cs="UnitPro-Light"/>
          <w:b/>
          <w:sz w:val="20"/>
          <w:szCs w:val="20"/>
        </w:rPr>
        <w:tab/>
      </w:r>
      <w:r w:rsidR="00CE3428">
        <w:rPr>
          <w:rFonts w:ascii="UnitPro-Light" w:hAnsi="UnitPro-Light" w:cs="UnitPro-Light"/>
          <w:b/>
          <w:sz w:val="20"/>
          <w:szCs w:val="20"/>
        </w:rPr>
        <w:tab/>
      </w:r>
      <w:r w:rsidR="00CE3428">
        <w:rPr>
          <w:rFonts w:ascii="UnitPro-Light" w:hAnsi="UnitPro-Light" w:cs="UnitPro-Light"/>
          <w:b/>
          <w:sz w:val="20"/>
          <w:szCs w:val="20"/>
        </w:rPr>
        <w:tab/>
      </w:r>
      <w:r w:rsidR="00CE3428">
        <w:rPr>
          <w:rFonts w:ascii="UnitPro-Light" w:hAnsi="UnitPro-Light" w:cs="UnitPro-Light"/>
          <w:b/>
          <w:sz w:val="20"/>
          <w:szCs w:val="20"/>
        </w:rPr>
        <w:tab/>
      </w:r>
      <w:r w:rsidR="00CE3428">
        <w:rPr>
          <w:rFonts w:ascii="UnitPro-Light" w:hAnsi="UnitPro-Light" w:cs="UnitPro-Light"/>
          <w:b/>
          <w:sz w:val="20"/>
          <w:szCs w:val="20"/>
        </w:rPr>
        <w:tab/>
        <w:t>Ing. Miloslav Lukeš</w:t>
      </w:r>
    </w:p>
    <w:p w14:paraId="1868CB94" w14:textId="6E1F9CBB" w:rsidR="00A935CF" w:rsidRPr="000A6380" w:rsidRDefault="000A6380" w:rsidP="00006C69">
      <w:pPr>
        <w:spacing w:after="0"/>
        <w:jc w:val="both"/>
        <w:rPr>
          <w:rFonts w:ascii="UnitPro-Light" w:hAnsi="UnitPro-Light" w:cs="UnitPro-Light"/>
          <w:b/>
          <w:sz w:val="20"/>
          <w:szCs w:val="20"/>
          <w:highlight w:val="yellow"/>
        </w:rPr>
      </w:pPr>
      <w:r>
        <w:rPr>
          <w:rFonts w:ascii="UnitPro-Light" w:hAnsi="UnitPro-Light" w:cs="UnitPro-Light"/>
          <w:b/>
          <w:sz w:val="20"/>
          <w:szCs w:val="20"/>
        </w:rPr>
        <w:t>zástupce ředitele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CE3428">
        <w:rPr>
          <w:rFonts w:ascii="UnitPro-Light" w:hAnsi="UnitPro-Light" w:cs="UnitPro-Light"/>
          <w:sz w:val="20"/>
          <w:szCs w:val="20"/>
        </w:rPr>
        <w:tab/>
      </w:r>
      <w:r w:rsidR="00CE3428">
        <w:rPr>
          <w:rFonts w:ascii="UnitPro-Light" w:hAnsi="UnitPro-Light" w:cs="UnitPro-Light"/>
          <w:sz w:val="20"/>
          <w:szCs w:val="20"/>
        </w:rPr>
        <w:tab/>
      </w:r>
      <w:r w:rsidR="00CE3428">
        <w:rPr>
          <w:rFonts w:ascii="UnitPro-Light" w:hAnsi="UnitPro-Light" w:cs="UnitPro-Light"/>
          <w:sz w:val="20"/>
          <w:szCs w:val="20"/>
        </w:rPr>
        <w:tab/>
      </w:r>
      <w:r w:rsidR="00CE3428" w:rsidRPr="00CE3428">
        <w:rPr>
          <w:rFonts w:ascii="UnitPro-Light" w:hAnsi="UnitPro-Light" w:cs="UnitPro-Light"/>
          <w:b/>
          <w:sz w:val="20"/>
          <w:szCs w:val="20"/>
        </w:rPr>
        <w:t>člen představenstva</w:t>
      </w:r>
    </w:p>
    <w:sectPr w:rsidR="00A935CF" w:rsidRPr="000A6380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D2A9A" w14:textId="77777777" w:rsidR="00F60C5A" w:rsidRDefault="00F60C5A" w:rsidP="00006C69">
      <w:pPr>
        <w:spacing w:after="0" w:line="240" w:lineRule="auto"/>
      </w:pPr>
      <w:r>
        <w:separator/>
      </w:r>
    </w:p>
  </w:endnote>
  <w:endnote w:type="continuationSeparator" w:id="0">
    <w:p w14:paraId="63D2DF7A" w14:textId="77777777" w:rsidR="00F60C5A" w:rsidRDefault="00F60C5A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UnitPro-Light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3E8F011B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A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62FCC" w14:textId="77777777" w:rsidR="00F60C5A" w:rsidRDefault="00F60C5A" w:rsidP="00006C69">
      <w:pPr>
        <w:spacing w:after="0" w:line="240" w:lineRule="auto"/>
      </w:pPr>
      <w:r>
        <w:separator/>
      </w:r>
    </w:p>
  </w:footnote>
  <w:footnote w:type="continuationSeparator" w:id="0">
    <w:p w14:paraId="42C3D75C" w14:textId="77777777" w:rsidR="00F60C5A" w:rsidRDefault="00F60C5A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542A2A0A" w:rsidR="00B971C4" w:rsidRPr="00E35E0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3B1E01">
      <w:rPr>
        <w:rFonts w:ascii="UnitPro-Light" w:hAnsi="UnitPro-Light" w:cs="UnitPro-Light"/>
        <w:sz w:val="20"/>
      </w:rPr>
      <w:t xml:space="preserve">č. </w:t>
    </w:r>
    <w:r w:rsidRPr="00E35E0A">
      <w:rPr>
        <w:rFonts w:ascii="UnitPro-Light" w:hAnsi="UnitPro-Light" w:cs="UnitPro-Light"/>
        <w:sz w:val="20"/>
      </w:rPr>
      <w:t xml:space="preserve">smlouvy objednatele: ZAK </w:t>
    </w:r>
    <w:r w:rsidR="00E35E0A" w:rsidRPr="00E35E0A">
      <w:rPr>
        <w:rFonts w:ascii="UnitPro-Light" w:hAnsi="UnitPro-Light" w:cs="UnitPro-Light"/>
        <w:sz w:val="20"/>
      </w:rPr>
      <w:t>20-0063.4</w:t>
    </w:r>
  </w:p>
  <w:p w14:paraId="0200A13A" w14:textId="709BA536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E35E0A">
      <w:rPr>
        <w:rFonts w:ascii="UnitPro-Light" w:hAnsi="UnitPro-Light" w:cs="UnitPro-Light"/>
        <w:sz w:val="20"/>
      </w:rPr>
      <w:t xml:space="preserve">č. smlouvy </w:t>
    </w:r>
    <w:r w:rsidR="00CE4F42" w:rsidRPr="00E35E0A">
      <w:rPr>
        <w:rFonts w:ascii="UnitPro-Light" w:hAnsi="UnitPro-Light" w:cs="UnitPro-Light"/>
        <w:sz w:val="20"/>
      </w:rPr>
      <w:t>zhotovit</w:t>
    </w:r>
    <w:r w:rsidRPr="00E35E0A">
      <w:rPr>
        <w:rFonts w:ascii="UnitPro-Light" w:hAnsi="UnitPro-Light" w:cs="UnitPro-Light"/>
        <w:sz w:val="20"/>
      </w:rPr>
      <w:t>ele:</w:t>
    </w:r>
    <w:r w:rsidRPr="003B1E01">
      <w:rPr>
        <w:rFonts w:ascii="UnitPro-Light" w:hAnsi="UnitPro-Light" w:cs="UnitPro-Light"/>
        <w:sz w:val="20"/>
      </w:rPr>
      <w:t xml:space="preserve"> 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singleLevel"/>
    <w:tmpl w:val="067AE666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2"/>
        <w:szCs w:val="22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3605"/>
    <w:multiLevelType w:val="hybridMultilevel"/>
    <w:tmpl w:val="4CD015FA"/>
    <w:lvl w:ilvl="0" w:tplc="3C201D7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7834"/>
    <w:multiLevelType w:val="hybridMultilevel"/>
    <w:tmpl w:val="BCFCA75A"/>
    <w:lvl w:ilvl="0" w:tplc="A7865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1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64BE2"/>
    <w:rsid w:val="00071C22"/>
    <w:rsid w:val="000809BD"/>
    <w:rsid w:val="000A34E9"/>
    <w:rsid w:val="000A5162"/>
    <w:rsid w:val="000A6380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06A11"/>
    <w:rsid w:val="00B14848"/>
    <w:rsid w:val="00B265B4"/>
    <w:rsid w:val="00B30F1A"/>
    <w:rsid w:val="00B354F2"/>
    <w:rsid w:val="00B46B96"/>
    <w:rsid w:val="00B971C4"/>
    <w:rsid w:val="00BB465A"/>
    <w:rsid w:val="00BE65F0"/>
    <w:rsid w:val="00BF3CA4"/>
    <w:rsid w:val="00C2756A"/>
    <w:rsid w:val="00C94D31"/>
    <w:rsid w:val="00CA0753"/>
    <w:rsid w:val="00CB6839"/>
    <w:rsid w:val="00CD4E63"/>
    <w:rsid w:val="00CE3428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01E6"/>
    <w:rsid w:val="00E01AE6"/>
    <w:rsid w:val="00E30876"/>
    <w:rsid w:val="00E35E0A"/>
    <w:rsid w:val="00E54FB6"/>
    <w:rsid w:val="00E772E3"/>
    <w:rsid w:val="00EA711E"/>
    <w:rsid w:val="00EB2DE9"/>
    <w:rsid w:val="00F1680C"/>
    <w:rsid w:val="00F2682A"/>
    <w:rsid w:val="00F33E31"/>
    <w:rsid w:val="00F43A2E"/>
    <w:rsid w:val="00F60C5A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odsazen21">
    <w:name w:val="Základní text odsazený 21"/>
    <w:basedOn w:val="Normln"/>
    <w:rsid w:val="000A6380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399800-5E67-458C-AC99-8CB4EC6DE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Kyselová Karolína Ing. (SPR/VEZ)</cp:lastModifiedBy>
  <cp:revision>8</cp:revision>
  <cp:lastPrinted>2017-10-20T09:10:00Z</cp:lastPrinted>
  <dcterms:created xsi:type="dcterms:W3CDTF">2020-07-22T07:44:00Z</dcterms:created>
  <dcterms:modified xsi:type="dcterms:W3CDTF">2020-07-27T10:33:00Z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