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3293" w:rsidRDefault="006D3293" w:rsidP="006D3293">
      <w:pPr>
        <w:jc w:val="center"/>
        <w:rPr>
          <w:rFonts w:hint="eastAsia"/>
        </w:rPr>
      </w:pPr>
      <w:r>
        <w:rPr>
          <w:b/>
          <w:bCs/>
          <w:sz w:val="36"/>
          <w:szCs w:val="36"/>
        </w:rPr>
        <w:t xml:space="preserve">Smlouva o dílo </w:t>
      </w:r>
    </w:p>
    <w:p w:rsidR="006D3293" w:rsidRDefault="006D3293" w:rsidP="006D3293">
      <w:pPr>
        <w:jc w:val="center"/>
        <w:rPr>
          <w:rFonts w:hint="eastAsia"/>
        </w:rPr>
      </w:pPr>
      <w:r>
        <w:rPr>
          <w:b/>
          <w:bCs/>
          <w:sz w:val="28"/>
          <w:szCs w:val="28"/>
        </w:rPr>
        <w:t>dle obchodního zákoníku</w:t>
      </w:r>
    </w:p>
    <w:p w:rsidR="006D3293" w:rsidRDefault="006D3293" w:rsidP="006D3293">
      <w:pPr>
        <w:jc w:val="center"/>
        <w:rPr>
          <w:rFonts w:hint="eastAsia"/>
        </w:rPr>
      </w:pPr>
    </w:p>
    <w:p w:rsidR="006D3293" w:rsidRDefault="006D3293" w:rsidP="006D3293">
      <w:pPr>
        <w:rPr>
          <w:rFonts w:hint="eastAsia"/>
        </w:rPr>
      </w:pPr>
      <w:r>
        <w:rPr>
          <w:b/>
          <w:bCs/>
        </w:rPr>
        <w:t>Společnost</w:t>
      </w:r>
      <w:r>
        <w:t>:</w:t>
      </w:r>
      <w:r>
        <w:tab/>
      </w:r>
      <w:r>
        <w:tab/>
        <w:t>Domov pro osoby se zdravotním postižením Horní Bříza,</w:t>
      </w:r>
    </w:p>
    <w:p w:rsidR="006D3293" w:rsidRDefault="006D3293" w:rsidP="006D3293">
      <w:pPr>
        <w:rPr>
          <w:rFonts w:hint="eastAsia"/>
        </w:rPr>
      </w:pPr>
      <w:r>
        <w:t>se sídlem:</w:t>
      </w:r>
      <w:r>
        <w:tab/>
      </w:r>
      <w:r>
        <w:tab/>
        <w:t>příspěvková organizace</w:t>
      </w:r>
    </w:p>
    <w:p w:rsidR="006D3293" w:rsidRDefault="006D3293" w:rsidP="006D3293">
      <w:pPr>
        <w:rPr>
          <w:rFonts w:hint="eastAsia"/>
        </w:rPr>
      </w:pPr>
      <w:r>
        <w:tab/>
      </w:r>
      <w:r>
        <w:tab/>
      </w:r>
      <w:r>
        <w:tab/>
        <w:t>U Vrbky 486, 330 12 Horní Bříza</w:t>
      </w:r>
    </w:p>
    <w:p w:rsidR="006D3293" w:rsidRDefault="006D3293" w:rsidP="006D3293">
      <w:pPr>
        <w:rPr>
          <w:rFonts w:hint="eastAsia"/>
        </w:rPr>
      </w:pPr>
      <w:r>
        <w:t>IČ:</w:t>
      </w:r>
      <w:r>
        <w:tab/>
      </w:r>
      <w:r>
        <w:tab/>
      </w:r>
      <w:r>
        <w:tab/>
        <w:t>00022578</w:t>
      </w:r>
    </w:p>
    <w:p w:rsidR="006D3293" w:rsidRDefault="006D3293" w:rsidP="006D3293">
      <w:pPr>
        <w:rPr>
          <w:rFonts w:hint="eastAsia"/>
        </w:rPr>
      </w:pPr>
      <w:r>
        <w:t>zastoupená:</w:t>
      </w:r>
      <w:r>
        <w:tab/>
      </w:r>
      <w:r>
        <w:tab/>
        <w:t>Mgr. Jiří Horník</w:t>
      </w:r>
    </w:p>
    <w:p w:rsidR="006D3293" w:rsidRDefault="006D3293" w:rsidP="006D3293">
      <w:pPr>
        <w:rPr>
          <w:rFonts w:hint="eastAsia"/>
        </w:rPr>
      </w:pPr>
      <w:r>
        <w:t>(dále jen „objednatel“)</w:t>
      </w:r>
    </w:p>
    <w:p w:rsidR="006D3293" w:rsidRDefault="006D3293" w:rsidP="006D3293">
      <w:pPr>
        <w:rPr>
          <w:rFonts w:hint="eastAsia"/>
        </w:rPr>
      </w:pPr>
    </w:p>
    <w:p w:rsidR="006D3293" w:rsidRDefault="006D3293" w:rsidP="006D3293">
      <w:pPr>
        <w:rPr>
          <w:rFonts w:hint="eastAsia"/>
        </w:rPr>
      </w:pPr>
      <w:r>
        <w:t>a</w:t>
      </w:r>
    </w:p>
    <w:p w:rsidR="006D3293" w:rsidRDefault="006D3293" w:rsidP="006D3293">
      <w:pPr>
        <w:rPr>
          <w:rFonts w:hint="eastAsia"/>
        </w:rPr>
      </w:pPr>
    </w:p>
    <w:p w:rsidR="006D3293" w:rsidRDefault="006D3293" w:rsidP="006D3293">
      <w:pPr>
        <w:rPr>
          <w:rFonts w:hint="eastAsia"/>
        </w:rPr>
      </w:pPr>
      <w:r>
        <w:rPr>
          <w:b/>
          <w:bCs/>
        </w:rPr>
        <w:t>Společnost</w:t>
      </w:r>
      <w:r>
        <w:t>:</w:t>
      </w:r>
      <w:r>
        <w:tab/>
      </w:r>
      <w:r>
        <w:tab/>
        <w:t>ZÁMEČNICTVÍ KLENC s.r.o.</w:t>
      </w:r>
    </w:p>
    <w:p w:rsidR="006D3293" w:rsidRDefault="006D3293" w:rsidP="006D3293">
      <w:pPr>
        <w:rPr>
          <w:rFonts w:hint="eastAsia"/>
        </w:rPr>
      </w:pPr>
      <w:r>
        <w:t>se sídlem:</w:t>
      </w:r>
      <w:r>
        <w:tab/>
      </w:r>
      <w:r>
        <w:tab/>
        <w:t>V Radčicích 16/28, 322 00 Plzeň Radčice</w:t>
      </w:r>
    </w:p>
    <w:p w:rsidR="006D3293" w:rsidRDefault="006D3293" w:rsidP="006D3293">
      <w:pPr>
        <w:rPr>
          <w:rFonts w:hint="eastAsia"/>
        </w:rPr>
      </w:pPr>
      <w:r>
        <w:t>IČ:</w:t>
      </w:r>
      <w:r>
        <w:tab/>
      </w:r>
      <w:r>
        <w:tab/>
      </w:r>
      <w:r>
        <w:tab/>
        <w:t>05251265</w:t>
      </w:r>
    </w:p>
    <w:p w:rsidR="006D3293" w:rsidRDefault="006D3293" w:rsidP="006D3293">
      <w:pPr>
        <w:rPr>
          <w:rFonts w:hint="eastAsia"/>
        </w:rPr>
      </w:pPr>
      <w:r>
        <w:t>DIČ:</w:t>
      </w:r>
      <w:r>
        <w:tab/>
      </w:r>
      <w:r>
        <w:tab/>
      </w:r>
      <w:r>
        <w:tab/>
        <w:t>CZ05251265</w:t>
      </w:r>
    </w:p>
    <w:p w:rsidR="006D3293" w:rsidRDefault="006D3293" w:rsidP="006D3293">
      <w:pPr>
        <w:rPr>
          <w:rFonts w:hint="eastAsia"/>
        </w:rPr>
      </w:pPr>
      <w:r>
        <w:t>zastoupená:</w:t>
      </w:r>
      <w:r>
        <w:tab/>
      </w:r>
      <w:r>
        <w:tab/>
        <w:t xml:space="preserve">p. Michal </w:t>
      </w:r>
      <w:proofErr w:type="spellStart"/>
      <w:r>
        <w:t>Klenc</w:t>
      </w:r>
      <w:proofErr w:type="spellEnd"/>
    </w:p>
    <w:p w:rsidR="006D3293" w:rsidRDefault="006D3293" w:rsidP="006D3293">
      <w:pPr>
        <w:rPr>
          <w:rFonts w:hint="eastAsia"/>
        </w:rPr>
      </w:pPr>
      <w:r>
        <w:t>(dále jen „zhotovitel“)</w:t>
      </w:r>
    </w:p>
    <w:p w:rsidR="006D3293" w:rsidRDefault="006D3293" w:rsidP="006D3293">
      <w:pPr>
        <w:rPr>
          <w:rFonts w:hint="eastAsia"/>
        </w:rPr>
      </w:pPr>
    </w:p>
    <w:p w:rsidR="006D3293" w:rsidRDefault="006D3293" w:rsidP="006D3293">
      <w:pPr>
        <w:rPr>
          <w:rFonts w:hint="eastAsia"/>
        </w:rPr>
      </w:pPr>
    </w:p>
    <w:p w:rsidR="006D3293" w:rsidRDefault="006D3293" w:rsidP="006D3293">
      <w:pPr>
        <w:rPr>
          <w:rFonts w:hint="eastAsia"/>
        </w:rPr>
      </w:pPr>
    </w:p>
    <w:p w:rsidR="006D3293" w:rsidRDefault="006D3293" w:rsidP="006D3293">
      <w:pPr>
        <w:jc w:val="center"/>
        <w:rPr>
          <w:rFonts w:hint="eastAsia"/>
          <w:b/>
          <w:bCs/>
        </w:rPr>
      </w:pPr>
      <w:r>
        <w:rPr>
          <w:b/>
          <w:bCs/>
        </w:rPr>
        <w:t>I. Předmět plnění a doba</w:t>
      </w:r>
    </w:p>
    <w:p w:rsidR="006D3293" w:rsidRDefault="006D3293" w:rsidP="006D3293">
      <w:pPr>
        <w:jc w:val="center"/>
        <w:rPr>
          <w:rFonts w:hint="eastAsia"/>
        </w:rPr>
      </w:pPr>
    </w:p>
    <w:p w:rsidR="006D3293" w:rsidRDefault="006D3293" w:rsidP="006D3293">
      <w:pPr>
        <w:jc w:val="both"/>
        <w:rPr>
          <w:rFonts w:hint="eastAsia"/>
        </w:rPr>
      </w:pPr>
      <w:r>
        <w:t xml:space="preserve">Zhotovitel se zavazuje, že provede výrobu nerezových madel na chodby odd. „C“ a odd. „D“, schodiště odd. „D“ a chodby odd. „A, B, C“ zábradlí šikmé podesty v celkové metráži 211,5 </w:t>
      </w:r>
      <w:proofErr w:type="spellStart"/>
      <w:proofErr w:type="gramStart"/>
      <w:r>
        <w:t>bm.v</w:t>
      </w:r>
      <w:proofErr w:type="spellEnd"/>
      <w:proofErr w:type="gramEnd"/>
      <w:r>
        <w:t> Domově pro osoby se zdravotním postižením Horní Bříza, příspěvková organizace. Termín provedení díla je stanoven do 15.10.2020.</w:t>
      </w:r>
    </w:p>
    <w:p w:rsidR="006D3293" w:rsidRDefault="006D3293" w:rsidP="006D3293">
      <w:pPr>
        <w:jc w:val="both"/>
        <w:rPr>
          <w:rFonts w:hint="eastAsia"/>
        </w:rPr>
      </w:pPr>
    </w:p>
    <w:p w:rsidR="006D3293" w:rsidRDefault="006D3293" w:rsidP="006D3293">
      <w:pPr>
        <w:jc w:val="center"/>
        <w:rPr>
          <w:rFonts w:hint="eastAsia"/>
          <w:b/>
          <w:bCs/>
        </w:rPr>
      </w:pPr>
      <w:r>
        <w:rPr>
          <w:b/>
          <w:bCs/>
        </w:rPr>
        <w:t>II. Cena a platební podmínky</w:t>
      </w:r>
    </w:p>
    <w:p w:rsidR="006D3293" w:rsidRDefault="006D3293" w:rsidP="006D3293">
      <w:pPr>
        <w:jc w:val="center"/>
        <w:rPr>
          <w:rFonts w:hint="eastAsia"/>
        </w:rPr>
      </w:pPr>
    </w:p>
    <w:p w:rsidR="006D3293" w:rsidRDefault="006D3293" w:rsidP="006D3293">
      <w:pPr>
        <w:jc w:val="both"/>
        <w:rPr>
          <w:rFonts w:hint="eastAsia"/>
        </w:rPr>
      </w:pPr>
      <w:r>
        <w:t xml:space="preserve">Celková cena za provedení prací a služeb dle článku I. Této smlouvy je stanovena ve výši         </w:t>
      </w:r>
    </w:p>
    <w:p w:rsidR="006D3293" w:rsidRDefault="006D3293" w:rsidP="006D3293">
      <w:pPr>
        <w:jc w:val="both"/>
        <w:rPr>
          <w:rFonts w:hint="eastAsia"/>
        </w:rPr>
      </w:pPr>
      <w:r>
        <w:t xml:space="preserve">432.364,- Kč (slovy </w:t>
      </w:r>
      <w:proofErr w:type="spellStart"/>
      <w:r>
        <w:t>čtyřistatřicetdvatisícetřistašedesátčtyřikoruny</w:t>
      </w:r>
      <w:proofErr w:type="spellEnd"/>
      <w:r>
        <w:t xml:space="preserve"> českých) bez DPH, DPH ve výši </w:t>
      </w:r>
      <w:r w:rsidR="001E3DA5">
        <w:t>15</w:t>
      </w:r>
      <w:r>
        <w:t>%. Cena uvedená v tomto článku zahrnuje zaměření v místě objednatele, materiál, výrobu, demontáž stávajícího dřevěných madel, dodávku a montáž, které zhotovitel vynaloží ke splnění účelu této smlouvy. Za provedené služby zhotovitel objednateli vystaví fakturu se splatností 14 dnů po vystavení. Faktury musí mít náležitosti daňového dokladu. Za datum zdanitelného plnění se považuje skutečné datum předání předmětu plnění.</w:t>
      </w:r>
    </w:p>
    <w:p w:rsidR="006D3293" w:rsidRDefault="006D3293" w:rsidP="006D3293">
      <w:pPr>
        <w:jc w:val="both"/>
        <w:rPr>
          <w:rFonts w:hint="eastAsia"/>
        </w:rPr>
      </w:pPr>
    </w:p>
    <w:p w:rsidR="006D3293" w:rsidRDefault="006D3293" w:rsidP="006D3293">
      <w:pPr>
        <w:jc w:val="both"/>
        <w:rPr>
          <w:rFonts w:hint="eastAsia"/>
          <w:b/>
          <w:bCs/>
        </w:rPr>
      </w:pPr>
    </w:p>
    <w:p w:rsidR="006D3293" w:rsidRDefault="006D3293" w:rsidP="006D3293">
      <w:pPr>
        <w:jc w:val="center"/>
        <w:rPr>
          <w:rFonts w:hint="eastAsia"/>
          <w:b/>
          <w:bCs/>
        </w:rPr>
      </w:pPr>
      <w:r>
        <w:rPr>
          <w:b/>
          <w:bCs/>
        </w:rPr>
        <w:t>III. Odpovědnosti za vady</w:t>
      </w:r>
    </w:p>
    <w:p w:rsidR="006D3293" w:rsidRDefault="006D3293" w:rsidP="006D3293">
      <w:pPr>
        <w:jc w:val="center"/>
        <w:rPr>
          <w:rFonts w:hint="eastAsia"/>
        </w:rPr>
      </w:pPr>
    </w:p>
    <w:p w:rsidR="006D3293" w:rsidRDefault="006D3293" w:rsidP="006D3293">
      <w:pPr>
        <w:jc w:val="both"/>
        <w:rPr>
          <w:rFonts w:hint="eastAsia"/>
        </w:rPr>
      </w:pPr>
      <w:r>
        <w:t xml:space="preserve">Záruka na veškeré dodávky materiálu je poskytována v souladu se zárukou poskytovanou výrobci. Záruky na práci jsou poskytovány v délce 24 měsíců. Objednatel je povinen reklamovat zjevné vady kvality a rozsahu služeb a prací dle možností okamžitě při jejich zjištění, nejpozději ovšem do data vypršení záruční doby. Zhotovitel však neodpovídá za vady vzniklé nedodržením podmínek při provozu zařízení nebo jeho provozem v nevhodných podmínkách nebo při zásahu třetí osoby (zejména krádeží, poškozením) popř. vyšší mocí. Záruční doba uvedená výše začíná běžet dnem předání a převzetí díla objednatelem. Zhotovitel odpovídá za vady díla, jež jsou patrné při převzetí nebo se objeví během záruční doby, pokud </w:t>
      </w:r>
      <w:r>
        <w:lastRenderedPageBreak/>
        <w:t>byly způsobeny porušením jeho povinnosti nebo neodstranil po jejich urgenci objednatelem při předání. Zhotovitel je povinen tyto vady odstranit na své náklady.</w:t>
      </w:r>
    </w:p>
    <w:p w:rsidR="006D3293" w:rsidRDefault="006D3293" w:rsidP="006D3293">
      <w:pPr>
        <w:jc w:val="both"/>
        <w:rPr>
          <w:rFonts w:hint="eastAsia"/>
        </w:rPr>
      </w:pPr>
    </w:p>
    <w:p w:rsidR="006D3293" w:rsidRDefault="006D3293" w:rsidP="006D3293">
      <w:pPr>
        <w:jc w:val="center"/>
        <w:rPr>
          <w:rFonts w:hint="eastAsia"/>
          <w:b/>
          <w:bCs/>
        </w:rPr>
      </w:pPr>
      <w:r>
        <w:rPr>
          <w:b/>
          <w:bCs/>
        </w:rPr>
        <w:t>IV. Závěrečná ujednání</w:t>
      </w:r>
    </w:p>
    <w:p w:rsidR="006D3293" w:rsidRDefault="006D3293" w:rsidP="006D3293">
      <w:pPr>
        <w:jc w:val="center"/>
        <w:rPr>
          <w:rFonts w:hint="eastAsia"/>
        </w:rPr>
      </w:pPr>
    </w:p>
    <w:p w:rsidR="006D3293" w:rsidRDefault="006D3293" w:rsidP="006D3293">
      <w:pPr>
        <w:jc w:val="both"/>
        <w:rPr>
          <w:rFonts w:hint="eastAsia"/>
        </w:rPr>
      </w:pPr>
      <w:r>
        <w:t xml:space="preserve">Tato smlouva nabývá platnosti dnem podpisu obou účastníků. Obě strany se zavazují v průběhu platnosti smlouvy spolupracovat při realizaci jejího předmětu plnění. K tomu účelu určí osoby odpovědné za řešení a vyřizování běžných záležitostí vyplývajících ze vzájemné součinnosti. </w:t>
      </w:r>
    </w:p>
    <w:p w:rsidR="006D3293" w:rsidRDefault="006D3293" w:rsidP="006D3293">
      <w:pPr>
        <w:jc w:val="both"/>
        <w:rPr>
          <w:rFonts w:hint="eastAsia"/>
        </w:rPr>
      </w:pPr>
      <w:r>
        <w:t>Zhotovitel souhlasí se zveřejněním smlouvy o dílo v registru smluv v plném rozsahu.</w:t>
      </w:r>
    </w:p>
    <w:p w:rsidR="006D3293" w:rsidRDefault="006D3293" w:rsidP="006D3293">
      <w:pPr>
        <w:jc w:val="both"/>
        <w:rPr>
          <w:rFonts w:hint="eastAsia"/>
        </w:rPr>
      </w:pPr>
    </w:p>
    <w:p w:rsidR="006D3293" w:rsidRDefault="006D3293" w:rsidP="006D3293">
      <w:pPr>
        <w:jc w:val="both"/>
        <w:rPr>
          <w:rFonts w:hint="eastAsia"/>
        </w:rPr>
      </w:pPr>
    </w:p>
    <w:p w:rsidR="006D3293" w:rsidRDefault="006D3293" w:rsidP="006D3293">
      <w:pPr>
        <w:jc w:val="both"/>
        <w:rPr>
          <w:rFonts w:hint="eastAsia"/>
        </w:rPr>
      </w:pPr>
      <w:r>
        <w:t>Tato smlouva je vypracována ve 2 vyhotoveních, z nichž každé má platnost originálu. Smlouvu je možno měnit pouze formou číslovaných písemných dodatků. Na důkaz projevu svobodné vůle uzavřít tuto dohodu smluvní strany připojují své vlastnoruční podpisy.</w:t>
      </w:r>
    </w:p>
    <w:p w:rsidR="006D3293" w:rsidRDefault="006D3293" w:rsidP="006D3293">
      <w:pPr>
        <w:jc w:val="both"/>
        <w:rPr>
          <w:rFonts w:hint="eastAsia"/>
        </w:rPr>
      </w:pPr>
    </w:p>
    <w:p w:rsidR="006D3293" w:rsidRDefault="006D3293" w:rsidP="006D3293">
      <w:pPr>
        <w:jc w:val="both"/>
        <w:rPr>
          <w:rFonts w:hint="eastAsia"/>
        </w:rPr>
      </w:pPr>
    </w:p>
    <w:p w:rsidR="006D3293" w:rsidRDefault="006D3293" w:rsidP="006D3293">
      <w:pPr>
        <w:jc w:val="both"/>
        <w:rPr>
          <w:rFonts w:hint="eastAsia"/>
        </w:rPr>
      </w:pPr>
    </w:p>
    <w:p w:rsidR="006D3293" w:rsidRDefault="006D3293" w:rsidP="006D3293">
      <w:pPr>
        <w:tabs>
          <w:tab w:val="left" w:pos="5954"/>
        </w:tabs>
        <w:suppressAutoHyphens w:val="0"/>
        <w:spacing w:before="240"/>
        <w:rPr>
          <w:rFonts w:ascii="Times New Roman" w:hAnsi="Times New Roman" w:cs="Times New Roman"/>
          <w:lang w:eastAsia="cs-CZ"/>
        </w:rPr>
      </w:pPr>
      <w:r>
        <w:rPr>
          <w:rFonts w:ascii="Times New Roman" w:hAnsi="Times New Roman" w:cs="Times New Roman"/>
          <w:lang w:eastAsia="cs-CZ"/>
        </w:rPr>
        <w:t>V Horní Bříze dne                                                                     V Plzni dne</w:t>
      </w:r>
    </w:p>
    <w:p w:rsidR="006D3293" w:rsidRDefault="006D3293" w:rsidP="006D3293">
      <w:pPr>
        <w:tabs>
          <w:tab w:val="left" w:pos="5954"/>
        </w:tabs>
        <w:suppressAutoHyphens w:val="0"/>
        <w:spacing w:after="200" w:line="276" w:lineRule="auto"/>
        <w:rPr>
          <w:rFonts w:ascii="Times New Roman" w:hAnsi="Times New Roman" w:cs="Times New Roman"/>
          <w:lang w:eastAsia="cs-CZ"/>
        </w:rPr>
      </w:pPr>
    </w:p>
    <w:p w:rsidR="006D3293" w:rsidRDefault="006D3293" w:rsidP="006D3293">
      <w:pPr>
        <w:tabs>
          <w:tab w:val="left" w:pos="5954"/>
        </w:tabs>
        <w:suppressAutoHyphens w:val="0"/>
        <w:spacing w:after="200" w:line="276" w:lineRule="auto"/>
        <w:rPr>
          <w:rFonts w:ascii="Times New Roman" w:hAnsi="Times New Roman" w:cs="Times New Roman"/>
          <w:lang w:eastAsia="cs-CZ"/>
        </w:rPr>
      </w:pPr>
      <w:r>
        <w:rPr>
          <w:rFonts w:ascii="Times New Roman" w:hAnsi="Times New Roman" w:cs="Times New Roman"/>
          <w:lang w:eastAsia="cs-CZ"/>
        </w:rPr>
        <w:t>za objednatele:</w:t>
      </w:r>
      <w:r>
        <w:rPr>
          <w:rFonts w:ascii="Times New Roman" w:hAnsi="Times New Roman" w:cs="Times New Roman"/>
          <w:lang w:eastAsia="cs-CZ"/>
        </w:rPr>
        <w:tab/>
        <w:t>za zhotovitele:</w:t>
      </w:r>
    </w:p>
    <w:p w:rsidR="006D3293" w:rsidRDefault="006D3293" w:rsidP="006D3293">
      <w:pPr>
        <w:tabs>
          <w:tab w:val="left" w:pos="5954"/>
        </w:tabs>
        <w:suppressAutoHyphens w:val="0"/>
        <w:spacing w:after="200" w:line="276" w:lineRule="auto"/>
        <w:rPr>
          <w:rFonts w:ascii="Times New Roman" w:hAnsi="Times New Roman" w:cs="Times New Roman"/>
          <w:lang w:eastAsia="cs-CZ"/>
        </w:rPr>
      </w:pPr>
    </w:p>
    <w:p w:rsidR="006D3293" w:rsidRDefault="006D3293" w:rsidP="006D3293">
      <w:pPr>
        <w:tabs>
          <w:tab w:val="left" w:pos="5954"/>
        </w:tabs>
        <w:suppressAutoHyphens w:val="0"/>
        <w:spacing w:line="276" w:lineRule="auto"/>
        <w:rPr>
          <w:rFonts w:ascii="Times New Roman" w:hAnsi="Times New Roman" w:cs="Times New Roman"/>
          <w:lang w:eastAsia="cs-CZ"/>
        </w:rPr>
      </w:pPr>
      <w:r>
        <w:rPr>
          <w:rFonts w:ascii="Times New Roman" w:hAnsi="Times New Roman" w:cs="Times New Roman"/>
          <w:b/>
        </w:rPr>
        <w:t>Mgr. Jiří Horník</w:t>
      </w:r>
      <w:r>
        <w:rPr>
          <w:rFonts w:ascii="Times New Roman" w:hAnsi="Times New Roman" w:cs="Times New Roman"/>
          <w:lang w:eastAsia="cs-CZ"/>
        </w:rPr>
        <w:tab/>
      </w:r>
      <w:r>
        <w:rPr>
          <w:rFonts w:ascii="Times New Roman" w:hAnsi="Times New Roman" w:cs="Times New Roman"/>
          <w:b/>
          <w:lang w:eastAsia="cs-CZ"/>
        </w:rPr>
        <w:t xml:space="preserve">Michal </w:t>
      </w:r>
      <w:proofErr w:type="spellStart"/>
      <w:r>
        <w:rPr>
          <w:rFonts w:ascii="Times New Roman" w:hAnsi="Times New Roman" w:cs="Times New Roman"/>
          <w:b/>
          <w:lang w:eastAsia="cs-CZ"/>
        </w:rPr>
        <w:t>Klenc</w:t>
      </w:r>
      <w:proofErr w:type="spellEnd"/>
    </w:p>
    <w:p w:rsidR="006D3293" w:rsidRDefault="006D3293" w:rsidP="006D3293">
      <w:pPr>
        <w:tabs>
          <w:tab w:val="left" w:pos="5954"/>
        </w:tabs>
        <w:suppressAutoHyphens w:val="0"/>
        <w:spacing w:line="276" w:lineRule="auto"/>
        <w:rPr>
          <w:rFonts w:ascii="Times New Roman" w:hAnsi="Times New Roman" w:cs="Times New Roman"/>
          <w:i/>
          <w:lang w:eastAsia="cs-CZ"/>
        </w:rPr>
      </w:pPr>
      <w:r>
        <w:rPr>
          <w:rFonts w:ascii="Times New Roman" w:hAnsi="Times New Roman" w:cs="Times New Roman"/>
          <w:lang w:eastAsia="cs-CZ"/>
        </w:rPr>
        <w:t>ředitel</w:t>
      </w:r>
      <w:r>
        <w:rPr>
          <w:rFonts w:ascii="Times New Roman" w:hAnsi="Times New Roman" w:cs="Times New Roman"/>
          <w:lang w:eastAsia="cs-CZ"/>
        </w:rPr>
        <w:tab/>
        <w:t>jednatel</w:t>
      </w:r>
    </w:p>
    <w:p w:rsidR="006D3293" w:rsidRDefault="006D3293" w:rsidP="006D3293">
      <w:pPr>
        <w:tabs>
          <w:tab w:val="left" w:pos="5954"/>
        </w:tabs>
        <w:suppressAutoHyphens w:val="0"/>
        <w:spacing w:line="276" w:lineRule="auto"/>
        <w:rPr>
          <w:rFonts w:hint="eastAsia"/>
        </w:rPr>
      </w:pPr>
      <w:r>
        <w:rPr>
          <w:rFonts w:ascii="Times New Roman" w:hAnsi="Times New Roman" w:cs="Times New Roman"/>
          <w:lang w:eastAsia="cs-CZ"/>
        </w:rPr>
        <w:t xml:space="preserve">DOZP Horní Bříza </w:t>
      </w:r>
      <w:r>
        <w:rPr>
          <w:rFonts w:ascii="Times New Roman" w:hAnsi="Times New Roman" w:cs="Times New Roman"/>
          <w:lang w:eastAsia="cs-CZ"/>
        </w:rPr>
        <w:tab/>
        <w:t xml:space="preserve">Zámečnictví </w:t>
      </w:r>
      <w:proofErr w:type="spellStart"/>
      <w:r>
        <w:rPr>
          <w:rFonts w:ascii="Times New Roman" w:hAnsi="Times New Roman" w:cs="Times New Roman"/>
          <w:lang w:eastAsia="cs-CZ"/>
        </w:rPr>
        <w:t>Klenc</w:t>
      </w:r>
      <w:proofErr w:type="spellEnd"/>
      <w:r>
        <w:rPr>
          <w:rFonts w:ascii="Times New Roman" w:hAnsi="Times New Roman" w:cs="Times New Roman"/>
          <w:lang w:eastAsia="cs-CZ"/>
        </w:rPr>
        <w:t xml:space="preserve"> s.r.o.</w:t>
      </w:r>
    </w:p>
    <w:p w:rsidR="00623D42" w:rsidRDefault="00623D42">
      <w:pPr>
        <w:rPr>
          <w:rFonts w:hint="eastAsia"/>
        </w:rPr>
      </w:pPr>
    </w:p>
    <w:sectPr w:rsidR="00623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93"/>
    <w:rsid w:val="001E3DA5"/>
    <w:rsid w:val="00623D42"/>
    <w:rsid w:val="006A6565"/>
    <w:rsid w:val="006D3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8BA1"/>
  <w15:chartTrackingRefBased/>
  <w15:docId w15:val="{22CA936F-7171-4E44-B714-8CAB86A4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3293"/>
    <w:pPr>
      <w:suppressAutoHyphens/>
      <w:spacing w:after="0" w:line="240" w:lineRule="auto"/>
    </w:pPr>
    <w:rPr>
      <w:rFonts w:ascii="Liberation Serif" w:eastAsia="SimSun" w:hAnsi="Liberation Serif" w:cs="Arial"/>
      <w:kern w:val="1"/>
      <w:sz w:val="24"/>
      <w:szCs w:val="24"/>
      <w:lang w:eastAsia="zh-CN" w:bidi="hi-IN"/>
    </w:rPr>
  </w:style>
  <w:style w:type="paragraph" w:styleId="Nadpis1">
    <w:name w:val="heading 1"/>
    <w:basedOn w:val="Normln"/>
    <w:next w:val="Normln"/>
    <w:link w:val="Nadpis1Char"/>
    <w:uiPriority w:val="9"/>
    <w:qFormat/>
    <w:rsid w:val="006A6565"/>
    <w:pPr>
      <w:keepNext/>
      <w:keepLines/>
      <w:suppressAutoHyphens w:val="0"/>
      <w:spacing w:before="240" w:line="259" w:lineRule="auto"/>
      <w:outlineLvl w:val="0"/>
    </w:pPr>
    <w:rPr>
      <w:rFonts w:ascii="Times New Roman" w:eastAsiaTheme="majorEastAsia" w:hAnsi="Times New Roman" w:cstheme="majorBidi"/>
      <w:kern w:val="0"/>
      <w:sz w:val="32"/>
      <w:szCs w:val="32"/>
      <w:lang w:eastAsia="en-US" w:bidi="ar-SA"/>
    </w:rPr>
  </w:style>
  <w:style w:type="paragraph" w:styleId="Nadpis2">
    <w:name w:val="heading 2"/>
    <w:basedOn w:val="Normln"/>
    <w:next w:val="Normln"/>
    <w:link w:val="Nadpis2Char"/>
    <w:uiPriority w:val="9"/>
    <w:unhideWhenUsed/>
    <w:qFormat/>
    <w:rsid w:val="006A6565"/>
    <w:pPr>
      <w:keepNext/>
      <w:keepLines/>
      <w:suppressAutoHyphens w:val="0"/>
      <w:spacing w:before="40" w:line="259" w:lineRule="auto"/>
      <w:outlineLvl w:val="1"/>
    </w:pPr>
    <w:rPr>
      <w:rFonts w:ascii="Times New Roman" w:eastAsiaTheme="majorEastAsia" w:hAnsi="Times New Roman" w:cstheme="majorBidi"/>
      <w:kern w:val="0"/>
      <w:szCs w:val="26"/>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A6565"/>
    <w:rPr>
      <w:rFonts w:ascii="Times New Roman" w:eastAsiaTheme="majorEastAsia" w:hAnsi="Times New Roman" w:cstheme="majorBidi"/>
      <w:sz w:val="32"/>
      <w:szCs w:val="32"/>
    </w:rPr>
  </w:style>
  <w:style w:type="character" w:customStyle="1" w:styleId="Nadpis2Char">
    <w:name w:val="Nadpis 2 Char"/>
    <w:basedOn w:val="Standardnpsmoodstavce"/>
    <w:link w:val="Nadpis2"/>
    <w:uiPriority w:val="9"/>
    <w:rsid w:val="006A6565"/>
    <w:rPr>
      <w:rFonts w:ascii="Times New Roman" w:eastAsiaTheme="majorEastAsia" w:hAnsi="Times New Roman"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2723</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Smetková</dc:creator>
  <cp:keywords/>
  <dc:description/>
  <cp:lastModifiedBy>Jana Šejbová</cp:lastModifiedBy>
  <cp:revision>2</cp:revision>
  <dcterms:created xsi:type="dcterms:W3CDTF">2020-07-31T12:32:00Z</dcterms:created>
  <dcterms:modified xsi:type="dcterms:W3CDTF">2020-07-31T12:32:00Z</dcterms:modified>
</cp:coreProperties>
</file>